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635B" w:rsidRPr="00505ACD" w:rsidRDefault="0084635B" w:rsidP="0084635B">
      <w:pPr>
        <w:tabs>
          <w:tab w:val="center" w:pos="4680"/>
          <w:tab w:val="left" w:pos="6300"/>
          <w:tab w:val="left" w:pos="7160"/>
          <w:tab w:val="left" w:pos="7663"/>
        </w:tabs>
        <w:spacing w:line="240" w:lineRule="auto"/>
        <w:ind w:left="426" w:right="425"/>
        <w:jc w:val="center"/>
        <w:rPr>
          <w:rFonts w:ascii="Book Antiqua" w:hAnsi="Book Antiqua"/>
          <w:b/>
          <w:bCs/>
          <w:sz w:val="28"/>
          <w:szCs w:val="28"/>
        </w:rPr>
      </w:pPr>
      <w:r>
        <w:rPr>
          <w:rFonts w:ascii="Book Antiqua" w:hAnsi="Book Antiqua"/>
          <w:b/>
          <w:bCs/>
          <w:sz w:val="28"/>
          <w:szCs w:val="28"/>
        </w:rPr>
        <w:t>DOES  MUSLIM</w:t>
      </w:r>
      <w:r w:rsidRPr="001A7FDB">
        <w:rPr>
          <w:rFonts w:ascii="Book Antiqua" w:hAnsi="Book Antiqua"/>
          <w:b/>
          <w:bCs/>
          <w:sz w:val="28"/>
          <w:szCs w:val="28"/>
        </w:rPr>
        <w:t xml:space="preserve"> SOCIET</w:t>
      </w:r>
      <w:r>
        <w:rPr>
          <w:rFonts w:ascii="Book Antiqua" w:hAnsi="Book Antiqua"/>
          <w:b/>
          <w:bCs/>
          <w:sz w:val="28"/>
          <w:szCs w:val="28"/>
        </w:rPr>
        <w:t>Y IN MALANG  HAVE GOOD UNDERSTANDING AND TRUST ON SHARIA INSURANCE?</w:t>
      </w:r>
    </w:p>
    <w:p w:rsidR="00000FEF" w:rsidRPr="0084635B" w:rsidRDefault="00000FEF" w:rsidP="00E204F9">
      <w:pPr>
        <w:spacing w:after="0"/>
        <w:ind w:firstLine="567"/>
        <w:jc w:val="center"/>
        <w:rPr>
          <w:rFonts w:ascii="Garamond" w:eastAsia="Times New Roman" w:hAnsi="Garamond" w:cs="Courier New"/>
          <w:b/>
          <w:bCs/>
          <w:color w:val="202124"/>
          <w:sz w:val="24"/>
          <w:szCs w:val="16"/>
        </w:rPr>
      </w:pPr>
    </w:p>
    <w:p w:rsidR="00F126ED" w:rsidRPr="00426B3A" w:rsidRDefault="00F126ED" w:rsidP="00F126ED">
      <w:pPr>
        <w:autoSpaceDE w:val="0"/>
        <w:autoSpaceDN w:val="0"/>
        <w:adjustRightInd w:val="0"/>
        <w:spacing w:after="0"/>
        <w:jc w:val="center"/>
        <w:rPr>
          <w:rFonts w:ascii="Garamond" w:hAnsi="Garamond" w:cstheme="majorBidi"/>
          <w:color w:val="FFFFFF" w:themeColor="background1"/>
          <w:sz w:val="24"/>
          <w:szCs w:val="24"/>
          <w:lang w:val="id-ID"/>
        </w:rPr>
      </w:pPr>
      <w:r w:rsidRPr="00426B3A">
        <w:rPr>
          <w:rFonts w:ascii="Garamond" w:hAnsi="Garamond" w:cstheme="majorBidi"/>
          <w:b/>
          <w:bCs/>
          <w:color w:val="FFFFFF" w:themeColor="background1"/>
          <w:sz w:val="24"/>
          <w:szCs w:val="24"/>
        </w:rPr>
        <w:t>Burhanuddin Susamto</w:t>
      </w:r>
      <w:r w:rsidR="00225533" w:rsidRPr="00426B3A">
        <w:rPr>
          <w:rFonts w:ascii="Garamond" w:hAnsi="Garamond" w:cstheme="majorBidi"/>
          <w:b/>
          <w:bCs/>
          <w:color w:val="FFFFFF" w:themeColor="background1"/>
          <w:sz w:val="24"/>
          <w:szCs w:val="24"/>
          <w:lang w:val="id-ID"/>
        </w:rPr>
        <w:t xml:space="preserve"> dan Suwandi</w:t>
      </w:r>
    </w:p>
    <w:p w:rsidR="00F126ED" w:rsidRPr="00426B3A" w:rsidRDefault="00F126ED" w:rsidP="00F126ED">
      <w:pPr>
        <w:autoSpaceDE w:val="0"/>
        <w:autoSpaceDN w:val="0"/>
        <w:adjustRightInd w:val="0"/>
        <w:spacing w:after="0"/>
        <w:jc w:val="center"/>
        <w:rPr>
          <w:rFonts w:ascii="Garamond" w:hAnsi="Garamond" w:cstheme="majorBidi"/>
          <w:color w:val="FFFFFF" w:themeColor="background1"/>
          <w:sz w:val="24"/>
          <w:szCs w:val="24"/>
        </w:rPr>
      </w:pPr>
      <w:r w:rsidRPr="00426B3A">
        <w:rPr>
          <w:rFonts w:ascii="Garamond" w:hAnsi="Garamond" w:cstheme="majorBidi"/>
          <w:color w:val="FFFFFF" w:themeColor="background1"/>
          <w:sz w:val="24"/>
          <w:szCs w:val="24"/>
        </w:rPr>
        <w:t xml:space="preserve">Fakultas Syari’ah UIN Maulana Malik Ibrahim Malang </w:t>
      </w:r>
    </w:p>
    <w:p w:rsidR="00F126ED" w:rsidRPr="00426B3A" w:rsidRDefault="00F126ED" w:rsidP="00F126ED">
      <w:pPr>
        <w:autoSpaceDE w:val="0"/>
        <w:autoSpaceDN w:val="0"/>
        <w:adjustRightInd w:val="0"/>
        <w:spacing w:after="0"/>
        <w:jc w:val="center"/>
        <w:rPr>
          <w:rFonts w:ascii="Garamond" w:hAnsi="Garamond" w:cstheme="majorBidi"/>
          <w:color w:val="FFFFFF" w:themeColor="background1"/>
          <w:sz w:val="24"/>
          <w:szCs w:val="24"/>
          <w:lang w:val="en-GB"/>
        </w:rPr>
      </w:pPr>
      <w:r w:rsidRPr="00426B3A">
        <w:rPr>
          <w:rFonts w:ascii="Garamond" w:hAnsi="Garamond" w:cstheme="majorBidi"/>
          <w:color w:val="FFFFFF" w:themeColor="background1"/>
          <w:sz w:val="24"/>
          <w:szCs w:val="24"/>
        </w:rPr>
        <w:t xml:space="preserve">Email: </w:t>
      </w:r>
      <w:hyperlink r:id="rId8" w:history="1">
        <w:r w:rsidRPr="00426B3A">
          <w:rPr>
            <w:rStyle w:val="Hyperlink"/>
            <w:rFonts w:ascii="Garamond" w:hAnsi="Garamond" w:cstheme="majorBidi"/>
            <w:color w:val="FFFFFF" w:themeColor="background1"/>
            <w:sz w:val="24"/>
            <w:szCs w:val="24"/>
          </w:rPr>
          <w:t>burhanuddin@syariah.uin-malang.ac.id</w:t>
        </w:r>
      </w:hyperlink>
      <w:r w:rsidRPr="00426B3A">
        <w:rPr>
          <w:rFonts w:ascii="Garamond" w:hAnsi="Garamond" w:cstheme="majorBidi"/>
          <w:color w:val="FFFFFF" w:themeColor="background1"/>
          <w:sz w:val="24"/>
          <w:szCs w:val="24"/>
          <w:lang w:val="en-GB"/>
        </w:rPr>
        <w:t xml:space="preserve"> </w:t>
      </w:r>
    </w:p>
    <w:p w:rsidR="00F126ED" w:rsidRPr="0084635B" w:rsidRDefault="00F126ED" w:rsidP="00F126ED">
      <w:pPr>
        <w:pStyle w:val="Wawasan12Penulis"/>
        <w:rPr>
          <w:rFonts w:ascii="Garamond" w:hAnsi="Garamond"/>
        </w:rPr>
      </w:pPr>
    </w:p>
    <w:p w:rsidR="00552466" w:rsidRPr="0084635B" w:rsidRDefault="00552466" w:rsidP="00F126ED">
      <w:pPr>
        <w:autoSpaceDE w:val="0"/>
        <w:autoSpaceDN w:val="0"/>
        <w:adjustRightInd w:val="0"/>
        <w:spacing w:after="0"/>
        <w:jc w:val="center"/>
        <w:rPr>
          <w:rFonts w:ascii="Garamond" w:hAnsi="Garamond" w:cstheme="majorBidi"/>
          <w:color w:val="000000"/>
        </w:rPr>
      </w:pPr>
      <w:bookmarkStart w:id="0" w:name="_GoBack"/>
      <w:bookmarkEnd w:id="0"/>
    </w:p>
    <w:p w:rsidR="00F126ED" w:rsidRPr="0084635B" w:rsidRDefault="002A360A" w:rsidP="002A360A">
      <w:pPr>
        <w:autoSpaceDE w:val="0"/>
        <w:autoSpaceDN w:val="0"/>
        <w:adjustRightInd w:val="0"/>
        <w:spacing w:after="0"/>
        <w:jc w:val="both"/>
        <w:rPr>
          <w:rFonts w:ascii="Garamond" w:hAnsi="Garamond" w:cstheme="majorBidi"/>
          <w:b/>
          <w:bCs/>
          <w:color w:val="000000"/>
          <w:sz w:val="24"/>
          <w:szCs w:val="24"/>
          <w:lang w:val="id-ID"/>
        </w:rPr>
      </w:pPr>
      <w:r w:rsidRPr="0084635B">
        <w:rPr>
          <w:rFonts w:ascii="Garamond" w:hAnsi="Garamond" w:cstheme="majorBidi"/>
          <w:b/>
          <w:bCs/>
          <w:color w:val="000000"/>
          <w:sz w:val="24"/>
          <w:szCs w:val="24"/>
          <w:lang w:val="id-ID"/>
        </w:rPr>
        <w:t>Abstract</w:t>
      </w:r>
    </w:p>
    <w:p w:rsidR="00987639" w:rsidRPr="00EA758A" w:rsidRDefault="00987639" w:rsidP="00347018">
      <w:pPr>
        <w:spacing w:after="0" w:line="276" w:lineRule="auto"/>
        <w:ind w:left="425"/>
        <w:jc w:val="both"/>
        <w:rPr>
          <w:rFonts w:ascii="Garamond" w:hAnsi="Garamond" w:cstheme="majorBidi"/>
          <w:i/>
          <w:sz w:val="32"/>
          <w:szCs w:val="32"/>
          <w:lang w:val="en-GB"/>
        </w:rPr>
      </w:pPr>
      <w:r w:rsidRPr="00EA758A">
        <w:rPr>
          <w:rFonts w:ascii="Garamond" w:hAnsi="Garamond"/>
          <w:i/>
          <w:sz w:val="24"/>
          <w:szCs w:val="24"/>
        </w:rPr>
        <w:t xml:space="preserve">This study aims to measure the level of understanding and trust of the Muslim society  in Malang city regarding sharia insurance. This study is important because the development of Islamic insurance is not possible without strengthening public literacy and trust both on a local and national scale. This article is the result of empirical research that use  descriptive quantitative analysis method. The findings of this research are that the Muslim society in Malang still has a low understanding of sharia insurance. Then from the aspect of trust, their level is relatively good even though it is only built from emotional and not cognitive aspects. The cognitive trust can only be built from a good understanding, whereas emotional trust can be built only because of an emotional relationship. The recommendation of this finding is the need to strengthen literacy about sharia insurance to build cognitive trust based on knowledge. </w:t>
      </w:r>
    </w:p>
    <w:p w:rsidR="00225533" w:rsidRPr="0084635B" w:rsidRDefault="00225533" w:rsidP="0084635B">
      <w:pPr>
        <w:spacing w:after="0" w:line="240" w:lineRule="auto"/>
        <w:ind w:left="425"/>
        <w:jc w:val="both"/>
        <w:rPr>
          <w:rFonts w:ascii="Garamond" w:hAnsi="Garamond" w:cstheme="majorBidi"/>
          <w:i/>
          <w:iCs/>
          <w:sz w:val="24"/>
          <w:szCs w:val="24"/>
          <w:lang w:val="en-GB"/>
        </w:rPr>
      </w:pPr>
      <w:r w:rsidRPr="0084635B">
        <w:rPr>
          <w:rFonts w:ascii="Garamond" w:hAnsi="Garamond" w:cstheme="majorBidi"/>
          <w:b/>
          <w:bCs/>
          <w:sz w:val="24"/>
          <w:szCs w:val="24"/>
          <w:lang w:val="id-ID"/>
        </w:rPr>
        <w:t xml:space="preserve">Keywords: </w:t>
      </w:r>
      <w:r w:rsidRPr="0084635B">
        <w:rPr>
          <w:rFonts w:ascii="Garamond" w:hAnsi="Garamond" w:cstheme="majorBidi"/>
          <w:i/>
          <w:iCs/>
          <w:sz w:val="24"/>
          <w:szCs w:val="24"/>
          <w:lang w:val="id-ID"/>
        </w:rPr>
        <w:t xml:space="preserve">Understanding, trust, sharia insurance, </w:t>
      </w:r>
      <w:r w:rsidR="00987639" w:rsidRPr="0084635B">
        <w:rPr>
          <w:rFonts w:ascii="Garamond" w:hAnsi="Garamond" w:cstheme="majorBidi"/>
          <w:i/>
          <w:iCs/>
          <w:sz w:val="24"/>
          <w:szCs w:val="24"/>
        </w:rPr>
        <w:t>muslim society, m</w:t>
      </w:r>
      <w:r w:rsidRPr="0084635B">
        <w:rPr>
          <w:rFonts w:ascii="Garamond" w:hAnsi="Garamond" w:cstheme="majorBidi"/>
          <w:i/>
          <w:iCs/>
          <w:sz w:val="24"/>
          <w:szCs w:val="24"/>
          <w:lang w:val="id-ID"/>
        </w:rPr>
        <w:t xml:space="preserve">alang </w:t>
      </w:r>
      <w:r w:rsidR="002A4D07" w:rsidRPr="0084635B">
        <w:rPr>
          <w:rFonts w:ascii="Garamond" w:hAnsi="Garamond" w:cstheme="majorBidi"/>
          <w:i/>
          <w:iCs/>
          <w:sz w:val="24"/>
          <w:szCs w:val="24"/>
          <w:lang w:val="en-GB"/>
        </w:rPr>
        <w:t xml:space="preserve"> </w:t>
      </w:r>
    </w:p>
    <w:p w:rsidR="0084635B" w:rsidRDefault="0084635B" w:rsidP="00225533">
      <w:pPr>
        <w:jc w:val="both"/>
        <w:rPr>
          <w:rFonts w:ascii="Garamond" w:hAnsi="Garamond" w:cstheme="majorBidi"/>
          <w:sz w:val="24"/>
          <w:szCs w:val="24"/>
          <w:lang w:val="id-ID"/>
        </w:rPr>
      </w:pPr>
    </w:p>
    <w:p w:rsidR="00225533" w:rsidRPr="0084635B" w:rsidRDefault="00225533" w:rsidP="0084635B">
      <w:pPr>
        <w:autoSpaceDE w:val="0"/>
        <w:autoSpaceDN w:val="0"/>
        <w:adjustRightInd w:val="0"/>
        <w:spacing w:after="0"/>
        <w:jc w:val="both"/>
        <w:rPr>
          <w:rFonts w:ascii="Garamond" w:hAnsi="Garamond" w:cstheme="majorBidi"/>
          <w:sz w:val="24"/>
          <w:szCs w:val="24"/>
          <w:lang w:val="id-ID"/>
        </w:rPr>
      </w:pPr>
      <w:r w:rsidRPr="0084635B">
        <w:rPr>
          <w:rFonts w:ascii="Garamond" w:hAnsi="Garamond" w:cstheme="majorBidi"/>
          <w:b/>
          <w:bCs/>
          <w:color w:val="000000"/>
          <w:sz w:val="24"/>
          <w:szCs w:val="24"/>
          <w:lang w:val="id-ID"/>
        </w:rPr>
        <w:t>Abstrak</w:t>
      </w:r>
    </w:p>
    <w:p w:rsidR="00987639" w:rsidRPr="00EA758A" w:rsidRDefault="00987639" w:rsidP="00347018">
      <w:pPr>
        <w:spacing w:after="0" w:line="276" w:lineRule="auto"/>
        <w:ind w:left="425"/>
        <w:jc w:val="both"/>
        <w:rPr>
          <w:rFonts w:ascii="Garamond" w:hAnsi="Garamond" w:cs="Times New Roman"/>
          <w:i/>
          <w:sz w:val="24"/>
          <w:szCs w:val="24"/>
          <w:shd w:val="clear" w:color="auto" w:fill="FFFFFF"/>
        </w:rPr>
      </w:pPr>
      <w:r w:rsidRPr="00EA758A">
        <w:rPr>
          <w:rFonts w:ascii="Garamond" w:hAnsi="Garamond" w:cs="Times New Roman"/>
          <w:i/>
          <w:sz w:val="24"/>
          <w:szCs w:val="24"/>
          <w:shd w:val="clear" w:color="auto" w:fill="FFFFFF"/>
        </w:rPr>
        <w:t>Penelitian ini bertujuan untuk mengukur tingkat pemahaman dan kepercayaan masyarakat muslim di kota Malang tentang asuransi syariah. Kajian ini penting karena pengembangan asuransi syariah tidak mungkin tanpa penguatan literasi dan kepercayaan masyarakat baik skala lokal maupun nasional. Artikel ini merupakan hasil penelitian empiris yang menggunakan metode analisis kuantitatif deskriptif. Temuan dari penelitian ini adalah masyarakat muslim di Malang masih memiliki pemahaman yang rendah tentang asuransi syariah. Kemudian dari aspek kepercayaan, level mereka relatif baik meski baru  dibangun dari aspek emosional dan bukan aspek kognitif. Kepercayaan kognitif hanya dapat dibangun dari pemahaman yang baik, sedangkan kepercayaan emosional sudah  dapat dibangun karena adanya hubungan emosional. Rekomendasi dari temuan ini adalah perlunya penguatan literasi tentang asuransi syariah untuk membangun kepercayaan kognitif berbasis pengetahuan.</w:t>
      </w:r>
    </w:p>
    <w:p w:rsidR="0030514B" w:rsidRPr="0084635B" w:rsidRDefault="00225533" w:rsidP="00347018">
      <w:pPr>
        <w:spacing w:line="276" w:lineRule="auto"/>
        <w:ind w:left="426"/>
        <w:jc w:val="both"/>
        <w:rPr>
          <w:rFonts w:ascii="Garamond" w:hAnsi="Garamond" w:cstheme="majorBidi"/>
          <w:i/>
          <w:iCs/>
          <w:sz w:val="24"/>
          <w:szCs w:val="24"/>
        </w:rPr>
      </w:pPr>
      <w:r w:rsidRPr="0084635B">
        <w:rPr>
          <w:rFonts w:ascii="Garamond" w:hAnsi="Garamond" w:cstheme="majorBidi"/>
          <w:b/>
          <w:bCs/>
          <w:sz w:val="24"/>
          <w:szCs w:val="24"/>
          <w:lang w:val="id-ID"/>
        </w:rPr>
        <w:t>Kata kunci:</w:t>
      </w:r>
      <w:r w:rsidRPr="0084635B">
        <w:rPr>
          <w:rFonts w:ascii="Garamond" w:hAnsi="Garamond" w:cstheme="majorBidi"/>
          <w:sz w:val="24"/>
          <w:szCs w:val="24"/>
          <w:lang w:val="id-ID"/>
        </w:rPr>
        <w:t xml:space="preserve"> </w:t>
      </w:r>
      <w:r w:rsidRPr="0084635B">
        <w:rPr>
          <w:rFonts w:ascii="Garamond" w:hAnsi="Garamond" w:cstheme="majorBidi"/>
          <w:i/>
          <w:iCs/>
          <w:sz w:val="24"/>
          <w:szCs w:val="24"/>
          <w:lang w:val="id-ID"/>
        </w:rPr>
        <w:t xml:space="preserve">Pemahaman, kepercayaan, asuransi syariah, </w:t>
      </w:r>
      <w:r w:rsidR="002A4D07" w:rsidRPr="0084635B">
        <w:rPr>
          <w:rFonts w:ascii="Garamond" w:hAnsi="Garamond" w:cstheme="majorBidi"/>
          <w:i/>
          <w:iCs/>
          <w:sz w:val="24"/>
          <w:szCs w:val="24"/>
          <w:lang w:val="en-GB"/>
        </w:rPr>
        <w:t xml:space="preserve">masyarakat </w:t>
      </w:r>
      <w:r w:rsidR="00987639" w:rsidRPr="0084635B">
        <w:rPr>
          <w:rFonts w:ascii="Garamond" w:hAnsi="Garamond" w:cstheme="majorBidi"/>
          <w:i/>
          <w:iCs/>
          <w:sz w:val="24"/>
          <w:szCs w:val="24"/>
        </w:rPr>
        <w:t>muslim, malang</w:t>
      </w:r>
    </w:p>
    <w:p w:rsidR="00DC689F" w:rsidRDefault="00DC689F" w:rsidP="00347018">
      <w:pPr>
        <w:tabs>
          <w:tab w:val="left" w:pos="280"/>
        </w:tabs>
        <w:spacing w:after="0" w:line="276" w:lineRule="auto"/>
        <w:ind w:left="284" w:hanging="284"/>
        <w:jc w:val="both"/>
        <w:rPr>
          <w:rFonts w:ascii="Garamond" w:hAnsi="Garamond"/>
          <w:b/>
          <w:sz w:val="24"/>
          <w:szCs w:val="24"/>
        </w:rPr>
      </w:pPr>
    </w:p>
    <w:p w:rsidR="00987639" w:rsidRPr="0084635B" w:rsidRDefault="0084635B" w:rsidP="00347018">
      <w:pPr>
        <w:tabs>
          <w:tab w:val="left" w:pos="280"/>
        </w:tabs>
        <w:spacing w:after="0" w:line="276" w:lineRule="auto"/>
        <w:ind w:left="284" w:hanging="284"/>
        <w:jc w:val="both"/>
        <w:rPr>
          <w:rFonts w:ascii="Garamond" w:hAnsi="Garamond"/>
          <w:sz w:val="24"/>
          <w:szCs w:val="24"/>
        </w:rPr>
      </w:pPr>
      <w:r w:rsidRPr="0084635B">
        <w:rPr>
          <w:rFonts w:ascii="Garamond" w:hAnsi="Garamond"/>
          <w:b/>
          <w:sz w:val="24"/>
          <w:szCs w:val="24"/>
        </w:rPr>
        <w:t>Introduction</w:t>
      </w:r>
      <w:r w:rsidRPr="0084635B">
        <w:rPr>
          <w:rFonts w:ascii="Garamond" w:hAnsi="Garamond"/>
          <w:sz w:val="24"/>
          <w:szCs w:val="24"/>
        </w:rPr>
        <w:t xml:space="preserve"> </w:t>
      </w:r>
    </w:p>
    <w:p w:rsidR="00987639" w:rsidRPr="0084635B" w:rsidRDefault="00987639" w:rsidP="00347018">
      <w:pPr>
        <w:spacing w:after="0" w:line="276" w:lineRule="auto"/>
        <w:ind w:firstLine="567"/>
        <w:jc w:val="both"/>
        <w:rPr>
          <w:rFonts w:ascii="Garamond" w:hAnsi="Garamond"/>
          <w:sz w:val="24"/>
          <w:szCs w:val="24"/>
        </w:rPr>
      </w:pPr>
      <w:r w:rsidRPr="0084635B">
        <w:rPr>
          <w:rFonts w:ascii="Garamond" w:hAnsi="Garamond"/>
          <w:sz w:val="24"/>
          <w:szCs w:val="24"/>
        </w:rPr>
        <w:t>The understanding of information and knowledge is a key to creating a sustainable competitive advantage.</w:t>
      </w:r>
      <w:r w:rsidRPr="0084635B">
        <w:rPr>
          <w:rStyle w:val="FootnoteReference"/>
          <w:rFonts w:ascii="Garamond" w:hAnsi="Garamond"/>
          <w:sz w:val="24"/>
          <w:szCs w:val="24"/>
        </w:rPr>
        <w:footnoteReference w:id="1"/>
      </w:r>
      <w:r w:rsidRPr="0084635B">
        <w:rPr>
          <w:rFonts w:ascii="Garamond" w:hAnsi="Garamond"/>
          <w:sz w:val="24"/>
          <w:szCs w:val="24"/>
        </w:rPr>
        <w:t xml:space="preserve"> Under development of information and knowledge causes a person </w:t>
      </w:r>
      <w:r w:rsidRPr="0084635B">
        <w:rPr>
          <w:rFonts w:ascii="Garamond" w:hAnsi="Garamond"/>
          <w:sz w:val="24"/>
          <w:szCs w:val="24"/>
        </w:rPr>
        <w:lastRenderedPageBreak/>
        <w:t>to lose opportunities in competing, including in the fields of economics and business.</w:t>
      </w:r>
      <w:r w:rsidRPr="0084635B">
        <w:rPr>
          <w:rStyle w:val="FootnoteReference"/>
          <w:rFonts w:ascii="Garamond" w:hAnsi="Garamond"/>
          <w:sz w:val="24"/>
          <w:szCs w:val="24"/>
        </w:rPr>
        <w:footnoteReference w:id="2"/>
      </w:r>
      <w:r w:rsidRPr="0084635B">
        <w:rPr>
          <w:rFonts w:ascii="Garamond" w:hAnsi="Garamond"/>
          <w:sz w:val="24"/>
          <w:szCs w:val="24"/>
        </w:rPr>
        <w:t xml:space="preserve"> For companies, knowledge and understanding of a product can increase market opportunities so that the potential for profit is greater. This means that if more consumers know about a product, it will make consumers feel confident in deciding to buy a product. For the consumers, information on products  is very important to make a decision to buy or not based on their needs considerations.</w:t>
      </w:r>
      <w:r w:rsidRPr="0084635B">
        <w:rPr>
          <w:rStyle w:val="FootnoteReference"/>
          <w:rFonts w:ascii="Garamond" w:hAnsi="Garamond"/>
          <w:sz w:val="24"/>
          <w:szCs w:val="24"/>
        </w:rPr>
        <w:footnoteReference w:id="3"/>
      </w:r>
    </w:p>
    <w:p w:rsidR="00987639" w:rsidRPr="0084635B" w:rsidRDefault="00987639" w:rsidP="00347018">
      <w:pPr>
        <w:spacing w:after="0" w:line="276" w:lineRule="auto"/>
        <w:ind w:firstLine="567"/>
        <w:jc w:val="both"/>
        <w:rPr>
          <w:rFonts w:ascii="Garamond" w:hAnsi="Garamond"/>
          <w:sz w:val="24"/>
          <w:szCs w:val="24"/>
        </w:rPr>
      </w:pPr>
      <w:r w:rsidRPr="0084635B">
        <w:rPr>
          <w:rFonts w:ascii="Garamond" w:hAnsi="Garamond"/>
          <w:sz w:val="24"/>
          <w:szCs w:val="24"/>
        </w:rPr>
        <w:t>Factors that influence a customer's decision can be categorized into factors of interest  and knowledge level factors. Interest is feelings of pleasure accompany a tendency to pay attention to people who act towards people whose activities or situations are the objects of interest. The consumer knowledge factor can be viewed from the higher level of knowledge possessed by consumers, the more knowledge about the product. This knowledge will later influence consumer decisions and trust in a product. Knowledge is information stored a person in the memory of his brain some of these information functions for consumers to recognize the market.</w:t>
      </w:r>
      <w:r w:rsidRPr="0084635B">
        <w:rPr>
          <w:rStyle w:val="FootnoteReference"/>
          <w:rFonts w:ascii="Garamond" w:hAnsi="Garamond"/>
          <w:sz w:val="24"/>
          <w:szCs w:val="24"/>
        </w:rPr>
        <w:footnoteReference w:id="4"/>
      </w:r>
    </w:p>
    <w:p w:rsidR="00987639" w:rsidRPr="0084635B" w:rsidRDefault="00987639" w:rsidP="00347018">
      <w:pPr>
        <w:spacing w:after="0" w:line="276" w:lineRule="auto"/>
        <w:ind w:firstLine="567"/>
        <w:jc w:val="both"/>
        <w:rPr>
          <w:rFonts w:ascii="Garamond" w:hAnsi="Garamond"/>
          <w:sz w:val="24"/>
          <w:szCs w:val="24"/>
        </w:rPr>
      </w:pPr>
      <w:r w:rsidRPr="0084635B">
        <w:rPr>
          <w:rFonts w:ascii="Garamond" w:hAnsi="Garamond"/>
          <w:sz w:val="24"/>
          <w:szCs w:val="24"/>
        </w:rPr>
        <w:t xml:space="preserve">Fact that sharia insurance is one of the commercial products that is growing in society.  The existence of sharia insurance can be an alternative for the community to obtain risk replacement of insurance services based on sharia principles. By applying sharia principles, it is hoped that practices of insurance can avoid </w:t>
      </w:r>
      <w:r w:rsidRPr="0084635B">
        <w:rPr>
          <w:rFonts w:ascii="Garamond" w:hAnsi="Garamond"/>
          <w:i/>
          <w:iCs/>
          <w:sz w:val="24"/>
          <w:szCs w:val="24"/>
        </w:rPr>
        <w:t>usury, gharar, maysir, zulm</w:t>
      </w:r>
      <w:r w:rsidRPr="0084635B">
        <w:rPr>
          <w:rFonts w:ascii="Garamond" w:hAnsi="Garamond"/>
          <w:sz w:val="24"/>
          <w:szCs w:val="24"/>
        </w:rPr>
        <w:t>, which are prohibited by law.</w:t>
      </w:r>
      <w:r w:rsidRPr="0084635B">
        <w:rPr>
          <w:rStyle w:val="FootnoteReference"/>
          <w:rFonts w:ascii="Garamond" w:hAnsi="Garamond"/>
          <w:sz w:val="24"/>
          <w:szCs w:val="24"/>
        </w:rPr>
        <w:footnoteReference w:id="5"/>
      </w:r>
      <w:r w:rsidRPr="0084635B">
        <w:rPr>
          <w:rFonts w:ascii="Garamond" w:hAnsi="Garamond"/>
          <w:sz w:val="24"/>
          <w:szCs w:val="24"/>
          <w:vertAlign w:val="superscript"/>
        </w:rPr>
        <w:t xml:space="preserve"> </w:t>
      </w:r>
      <w:r w:rsidRPr="0084635B">
        <w:rPr>
          <w:rFonts w:ascii="Garamond" w:hAnsi="Garamond"/>
          <w:sz w:val="24"/>
          <w:szCs w:val="24"/>
        </w:rPr>
        <w:t>The good faith of a Muslim who tries to apply sharia principles through contracts and stays away from prohibited aspects, will certainly get a reward from Allah SWT.</w:t>
      </w:r>
    </w:p>
    <w:p w:rsidR="00987639" w:rsidRPr="0084635B" w:rsidRDefault="00987639" w:rsidP="00347018">
      <w:pPr>
        <w:spacing w:after="0" w:line="276" w:lineRule="auto"/>
        <w:ind w:firstLine="567"/>
        <w:jc w:val="both"/>
        <w:rPr>
          <w:rFonts w:ascii="Garamond" w:hAnsi="Garamond"/>
          <w:sz w:val="24"/>
          <w:szCs w:val="24"/>
        </w:rPr>
      </w:pPr>
      <w:r w:rsidRPr="0084635B">
        <w:rPr>
          <w:rFonts w:ascii="Garamond" w:hAnsi="Garamond"/>
          <w:sz w:val="24"/>
          <w:szCs w:val="24"/>
        </w:rPr>
        <w:t>According data from the Financial Services Authority (OJK) at the end of 202</w:t>
      </w:r>
      <w:r w:rsidR="0084635B">
        <w:rPr>
          <w:rFonts w:ascii="Garamond" w:hAnsi="Garamond"/>
          <w:sz w:val="24"/>
          <w:szCs w:val="24"/>
        </w:rPr>
        <w:t>2</w:t>
      </w:r>
      <w:r w:rsidRPr="0084635B">
        <w:rPr>
          <w:rFonts w:ascii="Garamond" w:hAnsi="Garamond"/>
          <w:sz w:val="24"/>
          <w:szCs w:val="24"/>
        </w:rPr>
        <w:t>, the number of sharia life insurance are 7 full sharia and 23 sharia units,  the companies for general sharia insurance are 6 full sharia and 20  sharia units. Meanwhile, the number of  sharia reinsurance companies are 1 full sharia and 3 sharia units.</w:t>
      </w:r>
      <w:r w:rsidRPr="0084635B">
        <w:rPr>
          <w:rStyle w:val="FootnoteReference"/>
          <w:rFonts w:ascii="Garamond" w:hAnsi="Garamond"/>
          <w:sz w:val="24"/>
          <w:szCs w:val="24"/>
        </w:rPr>
        <w:footnoteReference w:id="6"/>
      </w:r>
      <w:r w:rsidRPr="0084635B">
        <w:rPr>
          <w:rFonts w:ascii="Garamond" w:hAnsi="Garamond"/>
          <w:sz w:val="24"/>
          <w:szCs w:val="24"/>
        </w:rPr>
        <w:t xml:space="preserve"> Although institutionally, the number of sharia insurance companies has increased, but the market share is still very low when compared to conventional insurance. According to OJK, the sharia insurance market share has only reached 5.3 percent at the end of 202</w:t>
      </w:r>
      <w:r w:rsidR="0084635B">
        <w:rPr>
          <w:rFonts w:ascii="Garamond" w:hAnsi="Garamond"/>
          <w:sz w:val="24"/>
          <w:szCs w:val="24"/>
        </w:rPr>
        <w:t>2</w:t>
      </w:r>
      <w:r w:rsidRPr="0084635B">
        <w:rPr>
          <w:rFonts w:ascii="Garamond" w:hAnsi="Garamond"/>
          <w:sz w:val="24"/>
          <w:szCs w:val="24"/>
        </w:rPr>
        <w:t>.</w:t>
      </w:r>
      <w:r w:rsidRPr="0084635B">
        <w:rPr>
          <w:rFonts w:ascii="Garamond" w:hAnsi="Garamond"/>
          <w:sz w:val="24"/>
          <w:szCs w:val="24"/>
          <w:vertAlign w:val="superscript"/>
        </w:rPr>
        <w:footnoteReference w:id="7"/>
      </w:r>
      <w:r w:rsidRPr="0084635B">
        <w:rPr>
          <w:rFonts w:ascii="Garamond" w:hAnsi="Garamond"/>
          <w:sz w:val="24"/>
          <w:szCs w:val="24"/>
        </w:rPr>
        <w:t xml:space="preserve"> Many factors affect the growth of sharia insurance market share in Indonesia, including the understanding and the trust of sharia insurance.</w:t>
      </w:r>
    </w:p>
    <w:p w:rsidR="00987639" w:rsidRPr="0084635B" w:rsidRDefault="00987639" w:rsidP="00347018">
      <w:pPr>
        <w:spacing w:after="0" w:line="276" w:lineRule="auto"/>
        <w:ind w:firstLine="567"/>
        <w:jc w:val="both"/>
        <w:rPr>
          <w:rFonts w:ascii="Garamond" w:hAnsi="Garamond"/>
          <w:sz w:val="24"/>
          <w:szCs w:val="24"/>
        </w:rPr>
      </w:pPr>
      <w:r w:rsidRPr="0084635B">
        <w:rPr>
          <w:rFonts w:ascii="Garamond" w:hAnsi="Garamond"/>
          <w:sz w:val="24"/>
          <w:szCs w:val="24"/>
        </w:rPr>
        <w:lastRenderedPageBreak/>
        <w:t>Previous research has shown that the level of understanding and literacy of sharia insurance is very influential on people's interest to become participants. The public that  have not had comprehensive information on insurance yet tend to have negative perception.</w:t>
      </w:r>
      <w:r w:rsidRPr="0084635B">
        <w:rPr>
          <w:rStyle w:val="FootnoteReference"/>
          <w:rFonts w:ascii="Garamond" w:hAnsi="Garamond"/>
          <w:sz w:val="24"/>
          <w:szCs w:val="24"/>
        </w:rPr>
        <w:footnoteReference w:id="8"/>
      </w:r>
      <w:r w:rsidRPr="0084635B">
        <w:rPr>
          <w:rFonts w:ascii="Garamond" w:hAnsi="Garamond"/>
          <w:sz w:val="24"/>
          <w:szCs w:val="24"/>
        </w:rPr>
        <w:t xml:space="preserve"> The existence of misunderstandings can lead to suboptimal decision making on insurance, and  the  lack of understanding was correlated with their insurance choices.</w:t>
      </w:r>
      <w:r w:rsidRPr="0084635B">
        <w:rPr>
          <w:rStyle w:val="FootnoteReference"/>
          <w:rFonts w:ascii="Garamond" w:hAnsi="Garamond"/>
          <w:sz w:val="24"/>
          <w:szCs w:val="24"/>
        </w:rPr>
        <w:footnoteReference w:id="9"/>
      </w:r>
      <w:r w:rsidRPr="0084635B">
        <w:rPr>
          <w:rFonts w:ascii="Garamond" w:hAnsi="Garamond"/>
          <w:sz w:val="24"/>
          <w:szCs w:val="24"/>
        </w:rPr>
        <w:t xml:space="preserve"> In addition, an understanding of insurance products will affect the trust of the consumers. In business, trust has become a critical element because trust is a rational process that is created and maintained from time to time.</w:t>
      </w:r>
      <w:r w:rsidRPr="0084635B">
        <w:rPr>
          <w:rStyle w:val="FootnoteReference"/>
          <w:rFonts w:ascii="Garamond" w:hAnsi="Garamond"/>
          <w:sz w:val="24"/>
          <w:szCs w:val="24"/>
        </w:rPr>
        <w:footnoteReference w:id="10"/>
      </w:r>
    </w:p>
    <w:p w:rsidR="00987639" w:rsidRPr="0084635B" w:rsidRDefault="00987639" w:rsidP="00347018">
      <w:pPr>
        <w:spacing w:after="0" w:line="276" w:lineRule="auto"/>
        <w:ind w:firstLine="567"/>
        <w:jc w:val="both"/>
        <w:rPr>
          <w:rFonts w:ascii="Garamond" w:hAnsi="Garamond"/>
          <w:sz w:val="24"/>
          <w:szCs w:val="24"/>
        </w:rPr>
      </w:pPr>
      <w:r w:rsidRPr="0084635B">
        <w:rPr>
          <w:rFonts w:ascii="Garamond" w:hAnsi="Garamond"/>
          <w:sz w:val="24"/>
          <w:szCs w:val="24"/>
        </w:rPr>
        <w:t xml:space="preserve">Although research on the </w:t>
      </w:r>
      <w:r w:rsidR="0084635B" w:rsidRPr="0084635B">
        <w:rPr>
          <w:rFonts w:ascii="Garamond" w:hAnsi="Garamond"/>
          <w:sz w:val="24"/>
          <w:szCs w:val="24"/>
        </w:rPr>
        <w:t xml:space="preserve">level </w:t>
      </w:r>
      <w:r w:rsidR="0084635B">
        <w:rPr>
          <w:rFonts w:ascii="Garamond" w:hAnsi="Garamond"/>
          <w:sz w:val="24"/>
          <w:szCs w:val="24"/>
        </w:rPr>
        <w:t xml:space="preserve">of </w:t>
      </w:r>
      <w:r w:rsidRPr="0084635B">
        <w:rPr>
          <w:rFonts w:ascii="Garamond" w:hAnsi="Garamond"/>
          <w:sz w:val="24"/>
          <w:szCs w:val="24"/>
        </w:rPr>
        <w:t xml:space="preserve">understanding </w:t>
      </w:r>
      <w:r w:rsidR="0084635B">
        <w:rPr>
          <w:rFonts w:ascii="Garamond" w:hAnsi="Garamond"/>
          <w:sz w:val="24"/>
          <w:szCs w:val="24"/>
        </w:rPr>
        <w:t>on</w:t>
      </w:r>
      <w:r w:rsidRPr="0084635B">
        <w:rPr>
          <w:rFonts w:ascii="Garamond" w:hAnsi="Garamond"/>
          <w:sz w:val="24"/>
          <w:szCs w:val="24"/>
        </w:rPr>
        <w:t xml:space="preserve"> sharia insurance has been conducted, but there is no  empirical research addressing this  issue for Muslim society in Malang City.  Several cities have surveyed regarding the level of understanding </w:t>
      </w:r>
      <w:r w:rsidR="0084635B">
        <w:rPr>
          <w:rFonts w:ascii="Garamond" w:hAnsi="Garamond"/>
          <w:sz w:val="24"/>
          <w:szCs w:val="24"/>
        </w:rPr>
        <w:t>on</w:t>
      </w:r>
      <w:r w:rsidRPr="0084635B">
        <w:rPr>
          <w:rFonts w:ascii="Garamond" w:hAnsi="Garamond"/>
          <w:sz w:val="24"/>
          <w:szCs w:val="24"/>
        </w:rPr>
        <w:t xml:space="preserve"> sharia insurance, such as: Solo (2020),</w:t>
      </w:r>
      <w:r w:rsidRPr="0084635B">
        <w:rPr>
          <w:rFonts w:ascii="Garamond" w:hAnsi="Garamond"/>
          <w:sz w:val="24"/>
          <w:szCs w:val="24"/>
          <w:vertAlign w:val="superscript"/>
        </w:rPr>
        <w:footnoteReference w:id="11"/>
      </w:r>
      <w:r w:rsidRPr="0084635B">
        <w:rPr>
          <w:rFonts w:ascii="Garamond" w:hAnsi="Garamond"/>
          <w:sz w:val="24"/>
          <w:szCs w:val="24"/>
        </w:rPr>
        <w:t xml:space="preserve"> Pekalongan (2018).</w:t>
      </w:r>
      <w:r w:rsidRPr="0084635B">
        <w:rPr>
          <w:rStyle w:val="FootnoteReference"/>
          <w:rFonts w:ascii="Garamond" w:hAnsi="Garamond"/>
          <w:sz w:val="24"/>
          <w:szCs w:val="24"/>
        </w:rPr>
        <w:footnoteReference w:id="12"/>
      </w:r>
      <w:r w:rsidRPr="0084635B">
        <w:rPr>
          <w:rFonts w:ascii="Garamond" w:hAnsi="Garamond"/>
          <w:sz w:val="24"/>
          <w:szCs w:val="24"/>
        </w:rPr>
        <w:t xml:space="preserve"> Research on the level of trust has been carried out at the scope of PT. Takaful (2021).</w:t>
      </w:r>
      <w:r w:rsidRPr="0084635B">
        <w:rPr>
          <w:rStyle w:val="FootnoteReference"/>
          <w:rFonts w:ascii="Garamond" w:hAnsi="Garamond"/>
          <w:sz w:val="24"/>
          <w:szCs w:val="24"/>
        </w:rPr>
        <w:footnoteReference w:id="13"/>
      </w:r>
      <w:r w:rsidRPr="0084635B">
        <w:rPr>
          <w:rFonts w:ascii="Garamond" w:hAnsi="Garamond"/>
          <w:sz w:val="24"/>
          <w:szCs w:val="24"/>
          <w:vertAlign w:val="superscript"/>
        </w:rPr>
        <w:t xml:space="preserve"> </w:t>
      </w:r>
      <w:r w:rsidRPr="0084635B">
        <w:rPr>
          <w:rFonts w:ascii="Garamond" w:hAnsi="Garamond"/>
          <w:sz w:val="24"/>
          <w:szCs w:val="24"/>
        </w:rPr>
        <w:t xml:space="preserve"> This article is the result of a empirical research that had measured both the level of understanding and trust toward the concept of sharia insurance</w:t>
      </w:r>
      <w:r w:rsidR="0084635B">
        <w:rPr>
          <w:rFonts w:ascii="Garamond" w:hAnsi="Garamond"/>
          <w:sz w:val="24"/>
          <w:szCs w:val="24"/>
        </w:rPr>
        <w:t xml:space="preserve"> from Muslim society in Malang City</w:t>
      </w:r>
      <w:r w:rsidRPr="0084635B">
        <w:rPr>
          <w:rFonts w:ascii="Garamond" w:hAnsi="Garamond"/>
          <w:sz w:val="24"/>
          <w:szCs w:val="24"/>
        </w:rPr>
        <w:t xml:space="preserve">.  The purpose of this article is to develop the knowledge of sharia insurance </w:t>
      </w:r>
      <w:r w:rsidR="00347018">
        <w:rPr>
          <w:rFonts w:ascii="Garamond" w:hAnsi="Garamond"/>
          <w:sz w:val="24"/>
          <w:szCs w:val="24"/>
        </w:rPr>
        <w:t xml:space="preserve">which </w:t>
      </w:r>
      <w:r w:rsidR="0084635B">
        <w:rPr>
          <w:rFonts w:ascii="Garamond" w:hAnsi="Garamond"/>
          <w:sz w:val="24"/>
          <w:szCs w:val="24"/>
        </w:rPr>
        <w:t xml:space="preserve"> is </w:t>
      </w:r>
      <w:r w:rsidRPr="0084635B">
        <w:rPr>
          <w:rFonts w:ascii="Garamond" w:hAnsi="Garamond"/>
          <w:sz w:val="24"/>
          <w:szCs w:val="24"/>
        </w:rPr>
        <w:t xml:space="preserve">sourced from empirical data.  </w:t>
      </w:r>
    </w:p>
    <w:p w:rsidR="00987639" w:rsidRPr="0084635B" w:rsidRDefault="00987639" w:rsidP="00347018">
      <w:pPr>
        <w:spacing w:line="276" w:lineRule="auto"/>
        <w:ind w:firstLine="720"/>
        <w:rPr>
          <w:rFonts w:ascii="Garamond" w:hAnsi="Garamond"/>
          <w:sz w:val="24"/>
          <w:szCs w:val="24"/>
        </w:rPr>
      </w:pPr>
    </w:p>
    <w:p w:rsidR="00987639" w:rsidRPr="0084635B" w:rsidRDefault="00347018" w:rsidP="00347018">
      <w:pPr>
        <w:tabs>
          <w:tab w:val="left" w:pos="280"/>
        </w:tabs>
        <w:spacing w:after="0" w:line="276" w:lineRule="auto"/>
        <w:ind w:left="284" w:hanging="284"/>
        <w:jc w:val="both"/>
        <w:rPr>
          <w:rFonts w:ascii="Garamond" w:hAnsi="Garamond" w:cs="Segoe UI"/>
          <w:b/>
          <w:bCs/>
          <w:sz w:val="24"/>
          <w:szCs w:val="24"/>
          <w:shd w:val="clear" w:color="auto" w:fill="FFFFFF"/>
        </w:rPr>
      </w:pPr>
      <w:r>
        <w:rPr>
          <w:rFonts w:ascii="Garamond" w:hAnsi="Garamond"/>
          <w:b/>
          <w:sz w:val="24"/>
          <w:szCs w:val="24"/>
        </w:rPr>
        <w:t xml:space="preserve">Research </w:t>
      </w:r>
      <w:r w:rsidRPr="0084635B">
        <w:rPr>
          <w:rFonts w:ascii="Garamond" w:hAnsi="Garamond"/>
          <w:b/>
          <w:sz w:val="24"/>
          <w:szCs w:val="24"/>
        </w:rPr>
        <w:t>Methods</w:t>
      </w:r>
    </w:p>
    <w:p w:rsidR="00987639" w:rsidRPr="0084635B" w:rsidRDefault="00987639" w:rsidP="00347018">
      <w:pPr>
        <w:spacing w:after="0" w:line="276" w:lineRule="auto"/>
        <w:ind w:firstLine="567"/>
        <w:jc w:val="both"/>
        <w:rPr>
          <w:rFonts w:ascii="Garamond" w:hAnsi="Garamond"/>
          <w:sz w:val="24"/>
          <w:szCs w:val="24"/>
        </w:rPr>
      </w:pPr>
      <w:r w:rsidRPr="0084635B">
        <w:rPr>
          <w:rFonts w:ascii="Garamond" w:eastAsia="Calibri" w:hAnsi="Garamond" w:cs="Times New Roman"/>
          <w:sz w:val="24"/>
          <w:szCs w:val="24"/>
        </w:rPr>
        <w:t>This paper is result of  empirical research which has used descriptive quantitative analysis method to elaborate facts about the level of understanding and trust of Muslim society in Malang city on sharia insurance. Data were collected from 200 respondents with various professional backgrounds through technique of questionnaire. Respondents were determined based on simple random sampling, namely the method of taking samples from members of the population using random regardless of the strata in the members of the population. The data that has been collected, then they will be analyzed with indicators scattered on the questions (Q) that have been prepared. If the answer is correct it will be given 1 point and if it is wrong it will be given 0 point. Total score obtained will then be calculated in the form of a percentage (%) as follows:</w:t>
      </w:r>
    </w:p>
    <w:p w:rsidR="00987639" w:rsidRPr="0084635B" w:rsidRDefault="00987639" w:rsidP="00347018">
      <w:pPr>
        <w:pStyle w:val="HTMLPreformatted"/>
        <w:spacing w:line="276" w:lineRule="auto"/>
        <w:ind w:firstLine="426"/>
        <w:jc w:val="both"/>
        <w:rPr>
          <w:rFonts w:ascii="Garamond" w:hAnsi="Garamond"/>
          <w:sz w:val="22"/>
          <w:szCs w:val="22"/>
        </w:rPr>
      </w:pPr>
      <w:r w:rsidRPr="0084635B">
        <w:rPr>
          <w:rFonts w:ascii="Garamond" w:hAnsi="Garamond"/>
          <w:noProof/>
          <w:sz w:val="22"/>
          <w:szCs w:val="22"/>
        </w:rPr>
        <w:drawing>
          <wp:inline distT="0" distB="0" distL="0" distR="0">
            <wp:extent cx="1177925" cy="409575"/>
            <wp:effectExtent l="0" t="0" r="317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1177925" cy="409575"/>
                    </a:xfrm>
                    <a:prstGeom prst="rect">
                      <a:avLst/>
                    </a:prstGeom>
                    <a:noFill/>
                    <a:ln>
                      <a:noFill/>
                    </a:ln>
                  </pic:spPr>
                </pic:pic>
              </a:graphicData>
            </a:graphic>
          </wp:inline>
        </w:drawing>
      </w:r>
    </w:p>
    <w:p w:rsidR="00987639" w:rsidRPr="0084635B" w:rsidRDefault="00987639" w:rsidP="00347018">
      <w:pPr>
        <w:pStyle w:val="HTMLPreformatted"/>
        <w:spacing w:line="276" w:lineRule="auto"/>
        <w:ind w:firstLine="426"/>
        <w:jc w:val="both"/>
        <w:rPr>
          <w:rFonts w:ascii="Garamond" w:hAnsi="Garamond"/>
          <w:sz w:val="22"/>
          <w:szCs w:val="22"/>
          <w:lang w:val="en-GB"/>
        </w:rPr>
      </w:pPr>
    </w:p>
    <w:p w:rsidR="00987639" w:rsidRPr="0084635B" w:rsidRDefault="00987639" w:rsidP="00347018">
      <w:pPr>
        <w:pStyle w:val="HTMLPreformatted"/>
        <w:spacing w:line="276" w:lineRule="auto"/>
        <w:rPr>
          <w:rFonts w:ascii="Garamond" w:hAnsi="Garamond"/>
          <w:sz w:val="24"/>
          <w:szCs w:val="24"/>
        </w:rPr>
      </w:pPr>
      <w:r w:rsidRPr="0084635B">
        <w:rPr>
          <w:rFonts w:ascii="Garamond" w:hAnsi="Garamond"/>
          <w:sz w:val="24"/>
          <w:szCs w:val="24"/>
          <w:u w:val="single"/>
        </w:rPr>
        <w:lastRenderedPageBreak/>
        <w:t>Explanation</w:t>
      </w:r>
      <w:r w:rsidRPr="0084635B">
        <w:rPr>
          <w:rFonts w:ascii="Garamond" w:hAnsi="Garamond"/>
          <w:sz w:val="24"/>
          <w:szCs w:val="24"/>
          <w:lang w:val="en-GB"/>
        </w:rPr>
        <w:t>:</w:t>
      </w:r>
    </w:p>
    <w:p w:rsidR="00987639" w:rsidRPr="0084635B" w:rsidRDefault="00987639" w:rsidP="00347018">
      <w:pPr>
        <w:pStyle w:val="HTMLPreformatted"/>
        <w:spacing w:line="276" w:lineRule="auto"/>
        <w:rPr>
          <w:rFonts w:ascii="Garamond" w:hAnsi="Garamond"/>
          <w:sz w:val="24"/>
          <w:szCs w:val="24"/>
        </w:rPr>
      </w:pPr>
      <w:r w:rsidRPr="0084635B">
        <w:rPr>
          <w:rFonts w:ascii="Garamond" w:hAnsi="Garamond"/>
          <w:sz w:val="24"/>
          <w:szCs w:val="24"/>
          <w:lang w:val="en-GB"/>
        </w:rPr>
        <w:t xml:space="preserve">P  :  </w:t>
      </w:r>
      <w:r w:rsidRPr="0084635B">
        <w:rPr>
          <w:rFonts w:ascii="Garamond" w:hAnsi="Garamond"/>
          <w:sz w:val="24"/>
          <w:szCs w:val="24"/>
        </w:rPr>
        <w:t>Percentage</w:t>
      </w:r>
    </w:p>
    <w:p w:rsidR="00987639" w:rsidRPr="0084635B" w:rsidRDefault="00987639" w:rsidP="00347018">
      <w:pPr>
        <w:pStyle w:val="HTMLPreformatted"/>
        <w:spacing w:line="276" w:lineRule="auto"/>
        <w:rPr>
          <w:rFonts w:ascii="Garamond" w:hAnsi="Garamond"/>
          <w:sz w:val="24"/>
          <w:szCs w:val="24"/>
        </w:rPr>
      </w:pPr>
      <w:r w:rsidRPr="0084635B">
        <w:rPr>
          <w:rFonts w:ascii="Garamond" w:hAnsi="Garamond"/>
          <w:sz w:val="24"/>
          <w:szCs w:val="24"/>
          <w:lang w:val="en-GB"/>
        </w:rPr>
        <w:t xml:space="preserve">f   : </w:t>
      </w:r>
      <w:r w:rsidRPr="0084635B">
        <w:rPr>
          <w:rFonts w:ascii="Garamond" w:hAnsi="Garamond"/>
          <w:sz w:val="24"/>
          <w:szCs w:val="24"/>
        </w:rPr>
        <w:t>Total score obtained</w:t>
      </w:r>
    </w:p>
    <w:p w:rsidR="00987639" w:rsidRPr="0084635B" w:rsidRDefault="00987639" w:rsidP="00347018">
      <w:pPr>
        <w:pStyle w:val="HTMLPreformatted"/>
        <w:spacing w:line="276" w:lineRule="auto"/>
        <w:rPr>
          <w:rFonts w:ascii="Garamond" w:hAnsi="Garamond"/>
          <w:sz w:val="24"/>
          <w:szCs w:val="24"/>
        </w:rPr>
      </w:pPr>
      <w:r w:rsidRPr="0084635B">
        <w:rPr>
          <w:rFonts w:ascii="Garamond" w:hAnsi="Garamond"/>
          <w:sz w:val="24"/>
          <w:szCs w:val="24"/>
          <w:lang w:val="en-GB"/>
        </w:rPr>
        <w:t xml:space="preserve">n  : </w:t>
      </w:r>
      <w:r w:rsidRPr="0084635B">
        <w:rPr>
          <w:rFonts w:ascii="Garamond" w:hAnsi="Garamond"/>
          <w:sz w:val="24"/>
          <w:szCs w:val="24"/>
        </w:rPr>
        <w:t>Total ideal score overall</w:t>
      </w:r>
    </w:p>
    <w:p w:rsidR="00987639" w:rsidRPr="0084635B" w:rsidRDefault="00987639" w:rsidP="00347018">
      <w:pPr>
        <w:pStyle w:val="HTMLPreformatted"/>
        <w:spacing w:line="276" w:lineRule="auto"/>
        <w:ind w:firstLine="426"/>
        <w:jc w:val="both"/>
        <w:rPr>
          <w:rFonts w:ascii="Garamond" w:hAnsi="Garamond"/>
          <w:sz w:val="24"/>
          <w:szCs w:val="24"/>
        </w:rPr>
      </w:pPr>
    </w:p>
    <w:p w:rsidR="00987639" w:rsidRPr="0084635B" w:rsidRDefault="00987639" w:rsidP="00347018">
      <w:pPr>
        <w:pStyle w:val="HTMLPreformatted"/>
        <w:spacing w:line="276" w:lineRule="auto"/>
        <w:jc w:val="both"/>
        <w:rPr>
          <w:rFonts w:ascii="Garamond" w:hAnsi="Garamond"/>
          <w:sz w:val="24"/>
          <w:szCs w:val="24"/>
        </w:rPr>
      </w:pPr>
      <w:r w:rsidRPr="0084635B">
        <w:rPr>
          <w:rFonts w:ascii="Garamond" w:hAnsi="Garamond"/>
          <w:sz w:val="24"/>
          <w:szCs w:val="24"/>
        </w:rPr>
        <w:t xml:space="preserve">From the calculation of percentage, it will be known the level of </w:t>
      </w:r>
      <w:r w:rsidRPr="0084635B">
        <w:rPr>
          <w:rFonts w:ascii="Garamond" w:hAnsi="Garamond"/>
          <w:sz w:val="24"/>
          <w:szCs w:val="24"/>
          <w:lang w:val="id-ID"/>
        </w:rPr>
        <w:t>understanding and trust</w:t>
      </w:r>
      <w:r w:rsidRPr="0084635B">
        <w:rPr>
          <w:rFonts w:ascii="Garamond" w:hAnsi="Garamond"/>
          <w:sz w:val="24"/>
          <w:szCs w:val="24"/>
        </w:rPr>
        <w:t xml:space="preserve"> as follows:</w:t>
      </w:r>
    </w:p>
    <w:p w:rsidR="00987639" w:rsidRPr="0084635B" w:rsidRDefault="00987639" w:rsidP="00987639">
      <w:pPr>
        <w:pStyle w:val="HTMLPreformatted"/>
        <w:ind w:firstLine="426"/>
        <w:jc w:val="both"/>
        <w:rPr>
          <w:rFonts w:ascii="Garamond" w:hAnsi="Garamond"/>
          <w:sz w:val="22"/>
          <w:szCs w:val="22"/>
        </w:rPr>
      </w:pPr>
    </w:p>
    <w:tbl>
      <w:tblPr>
        <w:tblW w:w="41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255"/>
        <w:gridCol w:w="2928"/>
      </w:tblGrid>
      <w:tr w:rsidR="00987639" w:rsidRPr="0084635B" w:rsidTr="00947003">
        <w:trPr>
          <w:trHeight w:val="796"/>
        </w:trPr>
        <w:tc>
          <w:tcPr>
            <w:tcW w:w="936" w:type="dxa"/>
            <w:shd w:val="clear" w:color="auto" w:fill="F2F2F2"/>
            <w:hideMark/>
          </w:tcPr>
          <w:p w:rsidR="00987639" w:rsidRPr="0084635B" w:rsidRDefault="00987639" w:rsidP="00947003">
            <w:pPr>
              <w:pStyle w:val="HTMLPreformatted"/>
              <w:jc w:val="center"/>
              <w:rPr>
                <w:rFonts w:ascii="Garamond" w:hAnsi="Garamond"/>
                <w:b/>
                <w:bCs/>
                <w:sz w:val="22"/>
                <w:szCs w:val="22"/>
              </w:rPr>
            </w:pPr>
            <w:r w:rsidRPr="0084635B">
              <w:rPr>
                <w:rFonts w:ascii="Garamond" w:hAnsi="Garamond"/>
                <w:b/>
                <w:bCs/>
                <w:sz w:val="22"/>
                <w:szCs w:val="22"/>
                <w:lang w:val="en-GB"/>
              </w:rPr>
              <w:t>Percentage Interval</w:t>
            </w:r>
          </w:p>
          <w:p w:rsidR="00987639" w:rsidRPr="0084635B" w:rsidRDefault="00987639" w:rsidP="00947003">
            <w:pPr>
              <w:pStyle w:val="HTMLPreformatted"/>
              <w:jc w:val="center"/>
              <w:rPr>
                <w:rFonts w:ascii="Garamond" w:hAnsi="Garamond"/>
                <w:sz w:val="22"/>
                <w:szCs w:val="22"/>
              </w:rPr>
            </w:pPr>
            <w:r w:rsidRPr="0084635B">
              <w:rPr>
                <w:rFonts w:ascii="Garamond" w:hAnsi="Garamond"/>
                <w:b/>
                <w:bCs/>
                <w:sz w:val="22"/>
                <w:szCs w:val="22"/>
                <w:lang w:val="en-GB"/>
              </w:rPr>
              <w:t>(%)</w:t>
            </w:r>
          </w:p>
        </w:tc>
        <w:tc>
          <w:tcPr>
            <w:tcW w:w="3247" w:type="dxa"/>
            <w:shd w:val="clear" w:color="auto" w:fill="F2F2F2"/>
            <w:hideMark/>
          </w:tcPr>
          <w:p w:rsidR="00987639" w:rsidRPr="0084635B" w:rsidRDefault="00987639" w:rsidP="00947003">
            <w:pPr>
              <w:pStyle w:val="HTMLPreformatted"/>
              <w:jc w:val="center"/>
              <w:rPr>
                <w:rFonts w:ascii="Garamond" w:hAnsi="Garamond"/>
                <w:b/>
                <w:bCs/>
                <w:sz w:val="22"/>
                <w:szCs w:val="22"/>
              </w:rPr>
            </w:pPr>
            <w:r w:rsidRPr="0084635B">
              <w:rPr>
                <w:rFonts w:ascii="Garamond" w:hAnsi="Garamond"/>
                <w:b/>
                <w:bCs/>
                <w:sz w:val="22"/>
                <w:szCs w:val="22"/>
              </w:rPr>
              <w:t xml:space="preserve">Level of </w:t>
            </w:r>
          </w:p>
          <w:p w:rsidR="00987639" w:rsidRPr="0084635B" w:rsidRDefault="00987639" w:rsidP="00947003">
            <w:pPr>
              <w:pStyle w:val="HTMLPreformatted"/>
              <w:jc w:val="center"/>
              <w:rPr>
                <w:rFonts w:ascii="Garamond" w:hAnsi="Garamond"/>
                <w:b/>
                <w:bCs/>
                <w:sz w:val="22"/>
                <w:szCs w:val="22"/>
              </w:rPr>
            </w:pPr>
            <w:r w:rsidRPr="0084635B">
              <w:rPr>
                <w:rFonts w:ascii="Garamond" w:hAnsi="Garamond"/>
                <w:b/>
                <w:bCs/>
                <w:sz w:val="22"/>
                <w:szCs w:val="22"/>
              </w:rPr>
              <w:t>Understanding and Trust</w:t>
            </w:r>
          </w:p>
        </w:tc>
      </w:tr>
      <w:tr w:rsidR="00987639" w:rsidRPr="0084635B" w:rsidTr="00947003">
        <w:trPr>
          <w:trHeight w:val="276"/>
        </w:trPr>
        <w:tc>
          <w:tcPr>
            <w:tcW w:w="936" w:type="dxa"/>
            <w:shd w:val="clear" w:color="auto" w:fill="auto"/>
            <w:hideMark/>
          </w:tcPr>
          <w:p w:rsidR="00987639" w:rsidRPr="0084635B" w:rsidRDefault="00987639" w:rsidP="00947003">
            <w:pPr>
              <w:pStyle w:val="HTMLPreformatted"/>
              <w:jc w:val="center"/>
              <w:rPr>
                <w:rFonts w:ascii="Garamond" w:hAnsi="Garamond"/>
                <w:sz w:val="22"/>
                <w:szCs w:val="22"/>
              </w:rPr>
            </w:pPr>
            <w:r w:rsidRPr="0084635B">
              <w:rPr>
                <w:rFonts w:ascii="Garamond" w:hAnsi="Garamond"/>
                <w:sz w:val="22"/>
                <w:szCs w:val="22"/>
                <w:lang w:val="en-GB"/>
              </w:rPr>
              <w:t>00 - 25</w:t>
            </w:r>
          </w:p>
        </w:tc>
        <w:tc>
          <w:tcPr>
            <w:tcW w:w="3247" w:type="dxa"/>
            <w:shd w:val="clear" w:color="auto" w:fill="auto"/>
            <w:hideMark/>
          </w:tcPr>
          <w:p w:rsidR="00987639" w:rsidRPr="0084635B" w:rsidRDefault="00987639" w:rsidP="00947003">
            <w:pPr>
              <w:pStyle w:val="HTMLPreformatted"/>
              <w:jc w:val="center"/>
              <w:rPr>
                <w:rFonts w:ascii="Garamond" w:hAnsi="Garamond"/>
                <w:sz w:val="22"/>
                <w:szCs w:val="22"/>
                <w:lang w:val="en-GB"/>
              </w:rPr>
            </w:pPr>
            <w:r w:rsidRPr="0084635B">
              <w:rPr>
                <w:rFonts w:ascii="Garamond" w:hAnsi="Garamond"/>
                <w:sz w:val="22"/>
                <w:szCs w:val="22"/>
              </w:rPr>
              <w:t xml:space="preserve">Very </w:t>
            </w:r>
            <w:r w:rsidRPr="0084635B">
              <w:rPr>
                <w:rFonts w:ascii="Garamond" w:hAnsi="Garamond"/>
                <w:sz w:val="22"/>
                <w:szCs w:val="22"/>
                <w:lang w:val="en-GB"/>
              </w:rPr>
              <w:t>L</w:t>
            </w:r>
            <w:r w:rsidRPr="0084635B">
              <w:rPr>
                <w:rFonts w:ascii="Garamond" w:hAnsi="Garamond"/>
                <w:sz w:val="22"/>
                <w:szCs w:val="22"/>
              </w:rPr>
              <w:t>ow</w:t>
            </w:r>
            <w:r w:rsidRPr="0084635B">
              <w:rPr>
                <w:rFonts w:ascii="Garamond" w:hAnsi="Garamond"/>
                <w:sz w:val="22"/>
                <w:szCs w:val="22"/>
                <w:lang w:val="en-GB"/>
              </w:rPr>
              <w:t xml:space="preserve"> </w:t>
            </w:r>
          </w:p>
        </w:tc>
      </w:tr>
      <w:tr w:rsidR="00987639" w:rsidRPr="0084635B" w:rsidTr="00947003">
        <w:trPr>
          <w:trHeight w:val="260"/>
        </w:trPr>
        <w:tc>
          <w:tcPr>
            <w:tcW w:w="936" w:type="dxa"/>
            <w:shd w:val="clear" w:color="auto" w:fill="auto"/>
            <w:hideMark/>
          </w:tcPr>
          <w:p w:rsidR="00987639" w:rsidRPr="0084635B" w:rsidRDefault="00987639" w:rsidP="00947003">
            <w:pPr>
              <w:pStyle w:val="HTMLPreformatted"/>
              <w:jc w:val="center"/>
              <w:rPr>
                <w:rFonts w:ascii="Garamond" w:hAnsi="Garamond"/>
                <w:sz w:val="22"/>
                <w:szCs w:val="22"/>
              </w:rPr>
            </w:pPr>
            <w:r w:rsidRPr="0084635B">
              <w:rPr>
                <w:rFonts w:ascii="Garamond" w:hAnsi="Garamond"/>
                <w:sz w:val="22"/>
                <w:szCs w:val="22"/>
                <w:lang w:val="en-GB"/>
              </w:rPr>
              <w:t>26 - 50</w:t>
            </w:r>
          </w:p>
        </w:tc>
        <w:tc>
          <w:tcPr>
            <w:tcW w:w="3247" w:type="dxa"/>
            <w:shd w:val="clear" w:color="auto" w:fill="auto"/>
            <w:hideMark/>
          </w:tcPr>
          <w:p w:rsidR="00987639" w:rsidRPr="0084635B" w:rsidRDefault="00987639" w:rsidP="00947003">
            <w:pPr>
              <w:pStyle w:val="HTMLPreformatted"/>
              <w:jc w:val="center"/>
              <w:rPr>
                <w:rFonts w:ascii="Garamond" w:hAnsi="Garamond"/>
                <w:sz w:val="22"/>
                <w:szCs w:val="22"/>
              </w:rPr>
            </w:pPr>
            <w:r w:rsidRPr="0084635B">
              <w:rPr>
                <w:rFonts w:ascii="Garamond" w:hAnsi="Garamond"/>
                <w:sz w:val="22"/>
                <w:szCs w:val="22"/>
              </w:rPr>
              <w:t>Low</w:t>
            </w:r>
          </w:p>
        </w:tc>
      </w:tr>
      <w:tr w:rsidR="00987639" w:rsidRPr="0084635B" w:rsidTr="00947003">
        <w:trPr>
          <w:trHeight w:val="260"/>
        </w:trPr>
        <w:tc>
          <w:tcPr>
            <w:tcW w:w="936" w:type="dxa"/>
            <w:shd w:val="clear" w:color="auto" w:fill="auto"/>
            <w:hideMark/>
          </w:tcPr>
          <w:p w:rsidR="00987639" w:rsidRPr="0084635B" w:rsidRDefault="00987639" w:rsidP="00947003">
            <w:pPr>
              <w:pStyle w:val="HTMLPreformatted"/>
              <w:jc w:val="center"/>
              <w:rPr>
                <w:rFonts w:ascii="Garamond" w:hAnsi="Garamond"/>
                <w:sz w:val="22"/>
                <w:szCs w:val="22"/>
              </w:rPr>
            </w:pPr>
            <w:r w:rsidRPr="0084635B">
              <w:rPr>
                <w:rFonts w:ascii="Garamond" w:hAnsi="Garamond"/>
                <w:sz w:val="22"/>
                <w:szCs w:val="22"/>
                <w:lang w:val="en-GB"/>
              </w:rPr>
              <w:t>51 - 75</w:t>
            </w:r>
          </w:p>
        </w:tc>
        <w:tc>
          <w:tcPr>
            <w:tcW w:w="3247" w:type="dxa"/>
            <w:shd w:val="clear" w:color="auto" w:fill="auto"/>
            <w:hideMark/>
          </w:tcPr>
          <w:p w:rsidR="00987639" w:rsidRPr="0084635B" w:rsidRDefault="00987639" w:rsidP="00947003">
            <w:pPr>
              <w:pStyle w:val="HTMLPreformatted"/>
              <w:jc w:val="center"/>
              <w:rPr>
                <w:rFonts w:ascii="Garamond" w:hAnsi="Garamond"/>
                <w:sz w:val="22"/>
                <w:szCs w:val="22"/>
              </w:rPr>
            </w:pPr>
            <w:r w:rsidRPr="0084635B">
              <w:rPr>
                <w:rFonts w:ascii="Garamond" w:hAnsi="Garamond"/>
                <w:sz w:val="22"/>
                <w:szCs w:val="22"/>
              </w:rPr>
              <w:t>High</w:t>
            </w:r>
          </w:p>
        </w:tc>
      </w:tr>
      <w:tr w:rsidR="00987639" w:rsidRPr="0084635B" w:rsidTr="00947003">
        <w:trPr>
          <w:trHeight w:val="276"/>
        </w:trPr>
        <w:tc>
          <w:tcPr>
            <w:tcW w:w="936" w:type="dxa"/>
            <w:shd w:val="clear" w:color="auto" w:fill="auto"/>
            <w:hideMark/>
          </w:tcPr>
          <w:p w:rsidR="00987639" w:rsidRPr="0084635B" w:rsidRDefault="00987639" w:rsidP="00947003">
            <w:pPr>
              <w:pStyle w:val="HTMLPreformatted"/>
              <w:jc w:val="center"/>
              <w:rPr>
                <w:rFonts w:ascii="Garamond" w:hAnsi="Garamond"/>
                <w:sz w:val="22"/>
                <w:szCs w:val="22"/>
              </w:rPr>
            </w:pPr>
            <w:r w:rsidRPr="0084635B">
              <w:rPr>
                <w:rFonts w:ascii="Garamond" w:hAnsi="Garamond"/>
                <w:sz w:val="22"/>
                <w:szCs w:val="22"/>
                <w:lang w:val="en-GB"/>
              </w:rPr>
              <w:t>76 - 100</w:t>
            </w:r>
          </w:p>
        </w:tc>
        <w:tc>
          <w:tcPr>
            <w:tcW w:w="3247" w:type="dxa"/>
            <w:shd w:val="clear" w:color="auto" w:fill="auto"/>
            <w:hideMark/>
          </w:tcPr>
          <w:p w:rsidR="00987639" w:rsidRPr="0084635B" w:rsidRDefault="00987639" w:rsidP="00947003">
            <w:pPr>
              <w:pStyle w:val="HTMLPreformatted"/>
              <w:jc w:val="center"/>
              <w:rPr>
                <w:rFonts w:ascii="Garamond" w:hAnsi="Garamond"/>
                <w:sz w:val="22"/>
                <w:szCs w:val="22"/>
              </w:rPr>
            </w:pPr>
            <w:r w:rsidRPr="0084635B">
              <w:rPr>
                <w:rFonts w:ascii="Garamond" w:hAnsi="Garamond"/>
                <w:sz w:val="22"/>
                <w:szCs w:val="22"/>
              </w:rPr>
              <w:t>Very High</w:t>
            </w:r>
          </w:p>
        </w:tc>
      </w:tr>
    </w:tbl>
    <w:p w:rsidR="00987639" w:rsidRPr="0084635B" w:rsidRDefault="00987639" w:rsidP="00987639">
      <w:pPr>
        <w:spacing w:line="240" w:lineRule="auto"/>
        <w:ind w:firstLine="720"/>
        <w:jc w:val="both"/>
        <w:rPr>
          <w:rFonts w:ascii="Garamond" w:hAnsi="Garamond"/>
          <w:sz w:val="24"/>
          <w:szCs w:val="24"/>
        </w:rPr>
      </w:pPr>
    </w:p>
    <w:p w:rsidR="00987639" w:rsidRPr="0084635B" w:rsidRDefault="00987639" w:rsidP="00987639">
      <w:pPr>
        <w:tabs>
          <w:tab w:val="left" w:pos="280"/>
        </w:tabs>
        <w:spacing w:line="240" w:lineRule="auto"/>
        <w:ind w:left="284" w:hanging="284"/>
        <w:jc w:val="both"/>
        <w:rPr>
          <w:rFonts w:ascii="Garamond" w:hAnsi="Garamond"/>
          <w:b/>
          <w:sz w:val="24"/>
          <w:szCs w:val="24"/>
        </w:rPr>
      </w:pPr>
    </w:p>
    <w:p w:rsidR="00987639" w:rsidRPr="0084635B" w:rsidRDefault="00347018" w:rsidP="00347018">
      <w:pPr>
        <w:tabs>
          <w:tab w:val="left" w:pos="280"/>
        </w:tabs>
        <w:spacing w:after="0" w:line="276" w:lineRule="auto"/>
        <w:ind w:left="284" w:hanging="284"/>
        <w:jc w:val="both"/>
        <w:rPr>
          <w:rFonts w:ascii="Garamond" w:hAnsi="Garamond"/>
          <w:b/>
          <w:sz w:val="24"/>
          <w:szCs w:val="24"/>
        </w:rPr>
      </w:pPr>
      <w:r w:rsidRPr="0084635B">
        <w:rPr>
          <w:rFonts w:ascii="Garamond" w:hAnsi="Garamond"/>
          <w:b/>
          <w:sz w:val="24"/>
          <w:szCs w:val="24"/>
        </w:rPr>
        <w:t>Discussion</w:t>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 xml:space="preserve">This data is the result of empirical research that surveyed the level of understanding, trust, and response about sharia insurance. However, what is elaborated  in this paper is only related to the level of understanding and trust. Based on previous research stated that the  understanding and trust are very influential on the development of business institutions, including sharia insurance. </w:t>
      </w:r>
    </w:p>
    <w:p w:rsidR="00987639" w:rsidRPr="0084635B" w:rsidRDefault="00987639" w:rsidP="00347018">
      <w:pPr>
        <w:spacing w:after="0" w:line="276" w:lineRule="auto"/>
        <w:ind w:firstLine="567"/>
        <w:jc w:val="both"/>
        <w:rPr>
          <w:rFonts w:ascii="Garamond" w:hAnsi="Garamond" w:cs="Times New Roman"/>
          <w:sz w:val="24"/>
          <w:szCs w:val="24"/>
          <w:lang w:val="en-GB"/>
        </w:rPr>
      </w:pPr>
      <w:r w:rsidRPr="0084635B">
        <w:rPr>
          <w:rFonts w:ascii="Garamond" w:hAnsi="Garamond" w:cs="Times New Roman"/>
          <w:sz w:val="24"/>
          <w:szCs w:val="24"/>
        </w:rPr>
        <w:t>The respondents are from the Muslim society  in Malang City as one of the largest districts in East Java. The profiles of the respondents are taken from various backgrounds of gender, profession, and age differences as a representation of elements in Malang society. The profile data of the respondents are as follows:</w:t>
      </w:r>
    </w:p>
    <w:p w:rsidR="00987639" w:rsidRPr="0084635B" w:rsidRDefault="00987639" w:rsidP="00987639">
      <w:pPr>
        <w:spacing w:line="240" w:lineRule="auto"/>
        <w:ind w:firstLine="720"/>
        <w:jc w:val="both"/>
        <w:rPr>
          <w:rFonts w:ascii="Garamond" w:hAnsi="Garamond" w:cs="Times New Roman"/>
          <w:sz w:val="24"/>
          <w:szCs w:val="24"/>
        </w:rPr>
      </w:pPr>
    </w:p>
    <w:p w:rsidR="00987639" w:rsidRPr="0084635B" w:rsidRDefault="00987639" w:rsidP="00987639">
      <w:pPr>
        <w:spacing w:line="240" w:lineRule="auto"/>
        <w:jc w:val="center"/>
        <w:rPr>
          <w:rFonts w:ascii="Garamond" w:hAnsi="Garamond" w:cs="Times New Roman"/>
          <w:b/>
          <w:bCs/>
          <w:sz w:val="24"/>
          <w:szCs w:val="24"/>
        </w:rPr>
      </w:pPr>
      <w:r w:rsidRPr="0084635B">
        <w:rPr>
          <w:rFonts w:ascii="Garamond" w:hAnsi="Garamond" w:cs="Times New Roman"/>
          <w:b/>
          <w:bCs/>
          <w:sz w:val="24"/>
          <w:szCs w:val="24"/>
        </w:rPr>
        <w:t>Table 1  Respondent’s Profile</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551"/>
        <w:gridCol w:w="1276"/>
        <w:gridCol w:w="1996"/>
        <w:gridCol w:w="850"/>
        <w:gridCol w:w="992"/>
      </w:tblGrid>
      <w:tr w:rsidR="00987639" w:rsidRPr="00347018" w:rsidTr="00347018">
        <w:trPr>
          <w:jc w:val="center"/>
        </w:trPr>
        <w:tc>
          <w:tcPr>
            <w:tcW w:w="551" w:type="dxa"/>
            <w:tcBorders>
              <w:top w:val="single" w:sz="4" w:space="0" w:color="auto"/>
              <w:left w:val="single" w:sz="4" w:space="0" w:color="auto"/>
              <w:bottom w:val="single" w:sz="4" w:space="0" w:color="auto"/>
              <w:right w:val="single" w:sz="4" w:space="0" w:color="auto"/>
            </w:tcBorders>
            <w:shd w:val="clear" w:color="auto" w:fill="D9D9D9"/>
          </w:tcPr>
          <w:p w:rsidR="00987639" w:rsidRPr="00347018" w:rsidRDefault="00987639" w:rsidP="00347018">
            <w:pPr>
              <w:spacing w:after="0" w:line="240" w:lineRule="auto"/>
              <w:jc w:val="center"/>
              <w:rPr>
                <w:rFonts w:ascii="Garamond" w:hAnsi="Garamond" w:cs="Times New Roman"/>
                <w:b/>
                <w:bCs/>
              </w:rPr>
            </w:pPr>
            <w:r w:rsidRPr="00347018">
              <w:rPr>
                <w:rFonts w:ascii="Garamond" w:hAnsi="Garamond" w:cs="Times New Roman"/>
                <w:b/>
                <w:bCs/>
              </w:rPr>
              <w:t>No</w:t>
            </w:r>
          </w:p>
        </w:tc>
        <w:tc>
          <w:tcPr>
            <w:tcW w:w="127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7639" w:rsidRPr="00347018" w:rsidRDefault="00987639" w:rsidP="00347018">
            <w:pPr>
              <w:spacing w:after="0" w:line="240" w:lineRule="auto"/>
              <w:jc w:val="center"/>
              <w:rPr>
                <w:rFonts w:ascii="Garamond" w:hAnsi="Garamond" w:cs="Times New Roman"/>
                <w:b/>
                <w:bCs/>
              </w:rPr>
            </w:pPr>
            <w:r w:rsidRPr="00347018">
              <w:rPr>
                <w:rFonts w:ascii="Garamond" w:hAnsi="Garamond" w:cs="Times New Roman"/>
                <w:b/>
                <w:bCs/>
              </w:rPr>
              <w:t>Variable</w:t>
            </w:r>
          </w:p>
        </w:tc>
        <w:tc>
          <w:tcPr>
            <w:tcW w:w="1996" w:type="dxa"/>
            <w:tcBorders>
              <w:top w:val="single" w:sz="4" w:space="0" w:color="auto"/>
              <w:left w:val="single" w:sz="4" w:space="0" w:color="auto"/>
              <w:bottom w:val="single" w:sz="4" w:space="0" w:color="auto"/>
              <w:right w:val="single" w:sz="4" w:space="0" w:color="auto"/>
            </w:tcBorders>
            <w:shd w:val="clear" w:color="auto" w:fill="D9D9D9"/>
            <w:vAlign w:val="center"/>
            <w:hideMark/>
          </w:tcPr>
          <w:p w:rsidR="00987639" w:rsidRPr="00347018" w:rsidRDefault="00987639" w:rsidP="00347018">
            <w:pPr>
              <w:spacing w:after="0" w:line="240" w:lineRule="auto"/>
              <w:jc w:val="center"/>
              <w:rPr>
                <w:rFonts w:ascii="Garamond" w:hAnsi="Garamond" w:cs="Times New Roman"/>
                <w:b/>
                <w:bCs/>
              </w:rPr>
            </w:pPr>
            <w:r w:rsidRPr="00347018">
              <w:rPr>
                <w:rFonts w:ascii="Garamond" w:hAnsi="Garamond" w:cs="Times New Roman"/>
                <w:b/>
                <w:bCs/>
              </w:rPr>
              <w:t>Category</w:t>
            </w:r>
          </w:p>
        </w:tc>
        <w:tc>
          <w:tcPr>
            <w:tcW w:w="1842" w:type="dxa"/>
            <w:gridSpan w:val="2"/>
            <w:tcBorders>
              <w:top w:val="single" w:sz="4" w:space="0" w:color="auto"/>
              <w:left w:val="single" w:sz="4" w:space="0" w:color="auto"/>
              <w:bottom w:val="single" w:sz="4" w:space="0" w:color="auto"/>
              <w:right w:val="single" w:sz="4" w:space="0" w:color="auto"/>
            </w:tcBorders>
            <w:shd w:val="clear" w:color="auto" w:fill="D9D9D9"/>
            <w:vAlign w:val="center"/>
            <w:hideMark/>
          </w:tcPr>
          <w:p w:rsidR="00987639" w:rsidRPr="00347018" w:rsidRDefault="00987639" w:rsidP="00347018">
            <w:pPr>
              <w:spacing w:after="0" w:line="240" w:lineRule="auto"/>
              <w:jc w:val="center"/>
              <w:rPr>
                <w:rFonts w:ascii="Garamond" w:hAnsi="Garamond" w:cs="Times New Roman"/>
                <w:b/>
                <w:bCs/>
              </w:rPr>
            </w:pPr>
            <w:r w:rsidRPr="00347018">
              <w:rPr>
                <w:rFonts w:ascii="Garamond" w:hAnsi="Garamond" w:cs="Times New Roman"/>
                <w:b/>
                <w:bCs/>
              </w:rPr>
              <w:t>Total</w:t>
            </w:r>
          </w:p>
        </w:tc>
      </w:tr>
      <w:tr w:rsidR="00987639" w:rsidRPr="00347018" w:rsidTr="00347018">
        <w:trPr>
          <w:jc w:val="center"/>
        </w:trPr>
        <w:tc>
          <w:tcPr>
            <w:tcW w:w="551" w:type="dxa"/>
            <w:vMerge w:val="restart"/>
            <w:tcBorders>
              <w:top w:val="single" w:sz="4" w:space="0" w:color="auto"/>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r w:rsidRPr="00347018">
              <w:rPr>
                <w:rFonts w:ascii="Garamond" w:hAnsi="Garamond" w:cs="Times New Roman"/>
                <w:color w:val="000000"/>
              </w:rPr>
              <w:t>1</w:t>
            </w:r>
          </w:p>
        </w:tc>
        <w:tc>
          <w:tcPr>
            <w:tcW w:w="1276" w:type="dxa"/>
            <w:vMerge w:val="restart"/>
            <w:tcBorders>
              <w:top w:val="single" w:sz="4" w:space="0" w:color="auto"/>
              <w:left w:val="single" w:sz="4" w:space="0" w:color="auto"/>
              <w:right w:val="single" w:sz="4" w:space="0" w:color="auto"/>
            </w:tcBorders>
            <w:hideMark/>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Gender</w:t>
            </w:r>
          </w:p>
        </w:tc>
        <w:tc>
          <w:tcPr>
            <w:tcW w:w="1996" w:type="dxa"/>
            <w:tcBorders>
              <w:top w:val="single" w:sz="4" w:space="0" w:color="auto"/>
              <w:left w:val="single" w:sz="4" w:space="0" w:color="auto"/>
              <w:bottom w:val="single" w:sz="4" w:space="0" w:color="auto"/>
              <w:right w:val="single" w:sz="4" w:space="0" w:color="auto"/>
            </w:tcBorders>
            <w:vAlign w:val="center"/>
            <w:hideMark/>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 xml:space="preserve">Male </w:t>
            </w:r>
          </w:p>
        </w:tc>
        <w:tc>
          <w:tcPr>
            <w:tcW w:w="850" w:type="dxa"/>
            <w:tcBorders>
              <w:top w:val="single" w:sz="4" w:space="0" w:color="auto"/>
              <w:left w:val="single" w:sz="4" w:space="0" w:color="auto"/>
              <w:bottom w:val="single" w:sz="4" w:space="0" w:color="auto"/>
              <w:right w:val="single" w:sz="4" w:space="0" w:color="auto"/>
            </w:tcBorders>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color w:val="000000"/>
              </w:rPr>
              <w:t>92</w:t>
            </w:r>
          </w:p>
        </w:tc>
        <w:tc>
          <w:tcPr>
            <w:tcW w:w="992" w:type="dxa"/>
            <w:tcBorders>
              <w:top w:val="single" w:sz="4" w:space="0" w:color="auto"/>
              <w:left w:val="single" w:sz="4" w:space="0" w:color="auto"/>
              <w:bottom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r w:rsidRPr="00347018">
              <w:rPr>
                <w:rFonts w:ascii="Garamond" w:hAnsi="Garamond" w:cs="Times New Roman"/>
                <w:color w:val="000000"/>
              </w:rPr>
              <w:t>46%</w:t>
            </w:r>
          </w:p>
        </w:tc>
      </w:tr>
      <w:tr w:rsidR="00987639" w:rsidRPr="00347018" w:rsidTr="00347018">
        <w:trPr>
          <w:jc w:val="center"/>
        </w:trPr>
        <w:tc>
          <w:tcPr>
            <w:tcW w:w="551" w:type="dxa"/>
            <w:vMerge/>
            <w:tcBorders>
              <w:left w:val="single" w:sz="4" w:space="0" w:color="auto"/>
              <w:bottom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rPr>
            </w:pPr>
          </w:p>
        </w:tc>
        <w:tc>
          <w:tcPr>
            <w:tcW w:w="1276" w:type="dxa"/>
            <w:vMerge/>
            <w:tcBorders>
              <w:left w:val="single" w:sz="4" w:space="0" w:color="auto"/>
              <w:bottom w:val="single" w:sz="4" w:space="0" w:color="auto"/>
              <w:right w:val="single" w:sz="4" w:space="0" w:color="auto"/>
            </w:tcBorders>
            <w:hideMark/>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hideMark/>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Female</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color w:val="000000"/>
              </w:rPr>
              <w:t>108</w:t>
            </w:r>
          </w:p>
        </w:tc>
        <w:tc>
          <w:tcPr>
            <w:tcW w:w="992" w:type="dxa"/>
          </w:tcPr>
          <w:p w:rsidR="00987639" w:rsidRPr="00347018" w:rsidRDefault="00987639" w:rsidP="00347018">
            <w:pPr>
              <w:spacing w:after="0" w:line="240" w:lineRule="auto"/>
              <w:jc w:val="center"/>
              <w:rPr>
                <w:rFonts w:ascii="Garamond" w:hAnsi="Garamond" w:cs="Times New Roman"/>
                <w:color w:val="000000"/>
              </w:rPr>
            </w:pPr>
            <w:r w:rsidRPr="00347018">
              <w:rPr>
                <w:rFonts w:ascii="Garamond" w:hAnsi="Garamond" w:cs="Times New Roman"/>
                <w:color w:val="000000"/>
              </w:rPr>
              <w:t>54%</w:t>
            </w:r>
          </w:p>
        </w:tc>
      </w:tr>
      <w:tr w:rsidR="00987639" w:rsidRPr="00347018" w:rsidTr="00347018">
        <w:trPr>
          <w:jc w:val="center"/>
        </w:trPr>
        <w:tc>
          <w:tcPr>
            <w:tcW w:w="551" w:type="dxa"/>
            <w:vMerge w:val="restart"/>
            <w:tcBorders>
              <w:top w:val="single" w:sz="4" w:space="0" w:color="auto"/>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r w:rsidRPr="00347018">
              <w:rPr>
                <w:rFonts w:ascii="Garamond" w:hAnsi="Garamond" w:cs="Times New Roman"/>
                <w:color w:val="000000"/>
              </w:rPr>
              <w:t>2</w:t>
            </w:r>
          </w:p>
        </w:tc>
        <w:tc>
          <w:tcPr>
            <w:tcW w:w="1276" w:type="dxa"/>
            <w:vMerge w:val="restart"/>
            <w:tcBorders>
              <w:top w:val="single" w:sz="4" w:space="0" w:color="auto"/>
              <w:left w:val="single" w:sz="4" w:space="0" w:color="auto"/>
              <w:right w:val="single" w:sz="4" w:space="0" w:color="auto"/>
            </w:tcBorders>
            <w:hideMark/>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Occupation</w:t>
            </w: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Trader</w:t>
            </w:r>
          </w:p>
        </w:tc>
        <w:tc>
          <w:tcPr>
            <w:tcW w:w="850" w:type="dxa"/>
            <w:tcBorders>
              <w:top w:val="single" w:sz="4" w:space="0" w:color="auto"/>
              <w:left w:val="single" w:sz="4" w:space="0" w:color="auto"/>
              <w:bottom w:val="single" w:sz="4" w:space="0" w:color="auto"/>
              <w:right w:val="single" w:sz="4" w:space="0" w:color="auto"/>
            </w:tcBorders>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15</w:t>
            </w:r>
          </w:p>
        </w:tc>
        <w:tc>
          <w:tcPr>
            <w:tcW w:w="992" w:type="dxa"/>
            <w:tcBorders>
              <w:top w:val="single" w:sz="4" w:space="0" w:color="auto"/>
              <w:left w:val="single" w:sz="4" w:space="0" w:color="auto"/>
              <w:bottom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7,5%</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Farmer</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7</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3,5%</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Employee</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25</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12,5%</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Teacher/ Lecturer</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53</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26,5%</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Student</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12</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6%</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Entrepreneur</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32</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16%</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State Employee</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9</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4,5%</w:t>
            </w:r>
          </w:p>
        </w:tc>
      </w:tr>
      <w:tr w:rsidR="00987639" w:rsidRPr="00347018" w:rsidTr="00347018">
        <w:trPr>
          <w:jc w:val="center"/>
        </w:trPr>
        <w:tc>
          <w:tcPr>
            <w:tcW w:w="551" w:type="dxa"/>
            <w:vMerge/>
            <w:tcBorders>
              <w:left w:val="single" w:sz="4" w:space="0" w:color="auto"/>
              <w:bottom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bottom w:val="single" w:sz="4" w:space="0" w:color="auto"/>
              <w:right w:val="single" w:sz="4" w:space="0" w:color="auto"/>
            </w:tcBorders>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Others</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47</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23,5%</w:t>
            </w:r>
          </w:p>
        </w:tc>
      </w:tr>
      <w:tr w:rsidR="00987639" w:rsidRPr="00347018" w:rsidTr="00347018">
        <w:trPr>
          <w:jc w:val="center"/>
        </w:trPr>
        <w:tc>
          <w:tcPr>
            <w:tcW w:w="551" w:type="dxa"/>
            <w:vMerge w:val="restart"/>
            <w:tcBorders>
              <w:top w:val="single" w:sz="4" w:space="0" w:color="auto"/>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r w:rsidRPr="00347018">
              <w:rPr>
                <w:rFonts w:ascii="Garamond" w:hAnsi="Garamond" w:cs="Times New Roman"/>
                <w:color w:val="000000"/>
              </w:rPr>
              <w:t>3</w:t>
            </w:r>
          </w:p>
        </w:tc>
        <w:tc>
          <w:tcPr>
            <w:tcW w:w="1276" w:type="dxa"/>
            <w:vMerge w:val="restart"/>
            <w:tcBorders>
              <w:top w:val="single" w:sz="4" w:space="0" w:color="auto"/>
              <w:left w:val="single" w:sz="4" w:space="0" w:color="auto"/>
              <w:right w:val="single" w:sz="4" w:space="0" w:color="auto"/>
            </w:tcBorders>
            <w:hideMark/>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Age</w:t>
            </w: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20 – 30 years old</w:t>
            </w:r>
          </w:p>
        </w:tc>
        <w:tc>
          <w:tcPr>
            <w:tcW w:w="850" w:type="dxa"/>
            <w:tcBorders>
              <w:top w:val="single" w:sz="4" w:space="0" w:color="auto"/>
              <w:left w:val="single" w:sz="4" w:space="0" w:color="auto"/>
              <w:bottom w:val="single" w:sz="4" w:space="0" w:color="auto"/>
              <w:right w:val="single" w:sz="4" w:space="0" w:color="auto"/>
            </w:tcBorders>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35</w:t>
            </w:r>
          </w:p>
        </w:tc>
        <w:tc>
          <w:tcPr>
            <w:tcW w:w="992" w:type="dxa"/>
            <w:tcBorders>
              <w:top w:val="single" w:sz="4" w:space="0" w:color="auto"/>
              <w:left w:val="single" w:sz="4" w:space="0" w:color="auto"/>
              <w:bottom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17,5%</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31 – 40 years old</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58</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29%</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41 – 50 years old</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54</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27%</w:t>
            </w:r>
          </w:p>
        </w:tc>
      </w:tr>
      <w:tr w:rsidR="00987639" w:rsidRPr="00347018" w:rsidTr="00347018">
        <w:trPr>
          <w:jc w:val="center"/>
        </w:trPr>
        <w:tc>
          <w:tcPr>
            <w:tcW w:w="551" w:type="dxa"/>
            <w:vMerge/>
            <w:tcBorders>
              <w:left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51 – 60 years old</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38</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19%</w:t>
            </w:r>
          </w:p>
        </w:tc>
      </w:tr>
      <w:tr w:rsidR="00987639" w:rsidRPr="00347018" w:rsidTr="00347018">
        <w:trPr>
          <w:jc w:val="center"/>
        </w:trPr>
        <w:tc>
          <w:tcPr>
            <w:tcW w:w="551" w:type="dxa"/>
            <w:vMerge/>
            <w:tcBorders>
              <w:left w:val="single" w:sz="4" w:space="0" w:color="auto"/>
              <w:bottom w:val="single" w:sz="4" w:space="0" w:color="auto"/>
              <w:right w:val="single" w:sz="4" w:space="0" w:color="auto"/>
            </w:tcBorders>
          </w:tcPr>
          <w:p w:rsidR="00987639" w:rsidRPr="00347018" w:rsidRDefault="00987639" w:rsidP="00347018">
            <w:pPr>
              <w:spacing w:after="0" w:line="240" w:lineRule="auto"/>
              <w:jc w:val="center"/>
              <w:rPr>
                <w:rFonts w:ascii="Garamond" w:hAnsi="Garamond" w:cs="Times New Roman"/>
                <w:color w:val="000000"/>
              </w:rPr>
            </w:pPr>
          </w:p>
        </w:tc>
        <w:tc>
          <w:tcPr>
            <w:tcW w:w="1276" w:type="dxa"/>
            <w:vMerge/>
            <w:tcBorders>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p>
        </w:tc>
        <w:tc>
          <w:tcPr>
            <w:tcW w:w="1996" w:type="dxa"/>
            <w:tcBorders>
              <w:top w:val="single" w:sz="4" w:space="0" w:color="auto"/>
              <w:left w:val="single" w:sz="4" w:space="0" w:color="auto"/>
              <w:bottom w:val="single" w:sz="4" w:space="0" w:color="auto"/>
              <w:right w:val="single" w:sz="4" w:space="0" w:color="auto"/>
            </w:tcBorders>
            <w:vAlign w:val="center"/>
          </w:tcPr>
          <w:p w:rsidR="00987639" w:rsidRPr="00347018" w:rsidRDefault="00987639" w:rsidP="00347018">
            <w:pPr>
              <w:spacing w:after="0" w:line="240" w:lineRule="auto"/>
              <w:rPr>
                <w:rFonts w:ascii="Garamond" w:hAnsi="Garamond" w:cs="Times New Roman"/>
              </w:rPr>
            </w:pPr>
            <w:r w:rsidRPr="00347018">
              <w:rPr>
                <w:rFonts w:ascii="Garamond" w:hAnsi="Garamond" w:cs="Times New Roman"/>
              </w:rPr>
              <w:t xml:space="preserve">61 or older </w:t>
            </w:r>
          </w:p>
        </w:tc>
        <w:tc>
          <w:tcPr>
            <w:tcW w:w="850" w:type="dxa"/>
            <w:vAlign w:val="center"/>
            <w:hideMark/>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15</w:t>
            </w:r>
          </w:p>
        </w:tc>
        <w:tc>
          <w:tcPr>
            <w:tcW w:w="992" w:type="dxa"/>
          </w:tcPr>
          <w:p w:rsidR="00987639" w:rsidRPr="00347018" w:rsidRDefault="00987639" w:rsidP="00347018">
            <w:pPr>
              <w:spacing w:after="0" w:line="240" w:lineRule="auto"/>
              <w:jc w:val="center"/>
              <w:rPr>
                <w:rFonts w:ascii="Garamond" w:hAnsi="Garamond" w:cs="Times New Roman"/>
              </w:rPr>
            </w:pPr>
            <w:r w:rsidRPr="00347018">
              <w:rPr>
                <w:rFonts w:ascii="Garamond" w:hAnsi="Garamond" w:cs="Times New Roman"/>
              </w:rPr>
              <w:t>7,5%</w:t>
            </w:r>
          </w:p>
        </w:tc>
      </w:tr>
    </w:tbl>
    <w:p w:rsidR="00987639" w:rsidRPr="0084635B" w:rsidRDefault="00987639" w:rsidP="00987639">
      <w:pPr>
        <w:pStyle w:val="HTMLPreformatted"/>
        <w:jc w:val="both"/>
        <w:rPr>
          <w:rFonts w:ascii="Garamond" w:eastAsia="Calibri" w:hAnsi="Garamond"/>
          <w:sz w:val="24"/>
          <w:szCs w:val="24"/>
        </w:rPr>
      </w:pPr>
      <w:r w:rsidRPr="0084635B">
        <w:rPr>
          <w:rFonts w:ascii="Garamond" w:hAnsi="Garamond"/>
          <w:sz w:val="24"/>
          <w:szCs w:val="24"/>
        </w:rPr>
        <w:br/>
      </w:r>
    </w:p>
    <w:p w:rsidR="00987639" w:rsidRPr="0084635B" w:rsidRDefault="00987639" w:rsidP="00347018">
      <w:pPr>
        <w:spacing w:after="0" w:line="276" w:lineRule="auto"/>
        <w:jc w:val="both"/>
        <w:rPr>
          <w:rFonts w:ascii="Garamond" w:hAnsi="Garamond" w:cs="Times New Roman"/>
          <w:sz w:val="24"/>
          <w:szCs w:val="24"/>
        </w:rPr>
      </w:pPr>
      <w:r w:rsidRPr="0084635B">
        <w:rPr>
          <w:rFonts w:ascii="Garamond" w:hAnsi="Garamond" w:cs="Times New Roman"/>
          <w:sz w:val="24"/>
          <w:szCs w:val="24"/>
        </w:rPr>
        <w:t>To measure the level of understanding and trust in Islamic insurance, respondents will be given basic questions that have been prepared. The following discussion begins with a theoretical review of the terms understanding and trust which is then followed by measurement results.</w:t>
      </w:r>
    </w:p>
    <w:p w:rsidR="00987639" w:rsidRPr="0084635B" w:rsidRDefault="00987639" w:rsidP="00987639">
      <w:pPr>
        <w:spacing w:line="240" w:lineRule="auto"/>
        <w:ind w:firstLine="720"/>
        <w:jc w:val="both"/>
        <w:rPr>
          <w:rFonts w:ascii="Garamond" w:hAnsi="Garamond" w:cs="Times New Roman"/>
          <w:sz w:val="24"/>
          <w:szCs w:val="24"/>
        </w:rPr>
      </w:pPr>
    </w:p>
    <w:p w:rsidR="00987639" w:rsidRPr="0084635B" w:rsidRDefault="00987639" w:rsidP="00347018">
      <w:pPr>
        <w:numPr>
          <w:ilvl w:val="0"/>
          <w:numId w:val="3"/>
        </w:numPr>
        <w:spacing w:after="0" w:line="276" w:lineRule="auto"/>
        <w:ind w:left="426" w:hanging="426"/>
        <w:jc w:val="both"/>
        <w:rPr>
          <w:rFonts w:ascii="Garamond" w:hAnsi="Garamond" w:cs="Times New Roman"/>
          <w:b/>
          <w:bCs/>
          <w:sz w:val="24"/>
          <w:szCs w:val="24"/>
        </w:rPr>
      </w:pPr>
      <w:r w:rsidRPr="0084635B">
        <w:rPr>
          <w:rFonts w:ascii="Garamond" w:hAnsi="Garamond" w:cs="Times New Roman"/>
          <w:b/>
          <w:bCs/>
          <w:sz w:val="24"/>
          <w:szCs w:val="24"/>
        </w:rPr>
        <w:t>Measurement of Understanding Level</w:t>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The word understanding comes from the word understand. Understanding is defined as the perception and interpretation of a particular situation in order to provide the context, insight and foresight required for effective decision-making.</w:t>
      </w:r>
      <w:r w:rsidRPr="0084635B">
        <w:rPr>
          <w:rStyle w:val="FootnoteReference"/>
          <w:rFonts w:ascii="Garamond" w:hAnsi="Garamond"/>
          <w:sz w:val="24"/>
          <w:szCs w:val="24"/>
        </w:rPr>
        <w:footnoteReference w:id="14"/>
      </w:r>
      <w:r w:rsidRPr="0084635B">
        <w:rPr>
          <w:rFonts w:ascii="Garamond" w:hAnsi="Garamond" w:cs="Times New Roman"/>
          <w:sz w:val="24"/>
          <w:szCs w:val="24"/>
        </w:rPr>
        <w:t xml:space="preserve"> Successful of understanding  depends ultimately on our ability to understand what is meant of terms.</w:t>
      </w:r>
      <w:r w:rsidRPr="0084635B">
        <w:rPr>
          <w:rStyle w:val="FootnoteReference"/>
          <w:rFonts w:ascii="Garamond" w:hAnsi="Garamond"/>
          <w:sz w:val="24"/>
          <w:szCs w:val="24"/>
        </w:rPr>
        <w:footnoteReference w:id="15"/>
      </w:r>
      <w:r w:rsidRPr="0084635B">
        <w:rPr>
          <w:rFonts w:ascii="Garamond" w:hAnsi="Garamond" w:cs="Times New Roman"/>
          <w:sz w:val="24"/>
          <w:szCs w:val="24"/>
        </w:rPr>
        <w:t xml:space="preserve">  Understanding has a number of meanings depending upon the context in which it is used and the communities or institutions which develop it.</w:t>
      </w:r>
      <w:r w:rsidRPr="0084635B">
        <w:rPr>
          <w:rStyle w:val="FootnoteReference"/>
          <w:rFonts w:ascii="Garamond" w:hAnsi="Garamond"/>
          <w:sz w:val="24"/>
          <w:szCs w:val="24"/>
        </w:rPr>
        <w:footnoteReference w:id="16"/>
      </w:r>
    </w:p>
    <w:p w:rsidR="00987639" w:rsidRPr="0084635B" w:rsidRDefault="00987639" w:rsidP="00347018">
      <w:pPr>
        <w:spacing w:after="0" w:line="276" w:lineRule="auto"/>
        <w:ind w:firstLine="567"/>
        <w:jc w:val="both"/>
        <w:rPr>
          <w:rFonts w:ascii="Garamond" w:hAnsi="Garamond" w:cs="Times New Roman"/>
          <w:sz w:val="24"/>
          <w:szCs w:val="24"/>
          <w:lang w:val="en-GB"/>
        </w:rPr>
      </w:pPr>
      <w:r w:rsidRPr="0084635B">
        <w:rPr>
          <w:rFonts w:ascii="Garamond" w:hAnsi="Garamond" w:cs="Times New Roman"/>
          <w:sz w:val="24"/>
          <w:szCs w:val="24"/>
        </w:rPr>
        <w:t xml:space="preserve">The term understanding in Islam is identical with  </w:t>
      </w:r>
      <w:r w:rsidRPr="0084635B">
        <w:rPr>
          <w:rFonts w:ascii="Garamond" w:hAnsi="Garamond" w:cs="Times New Roman"/>
          <w:i/>
          <w:iCs/>
          <w:sz w:val="24"/>
          <w:szCs w:val="24"/>
        </w:rPr>
        <w:t>al-fahmu</w:t>
      </w:r>
      <w:r w:rsidRPr="0084635B">
        <w:rPr>
          <w:rFonts w:ascii="Garamond" w:hAnsi="Garamond" w:cs="Times New Roman"/>
          <w:sz w:val="24"/>
          <w:szCs w:val="24"/>
        </w:rPr>
        <w:t xml:space="preserve"> (</w:t>
      </w:r>
      <w:r w:rsidRPr="0084635B">
        <w:rPr>
          <w:rFonts w:ascii="Garamond" w:hAnsi="Garamond" w:cs="Times New Roman"/>
          <w:sz w:val="24"/>
          <w:szCs w:val="24"/>
          <w:rtl/>
        </w:rPr>
        <w:t>الفهم</w:t>
      </w:r>
      <w:r w:rsidRPr="0084635B">
        <w:rPr>
          <w:rFonts w:ascii="Garamond" w:hAnsi="Garamond" w:cs="Times New Roman"/>
          <w:sz w:val="24"/>
          <w:szCs w:val="24"/>
        </w:rPr>
        <w:t>) which literally means knowing something by heart (</w:t>
      </w:r>
      <w:r w:rsidRPr="0084635B">
        <w:rPr>
          <w:rFonts w:ascii="Garamond" w:hAnsi="Garamond" w:cs="Times New Roman"/>
          <w:color w:val="202122"/>
          <w:sz w:val="24"/>
          <w:szCs w:val="24"/>
          <w:shd w:val="clear" w:color="auto" w:fill="FFFFFF"/>
          <w:rtl/>
        </w:rPr>
        <w:t>معرفتك الشيء بالقلب</w:t>
      </w:r>
      <w:r w:rsidRPr="0084635B">
        <w:rPr>
          <w:rFonts w:ascii="Garamond" w:hAnsi="Garamond" w:cs="Times New Roman"/>
          <w:sz w:val="24"/>
          <w:szCs w:val="24"/>
        </w:rPr>
        <w:t>).</w:t>
      </w:r>
      <w:r w:rsidRPr="0084635B">
        <w:rPr>
          <w:rStyle w:val="FootnoteReference"/>
          <w:rFonts w:ascii="Garamond" w:hAnsi="Garamond"/>
          <w:sz w:val="24"/>
          <w:szCs w:val="24"/>
        </w:rPr>
        <w:footnoteReference w:id="17"/>
      </w:r>
      <w:r w:rsidRPr="0084635B">
        <w:rPr>
          <w:rFonts w:ascii="Garamond" w:hAnsi="Garamond" w:cs="Times New Roman"/>
          <w:sz w:val="24"/>
          <w:szCs w:val="24"/>
        </w:rPr>
        <w:t xml:space="preserve">  Therefore understanding is a person's ability to know or understand something with his mind. The understanding is the ability  to think and act with what one knows.</w:t>
      </w:r>
      <w:r w:rsidRPr="0084635B">
        <w:rPr>
          <w:rStyle w:val="FootnoteReference"/>
          <w:rFonts w:ascii="Garamond" w:hAnsi="Garamond"/>
          <w:sz w:val="24"/>
          <w:szCs w:val="24"/>
        </w:rPr>
        <w:footnoteReference w:id="18"/>
      </w:r>
      <w:r w:rsidRPr="0084635B">
        <w:rPr>
          <w:rFonts w:ascii="Garamond" w:hAnsi="Garamond" w:cs="Times New Roman"/>
          <w:sz w:val="24"/>
          <w:szCs w:val="24"/>
        </w:rPr>
        <w:t xml:space="preserve"> Another term for meaning of understanding is </w:t>
      </w:r>
      <w:r w:rsidRPr="0084635B">
        <w:rPr>
          <w:rFonts w:ascii="Garamond" w:hAnsi="Garamond" w:cs="Times New Roman"/>
          <w:i/>
          <w:iCs/>
          <w:sz w:val="24"/>
          <w:szCs w:val="24"/>
        </w:rPr>
        <w:t>al-faqih</w:t>
      </w:r>
      <w:r w:rsidRPr="0084635B">
        <w:rPr>
          <w:rFonts w:ascii="Garamond" w:hAnsi="Garamond" w:cs="Times New Roman"/>
          <w:sz w:val="24"/>
          <w:szCs w:val="24"/>
        </w:rPr>
        <w:t xml:space="preserve">  (</w:t>
      </w:r>
      <w:r w:rsidRPr="0084635B">
        <w:rPr>
          <w:rFonts w:ascii="Garamond" w:hAnsi="Garamond" w:cs="Times New Roman"/>
          <w:sz w:val="24"/>
          <w:szCs w:val="24"/>
          <w:rtl/>
        </w:rPr>
        <w:t>الفاقه</w:t>
      </w:r>
      <w:r w:rsidRPr="0084635B">
        <w:rPr>
          <w:rFonts w:ascii="Garamond" w:hAnsi="Garamond" w:cs="Times New Roman"/>
          <w:sz w:val="24"/>
          <w:szCs w:val="24"/>
        </w:rPr>
        <w:t xml:space="preserve">). </w:t>
      </w:r>
      <w:r w:rsidRPr="0084635B">
        <w:rPr>
          <w:rFonts w:ascii="Garamond" w:hAnsi="Garamond" w:cs="Times New Roman"/>
          <w:i/>
          <w:iCs/>
          <w:sz w:val="24"/>
          <w:szCs w:val="24"/>
        </w:rPr>
        <w:t>Fâqih</w:t>
      </w:r>
      <w:r w:rsidRPr="0084635B">
        <w:rPr>
          <w:rFonts w:ascii="Garamond" w:hAnsi="Garamond" w:cs="Times New Roman"/>
          <w:sz w:val="24"/>
          <w:szCs w:val="24"/>
        </w:rPr>
        <w:t xml:space="preserve"> is the result of learning science, especially Islamic teachings.  The meaning of understanding in Islam is always based on religion as the basis for understanding other sciences. A person is said to understand Islamic  teachings if he is able to understand and practice the Qur'an and the Sunnah of the Prophet. A person who is given goodness by Allah will be understood in religion. </w:t>
      </w:r>
      <w:r w:rsidRPr="0084635B">
        <w:rPr>
          <w:rFonts w:ascii="Garamond" w:hAnsi="Garamond" w:cs="Times New Roman"/>
          <w:sz w:val="24"/>
          <w:szCs w:val="24"/>
          <w:lang w:val="en-GB"/>
        </w:rPr>
        <w:t xml:space="preserve"> Rasulullah SAW said: </w:t>
      </w:r>
      <w:r w:rsidRPr="0084635B">
        <w:rPr>
          <w:rFonts w:ascii="Garamond" w:hAnsi="Garamond" w:cs="Times New Roman"/>
          <w:sz w:val="24"/>
          <w:szCs w:val="24"/>
        </w:rPr>
        <w:t xml:space="preserve"> </w:t>
      </w:r>
      <w:r w:rsidRPr="0084635B">
        <w:rPr>
          <w:rFonts w:ascii="Garamond" w:hAnsi="Garamond" w:cs="Times New Roman"/>
          <w:i/>
          <w:iCs/>
          <w:sz w:val="24"/>
          <w:szCs w:val="24"/>
        </w:rPr>
        <w:t>Whoever Allah wills goodness, he will be understood in religion</w:t>
      </w:r>
      <w:r w:rsidRPr="0084635B">
        <w:rPr>
          <w:rFonts w:ascii="Garamond" w:hAnsi="Garamond" w:cs="Times New Roman"/>
          <w:sz w:val="24"/>
          <w:szCs w:val="24"/>
          <w:lang w:val="en-GB"/>
        </w:rPr>
        <w:t>.</w:t>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Understanding in terms of religion is God's goal from His servants as understanding of others.  Ibn Taimiyyah  said  that whoever Allah wills  goodness then he will try to understand Islamic religion. On the other hand, whoever does not try to understand the religion, then Allah will not give him goodness.</w:t>
      </w:r>
      <w:r w:rsidRPr="0084635B">
        <w:rPr>
          <w:rStyle w:val="FootnoteReference"/>
          <w:rFonts w:ascii="Garamond" w:hAnsi="Garamond"/>
          <w:sz w:val="24"/>
          <w:szCs w:val="24"/>
        </w:rPr>
        <w:footnoteReference w:id="19"/>
      </w:r>
      <w:r w:rsidRPr="0084635B">
        <w:rPr>
          <w:rStyle w:val="FootnoteReference"/>
          <w:rFonts w:ascii="Garamond" w:hAnsi="Garamond"/>
          <w:sz w:val="24"/>
          <w:szCs w:val="24"/>
        </w:rPr>
        <w:t xml:space="preserve"> </w:t>
      </w:r>
      <w:r w:rsidRPr="0084635B">
        <w:rPr>
          <w:rFonts w:ascii="Garamond" w:hAnsi="Garamond" w:cs="Times New Roman"/>
          <w:sz w:val="24"/>
          <w:szCs w:val="24"/>
        </w:rPr>
        <w:t xml:space="preserve"> Religion is a guide for life to achieve salvation in this world and the hereafter.</w:t>
      </w:r>
      <w:r w:rsidRPr="0084635B">
        <w:rPr>
          <w:rStyle w:val="FootnoteReference"/>
          <w:rFonts w:ascii="Garamond" w:hAnsi="Garamond"/>
          <w:sz w:val="24"/>
          <w:szCs w:val="24"/>
        </w:rPr>
        <w:footnoteReference w:id="20"/>
      </w:r>
      <w:r w:rsidRPr="0084635B">
        <w:rPr>
          <w:rFonts w:ascii="Garamond" w:hAnsi="Garamond" w:cs="Times New Roman"/>
          <w:sz w:val="24"/>
          <w:szCs w:val="24"/>
        </w:rPr>
        <w:t xml:space="preserve"> Someone who is given an understanding of Islamic religion will certainly be easy to understand issues related to life, such as in the case of sharia insurance law. </w:t>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 xml:space="preserve">Understanding an object that becomes a fact in our lives is important.  Moreover, these objects have a direct influence on the quality of our lives both in this world and in the hereafter. </w:t>
      </w:r>
      <w:r w:rsidRPr="0084635B">
        <w:rPr>
          <w:rFonts w:ascii="Garamond" w:hAnsi="Garamond" w:cs="Times New Roman"/>
          <w:sz w:val="24"/>
          <w:szCs w:val="24"/>
        </w:rPr>
        <w:lastRenderedPageBreak/>
        <w:t>Someone who learns an object or just listens to information does not automatically become an understanding person.  The benefits of understanding for someone are:   (1)  It  makes  easier  to recognize an object that becomes a fact in our lives based on the knowledge or  information we obtain; (2) Knowing the legal status of an object according to our religion and the formal law applied; (3) Make it easier to determine the attitude towards the object; (4) Understanding can be a way to get the benefits of goodness.</w:t>
      </w:r>
      <w:r w:rsidRPr="0084635B">
        <w:rPr>
          <w:rStyle w:val="FootnoteReference"/>
          <w:rFonts w:ascii="Garamond" w:hAnsi="Garamond"/>
          <w:sz w:val="24"/>
          <w:szCs w:val="24"/>
        </w:rPr>
        <w:footnoteReference w:id="21"/>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Understanding involves acquiring and developing knowledge to a level that</w:t>
      </w:r>
      <w:r w:rsidRPr="0084635B">
        <w:rPr>
          <w:rFonts w:ascii="Garamond" w:hAnsi="Garamond" w:cs="Times New Roman"/>
          <w:sz w:val="24"/>
          <w:szCs w:val="24"/>
        </w:rPr>
        <w:br/>
        <w:t>enables us to know why something has happened or is happening (insight) and be able to identify and anticipate what may happen (foresight). Developing of understanding requires situational awareness to identify the object. By analysing the context, we can gain greater insight of the object,  applying judgement to this insight then generates understanding and in so doing may tell us why the situation has developed. Foresight will never be complete, but improving both the quality and analysis of our information will help to refine it.</w:t>
      </w:r>
      <w:r w:rsidRPr="0084635B">
        <w:rPr>
          <w:rStyle w:val="FootnoteReference"/>
          <w:rFonts w:ascii="Garamond" w:hAnsi="Garamond"/>
          <w:sz w:val="24"/>
          <w:szCs w:val="24"/>
        </w:rPr>
        <w:footnoteReference w:id="22"/>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Understanding requires the ability to transfer what we have learned to new</w:t>
      </w:r>
      <w:r w:rsidRPr="0084635B">
        <w:rPr>
          <w:rFonts w:ascii="Garamond" w:hAnsi="Garamond" w:cs="Times New Roman"/>
          <w:b/>
          <w:bCs/>
          <w:sz w:val="24"/>
          <w:szCs w:val="24"/>
        </w:rPr>
        <w:t xml:space="preserve"> </w:t>
      </w:r>
      <w:r w:rsidRPr="0084635B">
        <w:rPr>
          <w:rFonts w:ascii="Garamond" w:hAnsi="Garamond" w:cs="Times New Roman"/>
          <w:sz w:val="24"/>
          <w:szCs w:val="24"/>
        </w:rPr>
        <w:t>knowledge. Understanding will open up new insights and ways of looking forward (foresight) to a known object of knowledge. Carl</w:t>
      </w:r>
      <w:r w:rsidRPr="0084635B">
        <w:rPr>
          <w:rFonts w:ascii="Garamond" w:hAnsi="Garamond" w:cs="Times New Roman"/>
        </w:rPr>
        <w:t xml:space="preserve"> </w:t>
      </w:r>
      <w:r w:rsidRPr="0084635B">
        <w:rPr>
          <w:rFonts w:ascii="Garamond" w:hAnsi="Garamond" w:cs="Times New Roman"/>
          <w:sz w:val="24"/>
          <w:szCs w:val="24"/>
        </w:rPr>
        <w:t>Sagan said that the knowledge is facts and the understanding is the meaning of the facts.</w:t>
      </w:r>
      <w:r w:rsidRPr="0084635B">
        <w:rPr>
          <w:rStyle w:val="FootnoteReference"/>
          <w:rFonts w:ascii="Garamond" w:hAnsi="Garamond"/>
          <w:sz w:val="24"/>
          <w:szCs w:val="24"/>
        </w:rPr>
        <w:footnoteReference w:id="23"/>
      </w:r>
      <w:r w:rsidRPr="0084635B">
        <w:rPr>
          <w:rFonts w:ascii="Garamond" w:hAnsi="Garamond" w:cs="Times New Roman"/>
          <w:sz w:val="24"/>
          <w:szCs w:val="24"/>
        </w:rPr>
        <w:t xml:space="preserve">  To meaning   a fact requires a scientific thinking process. Thinking is the process in which information, facts, and theories are gathered and analyzed. Thinking is the process that is used to make effective decisions.</w:t>
      </w:r>
      <w:r w:rsidRPr="0084635B">
        <w:rPr>
          <w:rStyle w:val="FootnoteReference"/>
          <w:rFonts w:ascii="Garamond" w:hAnsi="Garamond"/>
          <w:sz w:val="24"/>
          <w:szCs w:val="24"/>
        </w:rPr>
        <w:footnoteReference w:id="24"/>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The respondents will be assessed  understand when they are able to answer questions correctly. There are several basic questions that are used as indicators of the level of understanding of sharia insurance. In this case, each of these questions has been answered by the respondent with the following results:</w:t>
      </w:r>
    </w:p>
    <w:p w:rsidR="00987639" w:rsidRPr="0084635B" w:rsidRDefault="00987639" w:rsidP="00987639">
      <w:pPr>
        <w:spacing w:line="240" w:lineRule="auto"/>
        <w:ind w:firstLine="720"/>
        <w:jc w:val="both"/>
        <w:rPr>
          <w:rFonts w:ascii="Garamond" w:hAnsi="Garamond" w:cs="Times New Roman"/>
          <w:sz w:val="24"/>
          <w:szCs w:val="24"/>
          <w:lang w:val="en-GB"/>
        </w:rPr>
      </w:pPr>
    </w:p>
    <w:p w:rsidR="00987639" w:rsidRPr="0084635B" w:rsidRDefault="00987639" w:rsidP="00987639">
      <w:pPr>
        <w:spacing w:line="240" w:lineRule="auto"/>
        <w:jc w:val="center"/>
        <w:rPr>
          <w:rFonts w:ascii="Garamond" w:hAnsi="Garamond" w:cs="Times New Roman"/>
          <w:b/>
          <w:bCs/>
          <w:sz w:val="24"/>
          <w:szCs w:val="24"/>
        </w:rPr>
      </w:pPr>
      <w:r w:rsidRPr="0084635B">
        <w:rPr>
          <w:rFonts w:ascii="Garamond" w:hAnsi="Garamond" w:cs="Times New Roman"/>
          <w:b/>
          <w:bCs/>
          <w:sz w:val="24"/>
          <w:szCs w:val="24"/>
        </w:rPr>
        <w:t xml:space="preserve">Table 2 Level  </w:t>
      </w:r>
      <w:r w:rsidRPr="0084635B">
        <w:rPr>
          <w:rFonts w:ascii="Garamond" w:hAnsi="Garamond" w:cs="Times New Roman"/>
          <w:b/>
          <w:bCs/>
          <w:sz w:val="24"/>
          <w:szCs w:val="24"/>
          <w:lang w:val="en-GB"/>
        </w:rPr>
        <w:t>of Understanding</w:t>
      </w:r>
    </w:p>
    <w:p w:rsidR="00987639" w:rsidRPr="0084635B" w:rsidRDefault="00987639" w:rsidP="00987639">
      <w:pPr>
        <w:jc w:val="both"/>
        <w:rPr>
          <w:rFonts w:ascii="Garamond" w:hAnsi="Garamond" w:cs="Times New Roman"/>
          <w:sz w:val="24"/>
          <w:szCs w:val="24"/>
        </w:rPr>
      </w:pPr>
    </w:p>
    <w:tbl>
      <w:tblPr>
        <w:tblW w:w="723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709"/>
        <w:gridCol w:w="3686"/>
        <w:gridCol w:w="709"/>
        <w:gridCol w:w="708"/>
        <w:gridCol w:w="709"/>
        <w:gridCol w:w="709"/>
      </w:tblGrid>
      <w:tr w:rsidR="00EA758A" w:rsidRPr="00EA758A" w:rsidTr="00657D46">
        <w:trPr>
          <w:jc w:val="center"/>
        </w:trPr>
        <w:tc>
          <w:tcPr>
            <w:tcW w:w="709" w:type="dxa"/>
            <w:shd w:val="clear" w:color="auto" w:fill="F2F2F2"/>
          </w:tcPr>
          <w:p w:rsidR="00987639" w:rsidRPr="00EA758A" w:rsidRDefault="00987639" w:rsidP="00657D46">
            <w:pPr>
              <w:spacing w:after="0" w:line="240" w:lineRule="auto"/>
              <w:jc w:val="center"/>
              <w:rPr>
                <w:rFonts w:ascii="Garamond" w:hAnsi="Garamond" w:cs="Times New Roman"/>
                <w:b/>
                <w:bCs/>
                <w:sz w:val="24"/>
                <w:szCs w:val="24"/>
              </w:rPr>
            </w:pPr>
            <w:r w:rsidRPr="00EA758A">
              <w:rPr>
                <w:rFonts w:ascii="Garamond" w:hAnsi="Garamond" w:cs="Times New Roman"/>
                <w:b/>
                <w:bCs/>
                <w:sz w:val="24"/>
                <w:szCs w:val="24"/>
              </w:rPr>
              <w:t>No</w:t>
            </w:r>
          </w:p>
        </w:tc>
        <w:tc>
          <w:tcPr>
            <w:tcW w:w="3686" w:type="dxa"/>
            <w:shd w:val="clear" w:color="auto" w:fill="F2F2F2"/>
          </w:tcPr>
          <w:p w:rsidR="00987639" w:rsidRPr="00EA758A" w:rsidRDefault="00987639" w:rsidP="00657D46">
            <w:pPr>
              <w:spacing w:after="0" w:line="240" w:lineRule="auto"/>
              <w:jc w:val="center"/>
              <w:rPr>
                <w:rFonts w:ascii="Garamond" w:hAnsi="Garamond" w:cs="Times New Roman"/>
                <w:b/>
                <w:bCs/>
                <w:sz w:val="24"/>
                <w:szCs w:val="24"/>
                <w:lang w:val="en-GB"/>
              </w:rPr>
            </w:pPr>
            <w:r w:rsidRPr="00EA758A">
              <w:rPr>
                <w:rFonts w:ascii="Garamond" w:eastAsia="Calibri" w:hAnsi="Garamond" w:cs="Times New Roman"/>
                <w:b/>
                <w:bCs/>
                <w:sz w:val="24"/>
                <w:szCs w:val="24"/>
              </w:rPr>
              <w:t>Indicator</w:t>
            </w:r>
            <w:r w:rsidRPr="00EA758A">
              <w:rPr>
                <w:rFonts w:ascii="Garamond" w:eastAsia="Calibri" w:hAnsi="Garamond" w:cs="Times New Roman"/>
                <w:b/>
                <w:bCs/>
                <w:sz w:val="24"/>
                <w:szCs w:val="24"/>
                <w:lang w:val="en-GB"/>
              </w:rPr>
              <w:t>s</w:t>
            </w:r>
            <w:r w:rsidRPr="00EA758A">
              <w:rPr>
                <w:rFonts w:ascii="Garamond" w:eastAsia="Calibri" w:hAnsi="Garamond" w:cs="Times New Roman"/>
                <w:b/>
                <w:bCs/>
                <w:sz w:val="24"/>
                <w:szCs w:val="24"/>
              </w:rPr>
              <w:t xml:space="preserve"> </w:t>
            </w:r>
            <w:r w:rsidRPr="00EA758A">
              <w:rPr>
                <w:rFonts w:ascii="Garamond" w:eastAsia="Calibri" w:hAnsi="Garamond" w:cs="Times New Roman"/>
                <w:b/>
                <w:bCs/>
                <w:sz w:val="24"/>
                <w:szCs w:val="24"/>
                <w:lang w:val="en-GB"/>
              </w:rPr>
              <w:t>of Understanding</w:t>
            </w:r>
          </w:p>
        </w:tc>
        <w:tc>
          <w:tcPr>
            <w:tcW w:w="1417" w:type="dxa"/>
            <w:gridSpan w:val="2"/>
            <w:shd w:val="clear" w:color="auto" w:fill="F2F2F2"/>
          </w:tcPr>
          <w:p w:rsidR="00987639" w:rsidRPr="00EA758A" w:rsidRDefault="00987639" w:rsidP="00657D46">
            <w:pPr>
              <w:spacing w:after="0" w:line="240" w:lineRule="auto"/>
              <w:jc w:val="center"/>
              <w:rPr>
                <w:rFonts w:ascii="Garamond" w:hAnsi="Garamond" w:cs="Times New Roman"/>
                <w:b/>
                <w:bCs/>
                <w:sz w:val="24"/>
                <w:szCs w:val="24"/>
              </w:rPr>
            </w:pPr>
            <w:r w:rsidRPr="00EA758A">
              <w:rPr>
                <w:rFonts w:ascii="Garamond" w:hAnsi="Garamond" w:cs="Times New Roman"/>
                <w:b/>
                <w:bCs/>
                <w:sz w:val="24"/>
                <w:szCs w:val="24"/>
              </w:rPr>
              <w:t>Correct Answer</w:t>
            </w:r>
          </w:p>
        </w:tc>
        <w:tc>
          <w:tcPr>
            <w:tcW w:w="1418" w:type="dxa"/>
            <w:gridSpan w:val="2"/>
            <w:shd w:val="clear" w:color="auto" w:fill="F2F2F2"/>
          </w:tcPr>
          <w:p w:rsidR="00987639" w:rsidRPr="00EA758A" w:rsidRDefault="00987639" w:rsidP="00657D46">
            <w:pPr>
              <w:spacing w:after="0" w:line="240" w:lineRule="auto"/>
              <w:jc w:val="center"/>
              <w:rPr>
                <w:rFonts w:ascii="Garamond" w:hAnsi="Garamond" w:cs="Times New Roman"/>
                <w:b/>
                <w:bCs/>
                <w:sz w:val="24"/>
                <w:szCs w:val="24"/>
              </w:rPr>
            </w:pPr>
            <w:r w:rsidRPr="00EA758A">
              <w:rPr>
                <w:rFonts w:ascii="Garamond" w:hAnsi="Garamond" w:cs="Times New Roman"/>
                <w:b/>
                <w:bCs/>
                <w:sz w:val="24"/>
                <w:szCs w:val="24"/>
              </w:rPr>
              <w:t>Wrong Answer</w:t>
            </w:r>
          </w:p>
        </w:tc>
      </w:tr>
      <w:tr w:rsidR="00347018" w:rsidRPr="00EA758A" w:rsidTr="00657D46">
        <w:trPr>
          <w:jc w:val="center"/>
        </w:trPr>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1</w:t>
            </w:r>
          </w:p>
        </w:tc>
        <w:tc>
          <w:tcPr>
            <w:tcW w:w="3686"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rPr>
              <w:t>The basic principles of sharia insurance</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44 </w:t>
            </w:r>
          </w:p>
        </w:tc>
        <w:tc>
          <w:tcPr>
            <w:tcW w:w="708"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22%</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156 </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78%</w:t>
            </w:r>
          </w:p>
        </w:tc>
      </w:tr>
      <w:tr w:rsidR="00347018" w:rsidRPr="00EA758A" w:rsidTr="00657D46">
        <w:trPr>
          <w:jc w:val="center"/>
        </w:trPr>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2</w:t>
            </w:r>
          </w:p>
        </w:tc>
        <w:tc>
          <w:tcPr>
            <w:tcW w:w="3686"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rPr>
              <w:t>Implementation of the grant contract (</w:t>
            </w:r>
            <w:r w:rsidRPr="00EA758A">
              <w:rPr>
                <w:rFonts w:ascii="Garamond" w:hAnsi="Garamond" w:cs="Times New Roman"/>
                <w:i/>
                <w:iCs/>
                <w:sz w:val="24"/>
                <w:szCs w:val="24"/>
              </w:rPr>
              <w:t>hibah</w:t>
            </w:r>
            <w:r w:rsidRPr="00EA758A">
              <w:rPr>
                <w:rFonts w:ascii="Garamond" w:hAnsi="Garamond" w:cs="Times New Roman"/>
                <w:sz w:val="24"/>
                <w:szCs w:val="24"/>
              </w:rPr>
              <w:t>) in the payment of sharia insurance premiums for the purpose of helping fellow participants</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64 </w:t>
            </w:r>
          </w:p>
        </w:tc>
        <w:tc>
          <w:tcPr>
            <w:tcW w:w="708"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32%</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136 </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68%</w:t>
            </w:r>
          </w:p>
        </w:tc>
      </w:tr>
      <w:tr w:rsidR="00347018" w:rsidRPr="00EA758A" w:rsidTr="00657D46">
        <w:trPr>
          <w:jc w:val="center"/>
        </w:trPr>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lastRenderedPageBreak/>
              <w:t>3</w:t>
            </w:r>
          </w:p>
        </w:tc>
        <w:tc>
          <w:tcPr>
            <w:tcW w:w="3686"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rPr>
              <w:t>Implementation of the partnership contract (</w:t>
            </w:r>
            <w:r w:rsidRPr="00EA758A">
              <w:rPr>
                <w:rFonts w:ascii="Garamond" w:hAnsi="Garamond" w:cs="Times New Roman"/>
                <w:i/>
                <w:iCs/>
                <w:sz w:val="24"/>
                <w:szCs w:val="24"/>
              </w:rPr>
              <w:t>mudharabah</w:t>
            </w:r>
            <w:r w:rsidRPr="00EA758A">
              <w:rPr>
                <w:rFonts w:ascii="Garamond" w:hAnsi="Garamond" w:cs="Times New Roman"/>
                <w:sz w:val="24"/>
                <w:szCs w:val="24"/>
              </w:rPr>
              <w:t xml:space="preserve">) in the payment of sharia insurance premiums for the investment purpose </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62 </w:t>
            </w:r>
          </w:p>
        </w:tc>
        <w:tc>
          <w:tcPr>
            <w:tcW w:w="708"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31%</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138 </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69%</w:t>
            </w:r>
          </w:p>
        </w:tc>
      </w:tr>
      <w:tr w:rsidR="00347018" w:rsidRPr="00EA758A" w:rsidTr="00657D46">
        <w:trPr>
          <w:jc w:val="center"/>
        </w:trPr>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4</w:t>
            </w:r>
          </w:p>
        </w:tc>
        <w:tc>
          <w:tcPr>
            <w:tcW w:w="3686"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rPr>
              <w:t>The benefits of sharia insurance</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72 </w:t>
            </w:r>
          </w:p>
        </w:tc>
        <w:tc>
          <w:tcPr>
            <w:tcW w:w="708"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36%</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128 </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64%</w:t>
            </w:r>
          </w:p>
        </w:tc>
      </w:tr>
      <w:tr w:rsidR="00347018" w:rsidRPr="00EA758A" w:rsidTr="00657D46">
        <w:trPr>
          <w:jc w:val="center"/>
        </w:trPr>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5</w:t>
            </w:r>
          </w:p>
        </w:tc>
        <w:tc>
          <w:tcPr>
            <w:tcW w:w="3686"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rPr>
              <w:t>Interest-based insurance is the same as usury-based insurance</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rPr>
              <w:t xml:space="preserve">172 </w:t>
            </w:r>
          </w:p>
        </w:tc>
        <w:tc>
          <w:tcPr>
            <w:tcW w:w="708"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86%</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 xml:space="preserve">28 </w:t>
            </w:r>
          </w:p>
        </w:tc>
        <w:tc>
          <w:tcPr>
            <w:tcW w:w="709"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14%</w:t>
            </w:r>
          </w:p>
        </w:tc>
      </w:tr>
      <w:tr w:rsidR="00657D46" w:rsidRPr="00EA758A" w:rsidTr="00657D46">
        <w:trPr>
          <w:jc w:val="center"/>
        </w:trPr>
        <w:tc>
          <w:tcPr>
            <w:tcW w:w="4395" w:type="dxa"/>
            <w:gridSpan w:val="2"/>
            <w:shd w:val="clear" w:color="auto" w:fill="auto"/>
          </w:tcPr>
          <w:p w:rsidR="00987639" w:rsidRPr="00EA758A" w:rsidRDefault="00987639" w:rsidP="00657D46">
            <w:pPr>
              <w:spacing w:after="0" w:line="240" w:lineRule="auto"/>
              <w:jc w:val="center"/>
              <w:rPr>
                <w:rFonts w:ascii="Garamond" w:eastAsia="Calibri" w:hAnsi="Garamond" w:cs="Times New Roman"/>
                <w:b/>
                <w:bCs/>
                <w:sz w:val="24"/>
                <w:szCs w:val="24"/>
              </w:rPr>
            </w:pPr>
            <w:r w:rsidRPr="00EA758A">
              <w:rPr>
                <w:rFonts w:ascii="Garamond" w:eastAsia="Calibri" w:hAnsi="Garamond" w:cs="Times New Roman"/>
                <w:b/>
                <w:bCs/>
                <w:sz w:val="24"/>
                <w:szCs w:val="24"/>
              </w:rPr>
              <w:t>Average Amount</w:t>
            </w:r>
          </w:p>
        </w:tc>
        <w:tc>
          <w:tcPr>
            <w:tcW w:w="1417" w:type="dxa"/>
            <w:gridSpan w:val="2"/>
            <w:shd w:val="clear" w:color="auto" w:fill="auto"/>
          </w:tcPr>
          <w:p w:rsidR="00987639" w:rsidRPr="00EA758A" w:rsidRDefault="00987639" w:rsidP="00657D46">
            <w:pPr>
              <w:spacing w:after="0" w:line="240" w:lineRule="auto"/>
              <w:jc w:val="center"/>
              <w:rPr>
                <w:rFonts w:ascii="Garamond" w:eastAsia="Calibri" w:hAnsi="Garamond" w:cs="Times New Roman"/>
                <w:b/>
                <w:bCs/>
                <w:sz w:val="24"/>
                <w:szCs w:val="24"/>
              </w:rPr>
            </w:pPr>
            <w:r w:rsidRPr="00EA758A">
              <w:rPr>
                <w:rFonts w:ascii="Garamond" w:eastAsia="Calibri" w:hAnsi="Garamond" w:cs="Times New Roman"/>
                <w:b/>
                <w:bCs/>
                <w:sz w:val="24"/>
                <w:szCs w:val="24"/>
              </w:rPr>
              <w:t xml:space="preserve"> (41,4%)</w:t>
            </w:r>
          </w:p>
        </w:tc>
        <w:tc>
          <w:tcPr>
            <w:tcW w:w="1418" w:type="dxa"/>
            <w:gridSpan w:val="2"/>
            <w:shd w:val="clear" w:color="auto" w:fill="auto"/>
          </w:tcPr>
          <w:p w:rsidR="00987639" w:rsidRPr="00EA758A" w:rsidRDefault="00987639" w:rsidP="00657D46">
            <w:pPr>
              <w:spacing w:after="0" w:line="240" w:lineRule="auto"/>
              <w:jc w:val="center"/>
              <w:rPr>
                <w:rFonts w:ascii="Garamond" w:eastAsia="Calibri" w:hAnsi="Garamond" w:cs="Times New Roman"/>
                <w:b/>
                <w:bCs/>
                <w:sz w:val="24"/>
                <w:szCs w:val="24"/>
              </w:rPr>
            </w:pPr>
            <w:r w:rsidRPr="00EA758A">
              <w:rPr>
                <w:rFonts w:ascii="Garamond" w:eastAsia="Calibri" w:hAnsi="Garamond" w:cs="Times New Roman"/>
                <w:b/>
                <w:bCs/>
                <w:sz w:val="24"/>
                <w:szCs w:val="24"/>
              </w:rPr>
              <w:t>(58,6%)</w:t>
            </w:r>
          </w:p>
        </w:tc>
      </w:tr>
    </w:tbl>
    <w:p w:rsidR="00987639" w:rsidRPr="0084635B" w:rsidRDefault="00987639" w:rsidP="00987639">
      <w:pPr>
        <w:jc w:val="both"/>
        <w:rPr>
          <w:rFonts w:ascii="Garamond" w:hAnsi="Garamond" w:cs="Times New Roman"/>
          <w:sz w:val="24"/>
          <w:szCs w:val="24"/>
        </w:rPr>
      </w:pPr>
    </w:p>
    <w:p w:rsidR="00987639" w:rsidRPr="0084635B" w:rsidRDefault="00987639" w:rsidP="00347018">
      <w:pPr>
        <w:spacing w:after="0" w:line="276" w:lineRule="auto"/>
        <w:ind w:firstLine="567"/>
        <w:jc w:val="both"/>
        <w:rPr>
          <w:rFonts w:ascii="Garamond" w:hAnsi="Garamond" w:cs="Times New Roman"/>
          <w:sz w:val="24"/>
          <w:szCs w:val="24"/>
          <w:lang w:val="en-GB"/>
        </w:rPr>
      </w:pPr>
      <w:r w:rsidRPr="0084635B">
        <w:rPr>
          <w:rFonts w:ascii="Garamond" w:hAnsi="Garamond" w:cs="Times New Roman"/>
          <w:sz w:val="24"/>
          <w:szCs w:val="24"/>
          <w:lang w:val="en-GB"/>
        </w:rPr>
        <w:t xml:space="preserve">From these data shows that the level of understanding about sharia insurance of Muslim society  in  Malang is still low, namely only </w:t>
      </w:r>
      <w:r w:rsidRPr="0084635B">
        <w:rPr>
          <w:rFonts w:ascii="Garamond" w:hAnsi="Garamond" w:cs="Times New Roman"/>
          <w:b/>
          <w:bCs/>
          <w:sz w:val="24"/>
          <w:szCs w:val="24"/>
        </w:rPr>
        <w:t>41,4%.  T</w:t>
      </w:r>
      <w:r w:rsidRPr="0084635B">
        <w:rPr>
          <w:rFonts w:ascii="Garamond" w:hAnsi="Garamond" w:cs="Times New Roman"/>
          <w:sz w:val="24"/>
          <w:szCs w:val="24"/>
          <w:lang w:val="en-GB"/>
        </w:rPr>
        <w:t>he fault rate of the answers of each indicator is very dominant, except for only one indicator which the majority answered correctly, namely about the similarity between interest of insurance and usury (</w:t>
      </w:r>
      <w:r w:rsidRPr="0084635B">
        <w:rPr>
          <w:rFonts w:ascii="Garamond" w:hAnsi="Garamond" w:cs="Times New Roman"/>
          <w:i/>
          <w:iCs/>
          <w:sz w:val="24"/>
          <w:szCs w:val="24"/>
          <w:lang w:val="en-GB"/>
        </w:rPr>
        <w:t>riba</w:t>
      </w:r>
      <w:r w:rsidRPr="0084635B">
        <w:rPr>
          <w:rFonts w:ascii="Garamond" w:hAnsi="Garamond" w:cs="Times New Roman"/>
          <w:sz w:val="24"/>
          <w:szCs w:val="24"/>
          <w:lang w:val="en-GB"/>
        </w:rPr>
        <w:t xml:space="preserve">) of insurance. The term interest is understood to be synonymous with </w:t>
      </w:r>
      <w:r w:rsidRPr="0084635B">
        <w:rPr>
          <w:rFonts w:ascii="Garamond" w:hAnsi="Garamond" w:cs="Times New Roman"/>
          <w:i/>
          <w:iCs/>
          <w:sz w:val="24"/>
          <w:szCs w:val="24"/>
          <w:lang w:val="en-GB"/>
        </w:rPr>
        <w:t>riba</w:t>
      </w:r>
      <w:r w:rsidRPr="0084635B">
        <w:rPr>
          <w:rFonts w:ascii="Garamond" w:hAnsi="Garamond" w:cs="Times New Roman"/>
          <w:sz w:val="24"/>
          <w:szCs w:val="24"/>
          <w:lang w:val="en-GB"/>
        </w:rPr>
        <w:t xml:space="preserve">, because respondents have heard this term most often in society compared to other indicators. </w:t>
      </w:r>
    </w:p>
    <w:p w:rsidR="00987639" w:rsidRPr="00347018" w:rsidRDefault="00987639" w:rsidP="00347018">
      <w:pPr>
        <w:spacing w:after="0" w:line="276" w:lineRule="auto"/>
        <w:ind w:firstLine="567"/>
        <w:jc w:val="both"/>
        <w:rPr>
          <w:rFonts w:ascii="Garamond" w:hAnsi="Garamond" w:cs="Times New Roman"/>
          <w:sz w:val="24"/>
          <w:szCs w:val="24"/>
          <w:lang w:val="en-GB"/>
        </w:rPr>
      </w:pPr>
      <w:r w:rsidRPr="0084635B">
        <w:rPr>
          <w:rFonts w:ascii="Garamond" w:hAnsi="Garamond" w:cs="Times New Roman"/>
          <w:sz w:val="24"/>
          <w:szCs w:val="24"/>
          <w:lang w:val="en-GB"/>
        </w:rPr>
        <w:t>The fact that the interest system in financial institutions has become a controversy in society. Interest as a financial system has been widely criticized for its negative impact.</w:t>
      </w:r>
      <w:r w:rsidRPr="0084635B">
        <w:rPr>
          <w:rStyle w:val="FootnoteReference"/>
          <w:rFonts w:ascii="Garamond" w:hAnsi="Garamond"/>
          <w:sz w:val="24"/>
          <w:szCs w:val="24"/>
          <w:lang w:val="en-GB"/>
        </w:rPr>
        <w:footnoteReference w:id="25"/>
      </w:r>
      <w:r w:rsidR="00347018">
        <w:rPr>
          <w:rFonts w:ascii="Garamond" w:hAnsi="Garamond" w:cs="Times New Roman"/>
          <w:sz w:val="24"/>
          <w:szCs w:val="24"/>
          <w:lang w:val="en-GB"/>
        </w:rPr>
        <w:t xml:space="preserve"> </w:t>
      </w:r>
      <w:r w:rsidRPr="0084635B">
        <w:rPr>
          <w:rFonts w:ascii="Garamond" w:hAnsi="Garamond" w:cs="Times New Roman"/>
          <w:sz w:val="24"/>
          <w:szCs w:val="24"/>
        </w:rPr>
        <w:t>If the Muslim society in Malang have not understood sharia insurance, because they have not  developed the knowledge which enables them to know how  it  is operated.  The knowledge of sharia insurance is facts and the understanding is the meaning of the facts.  Therefore, interpreting facts requires a thought process. If the process of thinking about sharia insurance is low, then the understanding level of it will be low.</w:t>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The principles of understanding detailed aim to improve awareness of our own strengths for to be developed and weaknesses for to be avoided. They also promote our capacity to recognize and consider the views of others perspective for developing our understanding. The some principles of understanding are:</w:t>
      </w:r>
      <w:r w:rsidRPr="0084635B">
        <w:rPr>
          <w:rStyle w:val="FootnoteReference"/>
          <w:rFonts w:ascii="Garamond" w:hAnsi="Garamond"/>
          <w:sz w:val="24"/>
          <w:szCs w:val="24"/>
        </w:rPr>
        <w:footnoteReference w:id="26"/>
      </w:r>
    </w:p>
    <w:p w:rsidR="00987639" w:rsidRPr="0084635B" w:rsidRDefault="00987639" w:rsidP="00347018">
      <w:pPr>
        <w:numPr>
          <w:ilvl w:val="0"/>
          <w:numId w:val="4"/>
        </w:numPr>
        <w:spacing w:after="0" w:line="276" w:lineRule="auto"/>
        <w:ind w:left="426" w:hanging="426"/>
        <w:jc w:val="both"/>
        <w:rPr>
          <w:rFonts w:ascii="Garamond" w:hAnsi="Garamond" w:cs="Times New Roman"/>
          <w:sz w:val="24"/>
          <w:szCs w:val="24"/>
        </w:rPr>
      </w:pPr>
      <w:r w:rsidRPr="0084635B">
        <w:rPr>
          <w:rFonts w:ascii="Garamond" w:hAnsi="Garamond" w:cs="Times New Roman"/>
          <w:i/>
          <w:iCs/>
          <w:sz w:val="24"/>
          <w:szCs w:val="24"/>
        </w:rPr>
        <w:t>Self-awareness</w:t>
      </w:r>
      <w:r w:rsidRPr="0084635B">
        <w:rPr>
          <w:rFonts w:ascii="Garamond" w:hAnsi="Garamond" w:cs="Times New Roman"/>
          <w:sz w:val="24"/>
          <w:szCs w:val="24"/>
        </w:rPr>
        <w:t>. We should be aware of why or how we know something to distinguish what is right and wrong, useful and not useful for our lives.  Without  awareness that someone will not care about the importance of understanding to the facts that develop in society.</w:t>
      </w:r>
    </w:p>
    <w:p w:rsidR="00987639" w:rsidRPr="0084635B" w:rsidRDefault="00987639" w:rsidP="00347018">
      <w:pPr>
        <w:numPr>
          <w:ilvl w:val="0"/>
          <w:numId w:val="4"/>
        </w:numPr>
        <w:spacing w:after="0" w:line="276" w:lineRule="auto"/>
        <w:ind w:left="426" w:hanging="426"/>
        <w:jc w:val="both"/>
        <w:rPr>
          <w:rFonts w:ascii="Garamond" w:hAnsi="Garamond" w:cs="Times New Roman"/>
          <w:sz w:val="24"/>
          <w:szCs w:val="24"/>
        </w:rPr>
      </w:pPr>
      <w:r w:rsidRPr="0084635B">
        <w:rPr>
          <w:rFonts w:ascii="Garamond" w:hAnsi="Garamond" w:cs="Times New Roman"/>
          <w:i/>
          <w:iCs/>
          <w:sz w:val="24"/>
          <w:szCs w:val="24"/>
        </w:rPr>
        <w:t>Critical analysis</w:t>
      </w:r>
      <w:r w:rsidRPr="0084635B">
        <w:rPr>
          <w:rFonts w:ascii="Garamond" w:hAnsi="Garamond" w:cs="Times New Roman"/>
          <w:sz w:val="24"/>
          <w:szCs w:val="24"/>
        </w:rPr>
        <w:t xml:space="preserve">. Critical analysis is defined as the intellectual discipline that applies deliberate introspective judgement to interpret, analyse and evaluate a object and explain the context upon which that judgement is based. Critical analysis is method to analyze an object based on the perspective that we believe to be true. The requirement to be able to analyze critically is a paradigm that has a high standard of truth.  We can criticize a certain object by using the tools such as analogies and comparative approach to connect facts and idealism. </w:t>
      </w:r>
    </w:p>
    <w:p w:rsidR="00987639" w:rsidRPr="0084635B" w:rsidRDefault="00987639" w:rsidP="00347018">
      <w:pPr>
        <w:numPr>
          <w:ilvl w:val="0"/>
          <w:numId w:val="4"/>
        </w:numPr>
        <w:spacing w:after="0" w:line="276" w:lineRule="auto"/>
        <w:ind w:left="426" w:hanging="426"/>
        <w:jc w:val="both"/>
        <w:rPr>
          <w:rFonts w:ascii="Garamond" w:hAnsi="Garamond" w:cs="Times New Roman"/>
          <w:sz w:val="24"/>
          <w:szCs w:val="24"/>
        </w:rPr>
      </w:pPr>
      <w:r w:rsidRPr="0084635B">
        <w:rPr>
          <w:rFonts w:ascii="Garamond" w:hAnsi="Garamond" w:cs="Times New Roman"/>
          <w:i/>
          <w:iCs/>
          <w:sz w:val="24"/>
          <w:szCs w:val="24"/>
        </w:rPr>
        <w:t xml:space="preserve">Creative </w:t>
      </w:r>
      <w:r w:rsidRPr="0084635B">
        <w:rPr>
          <w:rFonts w:ascii="Garamond" w:hAnsi="Garamond" w:cs="Times New Roman"/>
          <w:i/>
          <w:iCs/>
          <w:sz w:val="24"/>
          <w:szCs w:val="24"/>
          <w:lang w:val="en-GB"/>
        </w:rPr>
        <w:t>t</w:t>
      </w:r>
      <w:r w:rsidRPr="0084635B">
        <w:rPr>
          <w:rFonts w:ascii="Garamond" w:hAnsi="Garamond" w:cs="Times New Roman"/>
          <w:i/>
          <w:iCs/>
          <w:sz w:val="24"/>
          <w:szCs w:val="24"/>
        </w:rPr>
        <w:t>hinking</w:t>
      </w:r>
      <w:r w:rsidRPr="0084635B">
        <w:rPr>
          <w:rFonts w:ascii="Garamond" w:hAnsi="Garamond" w:cs="Times New Roman"/>
          <w:sz w:val="24"/>
          <w:szCs w:val="24"/>
        </w:rPr>
        <w:t xml:space="preserve">. Creative thinking is the examination of problems or situations from an original or unorthodox perspective. Background, training and experience can often create </w:t>
      </w:r>
      <w:r w:rsidRPr="0084635B">
        <w:rPr>
          <w:rFonts w:ascii="Garamond" w:hAnsi="Garamond" w:cs="Times New Roman"/>
          <w:sz w:val="24"/>
          <w:szCs w:val="24"/>
        </w:rPr>
        <w:lastRenderedPageBreak/>
        <w:t>conditional thinking, which may be prejudicial to critical analysis. Creative thinking should be encouraged to examine a situation from a fresh perspective and to create imaginative and competing hypotheses. Hypotheses should be tested against existing information to deduce meaning, or to develop alternative solutions.</w:t>
      </w:r>
    </w:p>
    <w:p w:rsidR="00987639" w:rsidRPr="0084635B" w:rsidRDefault="00987639" w:rsidP="00347018">
      <w:pPr>
        <w:numPr>
          <w:ilvl w:val="0"/>
          <w:numId w:val="4"/>
        </w:numPr>
        <w:spacing w:after="0" w:line="276" w:lineRule="auto"/>
        <w:ind w:left="426" w:hanging="426"/>
        <w:jc w:val="both"/>
        <w:rPr>
          <w:rFonts w:ascii="Garamond" w:hAnsi="Garamond" w:cs="Times New Roman"/>
          <w:sz w:val="24"/>
          <w:szCs w:val="24"/>
        </w:rPr>
      </w:pPr>
      <w:r w:rsidRPr="0084635B">
        <w:rPr>
          <w:rFonts w:ascii="Garamond" w:hAnsi="Garamond" w:cs="Times New Roman"/>
          <w:i/>
          <w:iCs/>
          <w:sz w:val="24"/>
          <w:szCs w:val="24"/>
        </w:rPr>
        <w:t>Continuity thinking</w:t>
      </w:r>
      <w:r w:rsidRPr="0084635B">
        <w:rPr>
          <w:rFonts w:ascii="Garamond" w:hAnsi="Garamond" w:cs="Times New Roman"/>
          <w:sz w:val="24"/>
          <w:szCs w:val="24"/>
        </w:rPr>
        <w:t>. To develop   the understanding, everyone  requires continuity of  thinking by  studying, researching, and  developing of science and technology. Achieving continuity requires us to: (1) Develope an effective network of sources to provide access to the knowledge needed; (2) Create a common way of storing and sharing knowledge; and (3) Share insight between relevant subject matter experts.</w:t>
      </w:r>
    </w:p>
    <w:p w:rsidR="00987639" w:rsidRPr="0084635B" w:rsidRDefault="00987639" w:rsidP="00347018">
      <w:pPr>
        <w:spacing w:after="0" w:line="276" w:lineRule="auto"/>
        <w:jc w:val="both"/>
        <w:rPr>
          <w:rFonts w:ascii="Garamond" w:hAnsi="Garamond" w:cs="Times New Roman"/>
          <w:sz w:val="24"/>
          <w:szCs w:val="24"/>
        </w:rPr>
      </w:pPr>
      <w:r w:rsidRPr="0084635B">
        <w:rPr>
          <w:rFonts w:ascii="Garamond" w:hAnsi="Garamond" w:cs="Times New Roman"/>
          <w:sz w:val="24"/>
          <w:szCs w:val="24"/>
        </w:rPr>
        <w:t>To be able to understand well about sharia insurance, the Muslim society in Malang City needs these four thinking processes.</w:t>
      </w:r>
    </w:p>
    <w:p w:rsidR="00987639" w:rsidRPr="0084635B"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Sharia insurance is a product of knowledge. The understanding of a product depends on product knowledge. Product knowledge is the perception of knowledge possessed by consumers of a particular product, including the experience of consumers in using previous products. The existence of product knowledge can build and assist consumers in evaluating a product so that it can feel the value of the product consumed. Product knowledge also includes the entire scope of information stored in consumer memory and can influence the actions to be taken next, including the intention to do repurchase intentions of products that have been previously purchased as a whole. Furthermore, consumers with higher knowledge will be more realistic in choosing products that are in line with their expectations.</w:t>
      </w:r>
      <w:r w:rsidRPr="0084635B">
        <w:rPr>
          <w:rStyle w:val="FootnoteReference"/>
          <w:rFonts w:ascii="Garamond" w:hAnsi="Garamond"/>
          <w:sz w:val="24"/>
          <w:szCs w:val="24"/>
        </w:rPr>
        <w:footnoteReference w:id="27"/>
      </w:r>
      <w:r w:rsidRPr="0084635B">
        <w:rPr>
          <w:rFonts w:ascii="Garamond" w:hAnsi="Garamond" w:cs="Times New Roman"/>
          <w:sz w:val="24"/>
          <w:szCs w:val="24"/>
        </w:rPr>
        <w:t xml:space="preserve"> </w:t>
      </w:r>
    </w:p>
    <w:p w:rsidR="00987639" w:rsidRPr="0084635B" w:rsidRDefault="00657D46" w:rsidP="00657D46">
      <w:pPr>
        <w:tabs>
          <w:tab w:val="left" w:pos="2500"/>
        </w:tabs>
        <w:spacing w:line="276" w:lineRule="auto"/>
        <w:ind w:firstLine="720"/>
        <w:jc w:val="both"/>
        <w:rPr>
          <w:rFonts w:ascii="Garamond" w:hAnsi="Garamond" w:cs="Times New Roman"/>
          <w:sz w:val="24"/>
          <w:szCs w:val="24"/>
          <w:lang w:val="en-GB"/>
        </w:rPr>
      </w:pPr>
      <w:r>
        <w:rPr>
          <w:rFonts w:ascii="Garamond" w:hAnsi="Garamond" w:cs="Times New Roman"/>
          <w:sz w:val="24"/>
          <w:szCs w:val="24"/>
          <w:lang w:val="en-GB"/>
        </w:rPr>
        <w:tab/>
      </w:r>
    </w:p>
    <w:p w:rsidR="00987639" w:rsidRPr="0084635B" w:rsidRDefault="00987639" w:rsidP="00347018">
      <w:pPr>
        <w:numPr>
          <w:ilvl w:val="0"/>
          <w:numId w:val="3"/>
        </w:numPr>
        <w:spacing w:after="0" w:line="276" w:lineRule="auto"/>
        <w:ind w:left="426" w:hanging="426"/>
        <w:jc w:val="both"/>
        <w:rPr>
          <w:rFonts w:ascii="Garamond" w:hAnsi="Garamond" w:cs="Times New Roman"/>
          <w:b/>
          <w:bCs/>
          <w:sz w:val="24"/>
          <w:szCs w:val="24"/>
        </w:rPr>
      </w:pPr>
      <w:r w:rsidRPr="0084635B">
        <w:rPr>
          <w:rFonts w:ascii="Garamond" w:hAnsi="Garamond" w:cs="Times New Roman"/>
          <w:b/>
          <w:bCs/>
          <w:sz w:val="24"/>
          <w:szCs w:val="24"/>
        </w:rPr>
        <w:t>Measurement of Trust Level</w:t>
      </w:r>
    </w:p>
    <w:p w:rsidR="00347018"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Understanding of the quality and benefits of an object offered will affect trust. Trust can grow from the behavior of a person or product  related to the person himself. The quality of a product that is offered, the benefits or risks will return to the company. Durhan and Aydin (2020) said that the shopping habits of consumers and the points they pay attention to on the basis of product/ package. Some features and functions of the product package affect consumers' trust.</w:t>
      </w:r>
      <w:r w:rsidRPr="0084635B">
        <w:rPr>
          <w:rStyle w:val="FootnoteReference"/>
          <w:rFonts w:ascii="Garamond" w:hAnsi="Garamond"/>
          <w:sz w:val="24"/>
          <w:szCs w:val="24"/>
        </w:rPr>
        <w:footnoteReference w:id="28"/>
      </w:r>
      <w:r w:rsidRPr="0084635B">
        <w:rPr>
          <w:rFonts w:ascii="Garamond" w:hAnsi="Garamond" w:cs="Times New Roman"/>
          <w:sz w:val="24"/>
          <w:szCs w:val="24"/>
        </w:rPr>
        <w:t xml:space="preserve"> Sharia insurance is one of business products which is also highly dependent on consumer trust.</w:t>
      </w:r>
    </w:p>
    <w:p w:rsidR="00347018"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Trust is the willingness of a party to be vulnerable to the action of another party based on the expectation that the other will perform a particular action important to the trustor, irrespective to the ability to monitor or control that other party.</w:t>
      </w:r>
      <w:r w:rsidRPr="0084635B">
        <w:rPr>
          <w:rStyle w:val="FootnoteReference"/>
          <w:rFonts w:ascii="Garamond" w:hAnsi="Garamond"/>
          <w:sz w:val="24"/>
          <w:szCs w:val="24"/>
        </w:rPr>
        <w:footnoteReference w:id="29"/>
      </w:r>
      <w:r w:rsidRPr="0084635B">
        <w:rPr>
          <w:rFonts w:ascii="Garamond" w:hAnsi="Garamond" w:cs="Times New Roman"/>
          <w:sz w:val="24"/>
          <w:szCs w:val="24"/>
        </w:rPr>
        <w:t xml:space="preserve"> Fuan Li and Stephen C. Betts (2011) has explained the definiton of  term trust as a willingness to rely on an exchange partner in whom one has confidence. Trust in terms of confident positive  is expectations regarding </w:t>
      </w:r>
      <w:r w:rsidRPr="0084635B">
        <w:rPr>
          <w:rFonts w:ascii="Garamond" w:hAnsi="Garamond" w:cs="Times New Roman"/>
          <w:sz w:val="24"/>
          <w:szCs w:val="24"/>
        </w:rPr>
        <w:lastRenderedPageBreak/>
        <w:t>another’s conduct. Interpersonal trust is defined here as an expectancy held by an individual or a group that the word, promise, verbal or written statement of another individual or group can be relied on.</w:t>
      </w:r>
      <w:r w:rsidRPr="0084635B">
        <w:rPr>
          <w:rStyle w:val="FootnoteReference"/>
          <w:rFonts w:ascii="Garamond" w:hAnsi="Garamond"/>
          <w:sz w:val="24"/>
          <w:szCs w:val="24"/>
        </w:rPr>
        <w:footnoteReference w:id="30"/>
      </w:r>
    </w:p>
    <w:p w:rsidR="00347018"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From a sociological perspective, trust must be conceived as a property of collective units, not of isolated individuals. Being a collective attribute, trust is applicable to the relations among people rather than to their psychological states taken individually. Therefore, we may say that trust exists in a social system insofar as the members of that system act according to and are secure in the expected futures constituted by the presence of each other or their symbolic representations. It is the mutual  faithfulness on which all social relationships ultimately depend.</w:t>
      </w:r>
      <w:r w:rsidRPr="0084635B">
        <w:rPr>
          <w:rStyle w:val="FootnoteReference"/>
          <w:rFonts w:ascii="Garamond" w:hAnsi="Garamond"/>
          <w:sz w:val="24"/>
          <w:szCs w:val="24"/>
        </w:rPr>
        <w:footnoteReference w:id="31"/>
      </w:r>
    </w:p>
    <w:p w:rsidR="00347018"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Businesses need to earn and deserve public trust; and this need becomes a key managerial task. Public trust as the willingness by the public or society at large to be vulnerable toward institutions such as business legitimizes these institutions. Fukuyama (1995) said that without trust, many institutions, including business and government, would not be productive. Trust in the business context has been widely recognized as a key factor of organizational performance.</w:t>
      </w:r>
      <w:r w:rsidRPr="0084635B">
        <w:rPr>
          <w:rStyle w:val="FootnoteReference"/>
          <w:rFonts w:ascii="Garamond" w:hAnsi="Garamond"/>
          <w:sz w:val="24"/>
          <w:szCs w:val="24"/>
        </w:rPr>
        <w:footnoteReference w:id="32"/>
      </w:r>
      <w:r w:rsidRPr="0084635B">
        <w:rPr>
          <w:rFonts w:ascii="Garamond" w:hAnsi="Garamond" w:cs="Times New Roman"/>
          <w:sz w:val="24"/>
          <w:szCs w:val="24"/>
        </w:rPr>
        <w:t xml:space="preserve">  Previous literature also hypothesized that Islamic banks requisite to enhance their institutional image and reputation through sharia compliance quality, which is the unique feature that differentiates them from their conventional counterparts.</w:t>
      </w:r>
      <w:r w:rsidRPr="0084635B">
        <w:rPr>
          <w:rStyle w:val="FootnoteReference"/>
          <w:rFonts w:ascii="Garamond" w:hAnsi="Garamond"/>
          <w:sz w:val="24"/>
          <w:szCs w:val="24"/>
        </w:rPr>
        <w:footnoteReference w:id="33"/>
      </w:r>
    </w:p>
    <w:p w:rsidR="00987639" w:rsidRPr="00347018" w:rsidRDefault="00987639" w:rsidP="00347018">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lang w:val="en-GB"/>
        </w:rPr>
        <w:t xml:space="preserve">Trust is an important factor in developing the sharia insurance business. Without public trust, sharia  insurance is difficult to develop. This study has explained the result of  measuring the level of trust on sharia insurance. There are several indicators used to measure the level of trust, including a positive response to the existence of the institution. The following are some of the results of the questions that describe the  indicators of the level of trust. </w:t>
      </w:r>
    </w:p>
    <w:p w:rsidR="00987639" w:rsidRPr="0084635B" w:rsidRDefault="00987639" w:rsidP="00987639">
      <w:pPr>
        <w:ind w:firstLine="567"/>
        <w:jc w:val="both"/>
        <w:rPr>
          <w:rFonts w:ascii="Garamond" w:hAnsi="Garamond" w:cs="Times New Roman"/>
          <w:sz w:val="24"/>
          <w:szCs w:val="24"/>
          <w:lang w:val="en-GB"/>
        </w:rPr>
      </w:pPr>
    </w:p>
    <w:p w:rsidR="00987639" w:rsidRPr="0084635B" w:rsidRDefault="00987639" w:rsidP="00987639">
      <w:pPr>
        <w:spacing w:line="240" w:lineRule="auto"/>
        <w:jc w:val="center"/>
        <w:rPr>
          <w:rFonts w:ascii="Garamond" w:hAnsi="Garamond" w:cs="Times New Roman"/>
          <w:b/>
          <w:bCs/>
          <w:sz w:val="24"/>
          <w:szCs w:val="24"/>
        </w:rPr>
      </w:pPr>
      <w:r w:rsidRPr="0084635B">
        <w:rPr>
          <w:rFonts w:ascii="Garamond" w:hAnsi="Garamond" w:cs="Times New Roman"/>
          <w:b/>
          <w:bCs/>
          <w:sz w:val="24"/>
          <w:szCs w:val="24"/>
        </w:rPr>
        <w:t xml:space="preserve">Table 3  Level  </w:t>
      </w:r>
      <w:r w:rsidRPr="0084635B">
        <w:rPr>
          <w:rFonts w:ascii="Garamond" w:hAnsi="Garamond" w:cs="Times New Roman"/>
          <w:b/>
          <w:bCs/>
          <w:sz w:val="24"/>
          <w:szCs w:val="24"/>
          <w:lang w:val="en-GB"/>
        </w:rPr>
        <w:t xml:space="preserve">of </w:t>
      </w:r>
      <w:r w:rsidRPr="0084635B">
        <w:rPr>
          <w:rFonts w:ascii="Garamond" w:hAnsi="Garamond" w:cs="Times New Roman"/>
          <w:b/>
          <w:bCs/>
          <w:sz w:val="24"/>
          <w:szCs w:val="24"/>
        </w:rPr>
        <w:t>Trust</w:t>
      </w: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64"/>
        <w:gridCol w:w="3589"/>
        <w:gridCol w:w="851"/>
        <w:gridCol w:w="992"/>
        <w:gridCol w:w="662"/>
        <w:gridCol w:w="1034"/>
      </w:tblGrid>
      <w:tr w:rsidR="00657D46" w:rsidRPr="00EA758A" w:rsidTr="00657D46">
        <w:trPr>
          <w:jc w:val="center"/>
        </w:trPr>
        <w:tc>
          <w:tcPr>
            <w:tcW w:w="664" w:type="dxa"/>
            <w:shd w:val="clear" w:color="auto" w:fill="F2F2F2"/>
          </w:tcPr>
          <w:p w:rsidR="00987639" w:rsidRPr="00EA758A" w:rsidRDefault="00987639" w:rsidP="00657D46">
            <w:pPr>
              <w:spacing w:after="0" w:line="240" w:lineRule="auto"/>
              <w:jc w:val="center"/>
              <w:rPr>
                <w:rFonts w:ascii="Garamond" w:hAnsi="Garamond" w:cs="Times New Roman"/>
                <w:b/>
                <w:bCs/>
                <w:sz w:val="24"/>
                <w:szCs w:val="24"/>
              </w:rPr>
            </w:pPr>
            <w:r w:rsidRPr="00EA758A">
              <w:rPr>
                <w:rFonts w:ascii="Garamond" w:hAnsi="Garamond" w:cs="Times New Roman"/>
                <w:b/>
                <w:bCs/>
                <w:sz w:val="24"/>
                <w:szCs w:val="24"/>
              </w:rPr>
              <w:t>No</w:t>
            </w:r>
          </w:p>
        </w:tc>
        <w:tc>
          <w:tcPr>
            <w:tcW w:w="3589" w:type="dxa"/>
            <w:shd w:val="clear" w:color="auto" w:fill="F2F2F2"/>
          </w:tcPr>
          <w:p w:rsidR="00987639" w:rsidRPr="00EA758A" w:rsidRDefault="00987639" w:rsidP="00657D46">
            <w:pPr>
              <w:spacing w:after="0" w:line="240" w:lineRule="auto"/>
              <w:jc w:val="center"/>
              <w:rPr>
                <w:rFonts w:ascii="Garamond" w:hAnsi="Garamond" w:cs="Times New Roman"/>
                <w:b/>
                <w:bCs/>
                <w:sz w:val="24"/>
                <w:szCs w:val="24"/>
                <w:lang w:val="en-GB"/>
              </w:rPr>
            </w:pPr>
            <w:r w:rsidRPr="00EA758A">
              <w:rPr>
                <w:rFonts w:ascii="Garamond" w:eastAsia="Calibri" w:hAnsi="Garamond" w:cs="Times New Roman"/>
                <w:b/>
                <w:bCs/>
                <w:sz w:val="24"/>
                <w:szCs w:val="24"/>
              </w:rPr>
              <w:t>Indicator</w:t>
            </w:r>
            <w:r w:rsidRPr="00EA758A">
              <w:rPr>
                <w:rFonts w:ascii="Garamond" w:eastAsia="Calibri" w:hAnsi="Garamond" w:cs="Times New Roman"/>
                <w:b/>
                <w:bCs/>
                <w:sz w:val="24"/>
                <w:szCs w:val="24"/>
                <w:lang w:val="en-GB"/>
              </w:rPr>
              <w:t>s of Trust</w:t>
            </w:r>
          </w:p>
        </w:tc>
        <w:tc>
          <w:tcPr>
            <w:tcW w:w="1843" w:type="dxa"/>
            <w:gridSpan w:val="2"/>
            <w:shd w:val="clear" w:color="auto" w:fill="F2F2F2"/>
          </w:tcPr>
          <w:p w:rsidR="00987639" w:rsidRPr="00EA758A" w:rsidRDefault="00987639" w:rsidP="00657D46">
            <w:pPr>
              <w:spacing w:after="0" w:line="240" w:lineRule="auto"/>
              <w:jc w:val="center"/>
              <w:rPr>
                <w:rFonts w:ascii="Garamond" w:hAnsi="Garamond" w:cs="Times New Roman"/>
                <w:b/>
                <w:bCs/>
                <w:sz w:val="24"/>
                <w:szCs w:val="24"/>
              </w:rPr>
            </w:pPr>
            <w:r w:rsidRPr="00EA758A">
              <w:rPr>
                <w:rFonts w:ascii="Garamond" w:hAnsi="Garamond" w:cs="Times New Roman"/>
                <w:b/>
                <w:bCs/>
                <w:sz w:val="24"/>
                <w:szCs w:val="24"/>
                <w:lang w:val="en-GB"/>
              </w:rPr>
              <w:t>B</w:t>
            </w:r>
            <w:r w:rsidRPr="00EA758A">
              <w:rPr>
                <w:rFonts w:ascii="Garamond" w:hAnsi="Garamond" w:cs="Times New Roman"/>
                <w:b/>
                <w:bCs/>
                <w:sz w:val="24"/>
                <w:szCs w:val="24"/>
              </w:rPr>
              <w:t>elieve</w:t>
            </w:r>
          </w:p>
        </w:tc>
        <w:tc>
          <w:tcPr>
            <w:tcW w:w="1696" w:type="dxa"/>
            <w:gridSpan w:val="2"/>
            <w:shd w:val="clear" w:color="auto" w:fill="F2F2F2"/>
          </w:tcPr>
          <w:p w:rsidR="00987639" w:rsidRPr="00EA758A" w:rsidRDefault="00987639" w:rsidP="00657D46">
            <w:pPr>
              <w:spacing w:after="0" w:line="240" w:lineRule="auto"/>
              <w:jc w:val="center"/>
              <w:rPr>
                <w:rFonts w:ascii="Garamond" w:hAnsi="Garamond" w:cs="Times New Roman"/>
                <w:b/>
                <w:bCs/>
                <w:sz w:val="24"/>
                <w:szCs w:val="24"/>
              </w:rPr>
            </w:pPr>
            <w:r w:rsidRPr="00EA758A">
              <w:rPr>
                <w:rFonts w:ascii="Garamond" w:hAnsi="Garamond" w:cs="Times New Roman"/>
                <w:b/>
                <w:bCs/>
                <w:sz w:val="24"/>
                <w:szCs w:val="24"/>
                <w:lang w:val="en-GB"/>
              </w:rPr>
              <w:t>Not B</w:t>
            </w:r>
            <w:r w:rsidRPr="00EA758A">
              <w:rPr>
                <w:rFonts w:ascii="Garamond" w:hAnsi="Garamond" w:cs="Times New Roman"/>
                <w:b/>
                <w:bCs/>
                <w:sz w:val="24"/>
                <w:szCs w:val="24"/>
              </w:rPr>
              <w:t>elieve</w:t>
            </w:r>
          </w:p>
        </w:tc>
      </w:tr>
      <w:tr w:rsidR="00EA758A" w:rsidRPr="00EA758A" w:rsidTr="00657D46">
        <w:trPr>
          <w:jc w:val="center"/>
        </w:trPr>
        <w:tc>
          <w:tcPr>
            <w:tcW w:w="664"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1</w:t>
            </w:r>
          </w:p>
        </w:tc>
        <w:tc>
          <w:tcPr>
            <w:tcW w:w="3589"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rPr>
              <w:t>Sharia insurance is different from conventional</w:t>
            </w:r>
          </w:p>
        </w:tc>
        <w:tc>
          <w:tcPr>
            <w:tcW w:w="851"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103</w:t>
            </w:r>
          </w:p>
        </w:tc>
        <w:tc>
          <w:tcPr>
            <w:tcW w:w="992"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51,5%</w:t>
            </w:r>
          </w:p>
        </w:tc>
        <w:tc>
          <w:tcPr>
            <w:tcW w:w="662"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lang w:val="en-GB"/>
              </w:rPr>
              <w:t>97</w:t>
            </w:r>
          </w:p>
        </w:tc>
        <w:tc>
          <w:tcPr>
            <w:tcW w:w="1034"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48,5%</w:t>
            </w:r>
          </w:p>
        </w:tc>
      </w:tr>
      <w:tr w:rsidR="00EA758A" w:rsidRPr="00EA758A" w:rsidTr="00657D46">
        <w:trPr>
          <w:jc w:val="center"/>
        </w:trPr>
        <w:tc>
          <w:tcPr>
            <w:tcW w:w="664"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2</w:t>
            </w:r>
          </w:p>
        </w:tc>
        <w:tc>
          <w:tcPr>
            <w:tcW w:w="3589"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lang w:val="en-GB"/>
              </w:rPr>
              <w:t>S</w:t>
            </w:r>
            <w:r w:rsidRPr="00EA758A">
              <w:rPr>
                <w:rFonts w:ascii="Garamond" w:hAnsi="Garamond" w:cs="Times New Roman"/>
                <w:sz w:val="24"/>
                <w:szCs w:val="24"/>
              </w:rPr>
              <w:t xml:space="preserve">haria contracts </w:t>
            </w:r>
            <w:r w:rsidRPr="00EA758A">
              <w:rPr>
                <w:rFonts w:ascii="Garamond" w:hAnsi="Garamond" w:cs="Times New Roman"/>
                <w:sz w:val="24"/>
                <w:szCs w:val="24"/>
                <w:lang w:val="en-GB"/>
              </w:rPr>
              <w:t xml:space="preserve">can </w:t>
            </w:r>
            <w:r w:rsidRPr="00EA758A">
              <w:rPr>
                <w:rFonts w:ascii="Garamond" w:hAnsi="Garamond" w:cs="Times New Roman"/>
                <w:sz w:val="24"/>
                <w:szCs w:val="24"/>
              </w:rPr>
              <w:t xml:space="preserve"> influence the insurance works</w:t>
            </w:r>
          </w:p>
        </w:tc>
        <w:tc>
          <w:tcPr>
            <w:tcW w:w="851"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174</w:t>
            </w:r>
          </w:p>
        </w:tc>
        <w:tc>
          <w:tcPr>
            <w:tcW w:w="992"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77%</w:t>
            </w:r>
          </w:p>
        </w:tc>
        <w:tc>
          <w:tcPr>
            <w:tcW w:w="662"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46</w:t>
            </w:r>
          </w:p>
        </w:tc>
        <w:tc>
          <w:tcPr>
            <w:tcW w:w="1034"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23%</w:t>
            </w:r>
          </w:p>
        </w:tc>
      </w:tr>
      <w:tr w:rsidR="00EA758A" w:rsidRPr="00EA758A" w:rsidTr="00657D46">
        <w:trPr>
          <w:jc w:val="center"/>
        </w:trPr>
        <w:tc>
          <w:tcPr>
            <w:tcW w:w="664" w:type="dxa"/>
            <w:shd w:val="clear" w:color="auto" w:fill="auto"/>
          </w:tcPr>
          <w:p w:rsidR="00987639" w:rsidRPr="00EA758A" w:rsidRDefault="00987639" w:rsidP="00657D46">
            <w:pPr>
              <w:spacing w:after="0" w:line="240" w:lineRule="auto"/>
              <w:jc w:val="center"/>
              <w:rPr>
                <w:rFonts w:ascii="Garamond" w:hAnsi="Garamond" w:cs="Times New Roman"/>
                <w:sz w:val="24"/>
                <w:szCs w:val="24"/>
              </w:rPr>
            </w:pPr>
            <w:r w:rsidRPr="00EA758A">
              <w:rPr>
                <w:rFonts w:ascii="Garamond" w:hAnsi="Garamond" w:cs="Times New Roman"/>
                <w:sz w:val="24"/>
                <w:szCs w:val="24"/>
              </w:rPr>
              <w:t>3</w:t>
            </w:r>
          </w:p>
        </w:tc>
        <w:tc>
          <w:tcPr>
            <w:tcW w:w="3589"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lang w:val="en-GB"/>
              </w:rPr>
              <w:t xml:space="preserve">Sharia </w:t>
            </w:r>
            <w:r w:rsidRPr="00EA758A">
              <w:rPr>
                <w:rFonts w:ascii="Garamond" w:hAnsi="Garamond" w:cs="Times New Roman"/>
                <w:sz w:val="24"/>
                <w:szCs w:val="24"/>
              </w:rPr>
              <w:t xml:space="preserve"> insurance can avoid the practice of interest (</w:t>
            </w:r>
            <w:r w:rsidRPr="00EA758A">
              <w:rPr>
                <w:rFonts w:ascii="Garamond" w:hAnsi="Garamond" w:cs="Times New Roman"/>
                <w:i/>
                <w:iCs/>
                <w:sz w:val="24"/>
                <w:szCs w:val="24"/>
              </w:rPr>
              <w:t>riba</w:t>
            </w:r>
            <w:r w:rsidRPr="00EA758A">
              <w:rPr>
                <w:rFonts w:ascii="Garamond" w:hAnsi="Garamond" w:cs="Times New Roman"/>
                <w:sz w:val="24"/>
                <w:szCs w:val="24"/>
              </w:rPr>
              <w:t>) and speculation (</w:t>
            </w:r>
            <w:r w:rsidRPr="00EA758A">
              <w:rPr>
                <w:rFonts w:ascii="Garamond" w:hAnsi="Garamond" w:cs="Times New Roman"/>
                <w:i/>
                <w:iCs/>
                <w:sz w:val="24"/>
                <w:szCs w:val="24"/>
              </w:rPr>
              <w:t>maysir</w:t>
            </w:r>
            <w:r w:rsidRPr="00EA758A">
              <w:rPr>
                <w:rFonts w:ascii="Garamond" w:hAnsi="Garamond" w:cs="Times New Roman"/>
                <w:sz w:val="24"/>
                <w:szCs w:val="24"/>
              </w:rPr>
              <w:t>)</w:t>
            </w:r>
          </w:p>
        </w:tc>
        <w:tc>
          <w:tcPr>
            <w:tcW w:w="851"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168</w:t>
            </w:r>
          </w:p>
        </w:tc>
        <w:tc>
          <w:tcPr>
            <w:tcW w:w="992"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84%</w:t>
            </w:r>
          </w:p>
        </w:tc>
        <w:tc>
          <w:tcPr>
            <w:tcW w:w="662"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32</w:t>
            </w:r>
          </w:p>
        </w:tc>
        <w:tc>
          <w:tcPr>
            <w:tcW w:w="1034"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16%</w:t>
            </w:r>
          </w:p>
        </w:tc>
      </w:tr>
      <w:tr w:rsidR="00EA758A" w:rsidRPr="00EA758A" w:rsidTr="00657D46">
        <w:trPr>
          <w:jc w:val="center"/>
        </w:trPr>
        <w:tc>
          <w:tcPr>
            <w:tcW w:w="664"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lastRenderedPageBreak/>
              <w:t>4</w:t>
            </w:r>
          </w:p>
        </w:tc>
        <w:tc>
          <w:tcPr>
            <w:tcW w:w="3589" w:type="dxa"/>
            <w:shd w:val="clear" w:color="auto" w:fill="auto"/>
          </w:tcPr>
          <w:p w:rsidR="00987639" w:rsidRPr="00EA758A" w:rsidRDefault="00987639" w:rsidP="00657D46">
            <w:pPr>
              <w:spacing w:after="0" w:line="240" w:lineRule="auto"/>
              <w:rPr>
                <w:rFonts w:ascii="Garamond" w:hAnsi="Garamond" w:cs="Times New Roman"/>
                <w:sz w:val="24"/>
                <w:szCs w:val="24"/>
              </w:rPr>
            </w:pPr>
            <w:r w:rsidRPr="00EA758A">
              <w:rPr>
                <w:rFonts w:ascii="Garamond" w:hAnsi="Garamond" w:cs="Times New Roman"/>
                <w:sz w:val="24"/>
                <w:szCs w:val="24"/>
                <w:lang w:val="en-GB"/>
              </w:rPr>
              <w:t>I</w:t>
            </w:r>
            <w:r w:rsidRPr="00EA758A">
              <w:rPr>
                <w:rFonts w:ascii="Garamond" w:hAnsi="Garamond" w:cs="Times New Roman"/>
                <w:sz w:val="24"/>
                <w:szCs w:val="24"/>
              </w:rPr>
              <w:t>nsurance labeled sharia</w:t>
            </w:r>
            <w:r w:rsidRPr="00EA758A">
              <w:rPr>
                <w:rFonts w:ascii="Garamond" w:hAnsi="Garamond" w:cs="Times New Roman"/>
                <w:sz w:val="24"/>
                <w:szCs w:val="24"/>
                <w:lang w:val="en-GB"/>
              </w:rPr>
              <w:t xml:space="preserve"> </w:t>
            </w:r>
            <w:r w:rsidRPr="00EA758A">
              <w:rPr>
                <w:rFonts w:ascii="Garamond" w:hAnsi="Garamond" w:cs="Times New Roman"/>
                <w:sz w:val="24"/>
                <w:szCs w:val="24"/>
              </w:rPr>
              <w:t>can be develop</w:t>
            </w:r>
          </w:p>
        </w:tc>
        <w:tc>
          <w:tcPr>
            <w:tcW w:w="851"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132</w:t>
            </w:r>
          </w:p>
        </w:tc>
        <w:tc>
          <w:tcPr>
            <w:tcW w:w="992"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66%</w:t>
            </w:r>
          </w:p>
        </w:tc>
        <w:tc>
          <w:tcPr>
            <w:tcW w:w="662"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68</w:t>
            </w:r>
          </w:p>
        </w:tc>
        <w:tc>
          <w:tcPr>
            <w:tcW w:w="1034" w:type="dxa"/>
            <w:shd w:val="clear" w:color="auto" w:fill="auto"/>
          </w:tcPr>
          <w:p w:rsidR="00987639" w:rsidRPr="00EA758A" w:rsidRDefault="00987639" w:rsidP="00657D46">
            <w:pPr>
              <w:spacing w:after="0" w:line="240" w:lineRule="auto"/>
              <w:jc w:val="center"/>
              <w:rPr>
                <w:rFonts w:ascii="Garamond" w:hAnsi="Garamond" w:cs="Times New Roman"/>
                <w:sz w:val="24"/>
                <w:szCs w:val="24"/>
                <w:lang w:val="en-GB"/>
              </w:rPr>
            </w:pPr>
            <w:r w:rsidRPr="00EA758A">
              <w:rPr>
                <w:rFonts w:ascii="Garamond" w:hAnsi="Garamond" w:cs="Times New Roman"/>
                <w:sz w:val="24"/>
                <w:szCs w:val="24"/>
                <w:lang w:val="en-GB"/>
              </w:rPr>
              <w:t>34%</w:t>
            </w:r>
          </w:p>
        </w:tc>
      </w:tr>
      <w:tr w:rsidR="00657D46" w:rsidRPr="00EA758A" w:rsidTr="00657D46">
        <w:trPr>
          <w:jc w:val="center"/>
        </w:trPr>
        <w:tc>
          <w:tcPr>
            <w:tcW w:w="4253" w:type="dxa"/>
            <w:gridSpan w:val="2"/>
            <w:shd w:val="clear" w:color="auto" w:fill="auto"/>
          </w:tcPr>
          <w:p w:rsidR="00987639" w:rsidRPr="00EA758A" w:rsidRDefault="00987639" w:rsidP="00657D46">
            <w:pPr>
              <w:spacing w:after="0" w:line="240" w:lineRule="auto"/>
              <w:jc w:val="center"/>
              <w:rPr>
                <w:rFonts w:ascii="Garamond" w:eastAsia="Calibri" w:hAnsi="Garamond" w:cs="Times New Roman"/>
                <w:b/>
                <w:bCs/>
                <w:sz w:val="24"/>
                <w:szCs w:val="24"/>
              </w:rPr>
            </w:pPr>
            <w:r w:rsidRPr="00EA758A">
              <w:rPr>
                <w:rFonts w:ascii="Garamond" w:eastAsia="Calibri" w:hAnsi="Garamond" w:cs="Times New Roman"/>
                <w:b/>
                <w:bCs/>
                <w:sz w:val="24"/>
                <w:szCs w:val="24"/>
              </w:rPr>
              <w:t>Average Amount</w:t>
            </w:r>
          </w:p>
        </w:tc>
        <w:tc>
          <w:tcPr>
            <w:tcW w:w="1843" w:type="dxa"/>
            <w:gridSpan w:val="2"/>
            <w:shd w:val="clear" w:color="auto" w:fill="auto"/>
          </w:tcPr>
          <w:p w:rsidR="00987639" w:rsidRPr="00EA758A" w:rsidRDefault="00987639" w:rsidP="00657D46">
            <w:pPr>
              <w:spacing w:after="0" w:line="240" w:lineRule="auto"/>
              <w:jc w:val="center"/>
              <w:rPr>
                <w:rFonts w:ascii="Garamond" w:eastAsia="Calibri" w:hAnsi="Garamond" w:cs="Times New Roman"/>
                <w:b/>
                <w:bCs/>
                <w:sz w:val="24"/>
                <w:szCs w:val="24"/>
                <w:lang w:val="en-GB"/>
              </w:rPr>
            </w:pPr>
            <w:r w:rsidRPr="00EA758A">
              <w:rPr>
                <w:rFonts w:ascii="Garamond" w:eastAsia="Calibri" w:hAnsi="Garamond" w:cs="Times New Roman"/>
                <w:b/>
                <w:bCs/>
                <w:sz w:val="24"/>
                <w:szCs w:val="24"/>
                <w:lang w:val="en-GB"/>
              </w:rPr>
              <w:t>(69,63%)</w:t>
            </w:r>
          </w:p>
        </w:tc>
        <w:tc>
          <w:tcPr>
            <w:tcW w:w="1696" w:type="dxa"/>
            <w:gridSpan w:val="2"/>
            <w:shd w:val="clear" w:color="auto" w:fill="auto"/>
          </w:tcPr>
          <w:p w:rsidR="00987639" w:rsidRPr="00EA758A" w:rsidRDefault="00987639" w:rsidP="00657D46">
            <w:pPr>
              <w:spacing w:after="0" w:line="240" w:lineRule="auto"/>
              <w:jc w:val="center"/>
              <w:rPr>
                <w:rFonts w:ascii="Garamond" w:eastAsia="Calibri" w:hAnsi="Garamond" w:cs="Times New Roman"/>
                <w:b/>
                <w:bCs/>
                <w:sz w:val="24"/>
                <w:szCs w:val="24"/>
                <w:lang w:val="en-GB"/>
              </w:rPr>
            </w:pPr>
            <w:r w:rsidRPr="00EA758A">
              <w:rPr>
                <w:rFonts w:ascii="Garamond" w:eastAsia="Calibri" w:hAnsi="Garamond" w:cs="Times New Roman"/>
                <w:b/>
                <w:bCs/>
                <w:sz w:val="24"/>
                <w:szCs w:val="24"/>
                <w:lang w:val="en-GB"/>
              </w:rPr>
              <w:t>(30,37%)</w:t>
            </w:r>
          </w:p>
        </w:tc>
      </w:tr>
    </w:tbl>
    <w:p w:rsidR="00987639" w:rsidRPr="0084635B" w:rsidRDefault="00987639" w:rsidP="00987639">
      <w:pPr>
        <w:jc w:val="both"/>
        <w:rPr>
          <w:rFonts w:ascii="Garamond" w:hAnsi="Garamond" w:cs="Times New Roman"/>
          <w:sz w:val="24"/>
          <w:szCs w:val="24"/>
        </w:rPr>
      </w:pPr>
    </w:p>
    <w:p w:rsidR="00987639" w:rsidRPr="0084635B" w:rsidRDefault="00987639" w:rsidP="00EA758A">
      <w:pPr>
        <w:spacing w:after="0" w:line="276" w:lineRule="auto"/>
        <w:jc w:val="both"/>
        <w:rPr>
          <w:rFonts w:ascii="Garamond" w:eastAsia="Calibri" w:hAnsi="Garamond" w:cs="Times New Roman"/>
          <w:b/>
          <w:bCs/>
          <w:sz w:val="18"/>
          <w:szCs w:val="18"/>
          <w:lang w:val="en-GB"/>
        </w:rPr>
      </w:pPr>
      <w:r w:rsidRPr="00EA758A">
        <w:rPr>
          <w:rFonts w:ascii="Garamond" w:hAnsi="Garamond" w:cs="Times New Roman"/>
          <w:sz w:val="24"/>
          <w:szCs w:val="24"/>
        </w:rPr>
        <w:t>Despite</w:t>
      </w:r>
      <w:r w:rsidRPr="0084635B">
        <w:rPr>
          <w:rFonts w:ascii="Garamond" w:hAnsi="Garamond" w:cs="Times New Roman"/>
          <w:sz w:val="24"/>
          <w:szCs w:val="24"/>
          <w:lang w:val="en-GB"/>
        </w:rPr>
        <w:t xml:space="preserve"> the understanding of the Muslim society in Malang city toward the concept of</w:t>
      </w:r>
      <w:r w:rsidRPr="0084635B">
        <w:rPr>
          <w:rStyle w:val="y2iqfc"/>
          <w:rFonts w:ascii="Garamond" w:hAnsi="Garamond"/>
          <w:color w:val="202124"/>
          <w:sz w:val="42"/>
          <w:szCs w:val="42"/>
        </w:rPr>
        <w:t xml:space="preserve"> </w:t>
      </w:r>
      <w:r w:rsidRPr="0084635B">
        <w:rPr>
          <w:rFonts w:ascii="Garamond" w:hAnsi="Garamond" w:cs="Times New Roman"/>
          <w:sz w:val="24"/>
          <w:szCs w:val="24"/>
          <w:lang w:val="en-GB"/>
        </w:rPr>
        <w:t xml:space="preserve">sharia insurance is low, their </w:t>
      </w:r>
      <w:r w:rsidRPr="0084635B">
        <w:rPr>
          <w:rFonts w:ascii="Garamond" w:hAnsi="Garamond" w:cs="Times New Roman"/>
          <w:sz w:val="24"/>
          <w:szCs w:val="24"/>
        </w:rPr>
        <w:t xml:space="preserve"> </w:t>
      </w:r>
      <w:r w:rsidRPr="0084635B">
        <w:rPr>
          <w:rFonts w:ascii="Garamond" w:hAnsi="Garamond" w:cs="Times New Roman"/>
          <w:sz w:val="24"/>
          <w:szCs w:val="24"/>
          <w:lang w:val="en-GB"/>
        </w:rPr>
        <w:t xml:space="preserve">trust in sharia insurance is category high, namely: </w:t>
      </w:r>
      <w:r w:rsidRPr="0084635B">
        <w:rPr>
          <w:rFonts w:ascii="Garamond" w:hAnsi="Garamond" w:cs="Times New Roman"/>
          <w:sz w:val="24"/>
          <w:szCs w:val="24"/>
        </w:rPr>
        <w:t>(</w:t>
      </w:r>
      <w:r w:rsidRPr="0084635B">
        <w:rPr>
          <w:rFonts w:ascii="Garamond" w:hAnsi="Garamond" w:cs="Times New Roman"/>
          <w:b/>
          <w:bCs/>
          <w:sz w:val="24"/>
          <w:szCs w:val="24"/>
          <w:lang w:val="en-GB"/>
        </w:rPr>
        <w:t>69,63%</w:t>
      </w:r>
      <w:r w:rsidRPr="0084635B">
        <w:rPr>
          <w:rFonts w:ascii="Garamond" w:hAnsi="Garamond" w:cs="Times New Roman"/>
          <w:b/>
          <w:bCs/>
          <w:sz w:val="24"/>
          <w:szCs w:val="24"/>
        </w:rPr>
        <w:t>)</w:t>
      </w:r>
      <w:r w:rsidRPr="0084635B">
        <w:rPr>
          <w:rFonts w:ascii="Garamond" w:hAnsi="Garamond" w:cs="Times New Roman"/>
          <w:sz w:val="24"/>
          <w:szCs w:val="24"/>
          <w:lang w:val="en-GB"/>
        </w:rPr>
        <w:t>.</w:t>
      </w:r>
      <w:r w:rsidRPr="0084635B">
        <w:rPr>
          <w:rFonts w:ascii="Garamond" w:hAnsi="Garamond" w:cs="Times New Roman"/>
          <w:b/>
          <w:bCs/>
          <w:sz w:val="24"/>
          <w:szCs w:val="24"/>
          <w:lang w:val="en-GB"/>
        </w:rPr>
        <w:t xml:space="preserve"> </w:t>
      </w:r>
      <w:r w:rsidRPr="0084635B">
        <w:rPr>
          <w:rFonts w:ascii="Garamond" w:hAnsi="Garamond" w:cs="Times New Roman"/>
          <w:sz w:val="24"/>
          <w:szCs w:val="24"/>
          <w:lang w:val="en-GB"/>
        </w:rPr>
        <w:t>The highest level of trust is built from achievement indicators sequentially which stated that</w:t>
      </w:r>
      <w:r w:rsidRPr="0084635B">
        <w:rPr>
          <w:rFonts w:ascii="Garamond" w:hAnsi="Garamond" w:cs="Times New Roman"/>
          <w:sz w:val="24"/>
          <w:szCs w:val="24"/>
        </w:rPr>
        <w:t>: (a)</w:t>
      </w:r>
      <w:r w:rsidRPr="0084635B">
        <w:rPr>
          <w:rFonts w:ascii="Garamond" w:hAnsi="Garamond" w:cs="Times New Roman"/>
          <w:sz w:val="24"/>
          <w:szCs w:val="24"/>
          <w:lang w:val="en-GB"/>
        </w:rPr>
        <w:t xml:space="preserve"> </w:t>
      </w:r>
      <w:r w:rsidRPr="0084635B">
        <w:rPr>
          <w:rFonts w:ascii="Garamond" w:hAnsi="Garamond" w:cs="Times New Roman"/>
          <w:sz w:val="24"/>
          <w:szCs w:val="24"/>
        </w:rPr>
        <w:t>S</w:t>
      </w:r>
      <w:r w:rsidRPr="0084635B">
        <w:rPr>
          <w:rFonts w:ascii="Garamond" w:hAnsi="Garamond" w:cs="Times New Roman"/>
          <w:sz w:val="24"/>
          <w:szCs w:val="24"/>
          <w:lang w:val="en-GB"/>
        </w:rPr>
        <w:t>haria insurance can avoid practices of usury</w:t>
      </w:r>
      <w:r w:rsidRPr="0084635B">
        <w:rPr>
          <w:rFonts w:ascii="Garamond" w:hAnsi="Garamond" w:cs="Times New Roman"/>
          <w:sz w:val="24"/>
          <w:szCs w:val="24"/>
        </w:rPr>
        <w:t>; (b)</w:t>
      </w:r>
      <w:r w:rsidRPr="0084635B">
        <w:rPr>
          <w:rFonts w:ascii="Garamond" w:hAnsi="Garamond" w:cs="Times New Roman"/>
          <w:sz w:val="24"/>
          <w:szCs w:val="24"/>
          <w:lang w:val="en-GB"/>
        </w:rPr>
        <w:t xml:space="preserve"> </w:t>
      </w:r>
      <w:r w:rsidRPr="0084635B">
        <w:rPr>
          <w:rFonts w:ascii="Garamond" w:hAnsi="Garamond" w:cs="Times New Roman"/>
          <w:sz w:val="24"/>
          <w:szCs w:val="24"/>
        </w:rPr>
        <w:t>S</w:t>
      </w:r>
      <w:r w:rsidRPr="0084635B">
        <w:rPr>
          <w:rFonts w:ascii="Garamond" w:hAnsi="Garamond" w:cs="Times New Roman"/>
          <w:sz w:val="24"/>
          <w:szCs w:val="24"/>
          <w:lang w:val="en-GB"/>
        </w:rPr>
        <w:t>haria contracts can  influence the insurance works</w:t>
      </w:r>
      <w:r w:rsidRPr="0084635B">
        <w:rPr>
          <w:rFonts w:ascii="Garamond" w:hAnsi="Garamond" w:cs="Times New Roman"/>
          <w:sz w:val="24"/>
          <w:szCs w:val="24"/>
        </w:rPr>
        <w:t xml:space="preserve">; (c) </w:t>
      </w:r>
      <w:r w:rsidRPr="0084635B">
        <w:rPr>
          <w:rFonts w:ascii="Garamond" w:hAnsi="Garamond" w:cs="Times New Roman"/>
          <w:sz w:val="24"/>
          <w:szCs w:val="24"/>
          <w:lang w:val="en-GB"/>
        </w:rPr>
        <w:t xml:space="preserve"> </w:t>
      </w:r>
      <w:r w:rsidRPr="0084635B">
        <w:rPr>
          <w:rFonts w:ascii="Garamond" w:hAnsi="Garamond" w:cs="Times New Roman"/>
          <w:sz w:val="24"/>
          <w:szCs w:val="24"/>
        </w:rPr>
        <w:t>S</w:t>
      </w:r>
      <w:r w:rsidRPr="0084635B">
        <w:rPr>
          <w:rFonts w:ascii="Garamond" w:hAnsi="Garamond" w:cs="Times New Roman"/>
          <w:sz w:val="24"/>
          <w:szCs w:val="24"/>
          <w:lang w:val="en-GB"/>
        </w:rPr>
        <w:t xml:space="preserve">haria-labeled insurance can </w:t>
      </w:r>
      <w:r w:rsidRPr="0084635B">
        <w:rPr>
          <w:rFonts w:ascii="Garamond" w:hAnsi="Garamond" w:cs="Times New Roman"/>
          <w:sz w:val="24"/>
          <w:szCs w:val="24"/>
        </w:rPr>
        <w:t xml:space="preserve">be </w:t>
      </w:r>
      <w:r w:rsidRPr="0084635B">
        <w:rPr>
          <w:rFonts w:ascii="Garamond" w:hAnsi="Garamond" w:cs="Times New Roman"/>
          <w:sz w:val="24"/>
          <w:szCs w:val="24"/>
          <w:lang w:val="en-GB"/>
        </w:rPr>
        <w:t>develop</w:t>
      </w:r>
      <w:r w:rsidRPr="0084635B">
        <w:rPr>
          <w:rFonts w:ascii="Garamond" w:hAnsi="Garamond" w:cs="Times New Roman"/>
          <w:sz w:val="24"/>
          <w:szCs w:val="24"/>
        </w:rPr>
        <w:t>ed</w:t>
      </w:r>
      <w:r w:rsidRPr="0084635B">
        <w:rPr>
          <w:rFonts w:ascii="Garamond" w:hAnsi="Garamond" w:cs="Times New Roman"/>
          <w:sz w:val="24"/>
          <w:szCs w:val="24"/>
          <w:lang w:val="en-GB"/>
        </w:rPr>
        <w:t xml:space="preserve">, and </w:t>
      </w:r>
      <w:r w:rsidRPr="0084635B">
        <w:rPr>
          <w:rFonts w:ascii="Garamond" w:hAnsi="Garamond" w:cs="Times New Roman"/>
          <w:sz w:val="24"/>
          <w:szCs w:val="24"/>
        </w:rPr>
        <w:t>(e) T</w:t>
      </w:r>
      <w:r w:rsidRPr="0084635B">
        <w:rPr>
          <w:rFonts w:ascii="Garamond" w:hAnsi="Garamond" w:cs="Times New Roman"/>
          <w:sz w:val="24"/>
          <w:szCs w:val="24"/>
          <w:lang w:val="en-GB"/>
        </w:rPr>
        <w:t xml:space="preserve">rust about the differences between sharia insurance and conventional insurance. </w:t>
      </w:r>
      <w:r w:rsidRPr="0084635B">
        <w:rPr>
          <w:rFonts w:ascii="Garamond" w:hAnsi="Garamond" w:cs="Times New Roman"/>
          <w:sz w:val="24"/>
          <w:szCs w:val="24"/>
        </w:rPr>
        <w:t xml:space="preserve"> </w:t>
      </w:r>
      <w:r w:rsidRPr="0084635B">
        <w:rPr>
          <w:rFonts w:ascii="Garamond" w:hAnsi="Garamond" w:cs="Times New Roman"/>
          <w:sz w:val="24"/>
          <w:szCs w:val="24"/>
          <w:lang w:val="en-GB"/>
        </w:rPr>
        <w:t xml:space="preserve">On the contrary, </w:t>
      </w:r>
      <w:r w:rsidRPr="0084635B">
        <w:rPr>
          <w:rFonts w:ascii="Garamond" w:hAnsi="Garamond" w:cs="Times New Roman"/>
          <w:sz w:val="24"/>
          <w:szCs w:val="24"/>
        </w:rPr>
        <w:t>if</w:t>
      </w:r>
      <w:r w:rsidRPr="0084635B">
        <w:rPr>
          <w:rFonts w:ascii="Garamond" w:hAnsi="Garamond" w:cs="Times New Roman"/>
          <w:sz w:val="24"/>
          <w:szCs w:val="24"/>
          <w:lang w:val="en-GB"/>
        </w:rPr>
        <w:t xml:space="preserve"> viewed from all indicators, it can be seen that there are still many respondents (</w:t>
      </w:r>
      <w:r w:rsidRPr="0084635B">
        <w:rPr>
          <w:rFonts w:ascii="Garamond" w:hAnsi="Garamond" w:cs="Times New Roman"/>
          <w:b/>
          <w:bCs/>
          <w:sz w:val="24"/>
          <w:szCs w:val="24"/>
          <w:lang w:val="en-GB"/>
        </w:rPr>
        <w:t>30,37%</w:t>
      </w:r>
      <w:r w:rsidRPr="0084635B">
        <w:rPr>
          <w:rFonts w:ascii="Garamond" w:hAnsi="Garamond" w:cs="Times New Roman"/>
          <w:sz w:val="24"/>
          <w:szCs w:val="24"/>
          <w:lang w:val="en-GB"/>
        </w:rPr>
        <w:t>)</w:t>
      </w:r>
      <w:r w:rsidRPr="0084635B">
        <w:rPr>
          <w:rFonts w:ascii="Garamond" w:eastAsia="Calibri" w:hAnsi="Garamond" w:cs="Times New Roman"/>
          <w:b/>
          <w:bCs/>
          <w:sz w:val="18"/>
          <w:szCs w:val="18"/>
        </w:rPr>
        <w:t xml:space="preserve"> </w:t>
      </w:r>
      <w:r w:rsidRPr="0084635B">
        <w:rPr>
          <w:rFonts w:ascii="Garamond" w:hAnsi="Garamond" w:cs="Times New Roman"/>
          <w:sz w:val="24"/>
          <w:szCs w:val="24"/>
          <w:lang w:val="en-GB"/>
        </w:rPr>
        <w:t xml:space="preserve">who </w:t>
      </w:r>
      <w:r w:rsidRPr="0084635B">
        <w:rPr>
          <w:rFonts w:ascii="Garamond" w:hAnsi="Garamond" w:cs="Times New Roman"/>
          <w:sz w:val="24"/>
          <w:szCs w:val="24"/>
        </w:rPr>
        <w:t>did</w:t>
      </w:r>
      <w:r w:rsidRPr="0084635B">
        <w:rPr>
          <w:rFonts w:ascii="Garamond" w:hAnsi="Garamond" w:cs="Times New Roman"/>
          <w:sz w:val="24"/>
          <w:szCs w:val="24"/>
          <w:lang w:val="en-GB"/>
        </w:rPr>
        <w:t xml:space="preserve"> not </w:t>
      </w:r>
      <w:r w:rsidRPr="0084635B">
        <w:rPr>
          <w:rFonts w:ascii="Garamond" w:hAnsi="Garamond" w:cs="Times New Roman"/>
          <w:sz w:val="24"/>
          <w:szCs w:val="24"/>
        </w:rPr>
        <w:t>have the trust</w:t>
      </w:r>
      <w:r w:rsidRPr="0084635B">
        <w:rPr>
          <w:rFonts w:ascii="Garamond" w:hAnsi="Garamond" w:cs="Times New Roman"/>
          <w:sz w:val="24"/>
          <w:szCs w:val="24"/>
          <w:lang w:val="en-GB"/>
        </w:rPr>
        <w:t xml:space="preserve"> </w:t>
      </w:r>
      <w:r w:rsidRPr="0084635B">
        <w:rPr>
          <w:rFonts w:ascii="Garamond" w:hAnsi="Garamond" w:cs="Times New Roman"/>
          <w:sz w:val="24"/>
          <w:szCs w:val="24"/>
        </w:rPr>
        <w:t>on</w:t>
      </w:r>
      <w:r w:rsidRPr="0084635B">
        <w:rPr>
          <w:rFonts w:ascii="Garamond" w:hAnsi="Garamond" w:cs="Times New Roman"/>
          <w:sz w:val="24"/>
          <w:szCs w:val="24"/>
          <w:lang w:val="en-GB"/>
        </w:rPr>
        <w:t xml:space="preserve"> sharia insurance</w:t>
      </w:r>
      <w:r w:rsidRPr="0084635B">
        <w:rPr>
          <w:rFonts w:ascii="Garamond" w:hAnsi="Garamond" w:cs="Times New Roman"/>
          <w:sz w:val="24"/>
          <w:szCs w:val="24"/>
        </w:rPr>
        <w:t xml:space="preserve">. </w:t>
      </w:r>
    </w:p>
    <w:p w:rsidR="00987639" w:rsidRPr="0084635B" w:rsidRDefault="00987639" w:rsidP="00EA758A">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The highest level of trust is related to the existence of sharia insurance that can avoid practice usury (</w:t>
      </w:r>
      <w:r w:rsidRPr="0084635B">
        <w:rPr>
          <w:rFonts w:ascii="Garamond" w:hAnsi="Garamond" w:cs="Times New Roman"/>
          <w:i/>
          <w:iCs/>
          <w:sz w:val="24"/>
          <w:szCs w:val="24"/>
        </w:rPr>
        <w:t>riba</w:t>
      </w:r>
      <w:r w:rsidRPr="0084635B">
        <w:rPr>
          <w:rFonts w:ascii="Garamond" w:hAnsi="Garamond" w:cs="Times New Roman"/>
          <w:sz w:val="24"/>
          <w:szCs w:val="24"/>
        </w:rPr>
        <w:t>) and speculation (</w:t>
      </w:r>
      <w:r w:rsidRPr="0084635B">
        <w:rPr>
          <w:rFonts w:ascii="Garamond" w:hAnsi="Garamond" w:cs="Times New Roman"/>
          <w:i/>
          <w:iCs/>
          <w:sz w:val="24"/>
          <w:szCs w:val="24"/>
        </w:rPr>
        <w:t>maysir</w:t>
      </w:r>
      <w:r w:rsidRPr="0084635B">
        <w:rPr>
          <w:rFonts w:ascii="Garamond" w:hAnsi="Garamond" w:cs="Times New Roman"/>
          <w:sz w:val="24"/>
          <w:szCs w:val="24"/>
        </w:rPr>
        <w:t>). While the lowest level of trust is related to the difference between sharia insurance and conventional insurance. This showed that the respondents have considered that there is no significant difference between sharia insurance and conventional insurance.</w:t>
      </w:r>
    </w:p>
    <w:p w:rsidR="00987639" w:rsidRPr="0084635B" w:rsidRDefault="00987639" w:rsidP="00EA758A">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Public trust in insurance products is the potential to become consumers. Trust is also very crucial in order to compete among business organizations in today's global business world.</w:t>
      </w:r>
      <w:r w:rsidRPr="0084635B">
        <w:rPr>
          <w:rStyle w:val="FootnoteReference"/>
          <w:rFonts w:ascii="Garamond" w:hAnsi="Garamond"/>
          <w:sz w:val="24"/>
          <w:szCs w:val="24"/>
        </w:rPr>
        <w:footnoteReference w:id="34"/>
      </w:r>
      <w:r w:rsidRPr="0084635B">
        <w:rPr>
          <w:rFonts w:ascii="Garamond" w:hAnsi="Garamond" w:cs="Times New Roman"/>
          <w:sz w:val="24"/>
          <w:szCs w:val="24"/>
        </w:rPr>
        <w:t xml:space="preserve"> There are several factors to build the trust of consumers, namely: </w:t>
      </w:r>
      <w:r w:rsidRPr="0084635B">
        <w:rPr>
          <w:rFonts w:ascii="Garamond" w:hAnsi="Garamond" w:cs="Times New Roman"/>
          <w:i/>
          <w:iCs/>
          <w:sz w:val="24"/>
          <w:szCs w:val="24"/>
        </w:rPr>
        <w:t>Firstly</w:t>
      </w:r>
      <w:r w:rsidRPr="0084635B">
        <w:rPr>
          <w:rFonts w:ascii="Garamond" w:hAnsi="Garamond" w:cs="Times New Roman"/>
          <w:sz w:val="24"/>
          <w:szCs w:val="24"/>
        </w:rPr>
        <w:t xml:space="preserve">, need to provide accessible  information. </w:t>
      </w:r>
      <w:r w:rsidRPr="0084635B">
        <w:rPr>
          <w:rFonts w:ascii="Garamond" w:hAnsi="Garamond" w:cs="Times New Roman"/>
          <w:i/>
          <w:iCs/>
          <w:sz w:val="24"/>
          <w:szCs w:val="24"/>
        </w:rPr>
        <w:t>Secondly</w:t>
      </w:r>
      <w:r w:rsidRPr="0084635B">
        <w:rPr>
          <w:rFonts w:ascii="Garamond" w:hAnsi="Garamond" w:cs="Times New Roman"/>
          <w:sz w:val="24"/>
          <w:szCs w:val="24"/>
        </w:rPr>
        <w:t xml:space="preserve">, in order to strengthen customer trust, the information provided on the product must be accurate and detailed. Furthermore, the information must be easily understandable.  </w:t>
      </w:r>
      <w:r w:rsidRPr="0084635B">
        <w:rPr>
          <w:rFonts w:ascii="Garamond" w:hAnsi="Garamond" w:cs="Times New Roman"/>
          <w:i/>
          <w:iCs/>
          <w:sz w:val="24"/>
          <w:szCs w:val="24"/>
        </w:rPr>
        <w:t>Thirdly</w:t>
      </w:r>
      <w:r w:rsidRPr="0084635B">
        <w:rPr>
          <w:rFonts w:ascii="Garamond" w:hAnsi="Garamond" w:cs="Times New Roman"/>
          <w:sz w:val="24"/>
          <w:szCs w:val="24"/>
        </w:rPr>
        <w:t>, good services can strengthen the customer trust and satisfaction.</w:t>
      </w:r>
      <w:r w:rsidRPr="0084635B">
        <w:rPr>
          <w:rStyle w:val="FootnoteReference"/>
          <w:rFonts w:ascii="Garamond" w:hAnsi="Garamond"/>
          <w:sz w:val="24"/>
          <w:szCs w:val="24"/>
        </w:rPr>
        <w:footnoteReference w:id="35"/>
      </w:r>
      <w:r w:rsidRPr="0084635B">
        <w:rPr>
          <w:rFonts w:ascii="Garamond" w:hAnsi="Garamond" w:cs="Times New Roman"/>
          <w:sz w:val="24"/>
          <w:szCs w:val="24"/>
        </w:rPr>
        <w:t xml:space="preserve"> To increase the trust of sharia insurance, these factors emphasize the importance of providing easy information to the public.</w:t>
      </w:r>
    </w:p>
    <w:p w:rsidR="00987639" w:rsidRPr="0084635B" w:rsidRDefault="00987639" w:rsidP="00EA758A">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t>Trust is formed because of the relationship between trustor and trustee.</w:t>
      </w:r>
      <w:r w:rsidRPr="0084635B">
        <w:rPr>
          <w:rStyle w:val="FootnoteReference"/>
          <w:rFonts w:ascii="Garamond" w:hAnsi="Garamond"/>
          <w:sz w:val="24"/>
          <w:szCs w:val="24"/>
        </w:rPr>
        <w:footnoteReference w:id="36"/>
      </w:r>
      <w:r w:rsidRPr="0084635B">
        <w:rPr>
          <w:rFonts w:ascii="Garamond" w:hAnsi="Garamond" w:cs="Times New Roman"/>
          <w:sz w:val="24"/>
          <w:szCs w:val="24"/>
        </w:rPr>
        <w:t xml:space="preserve"> Geebren and Jabbar said that interpersonal-based trust can be classified into two categories, namely emotional trust and cognitive trust. Emotional trust refers to the trustor’s confidence regarding security and convenience in relying on a specific trustee. Emotional trust can only be developed if the relationship between the trustor and trustee is personal such as in the organizational contexts. Cognitive trust is also called trusting beliefs which refers to trustor’ perceptions of the desirable characteristics of the trustee.</w:t>
      </w:r>
      <w:r w:rsidRPr="0084635B">
        <w:rPr>
          <w:rStyle w:val="FootnoteReference"/>
          <w:rFonts w:ascii="Garamond" w:hAnsi="Garamond"/>
          <w:sz w:val="24"/>
          <w:szCs w:val="24"/>
        </w:rPr>
        <w:footnoteReference w:id="37"/>
      </w:r>
      <w:r w:rsidRPr="0084635B">
        <w:rPr>
          <w:rFonts w:ascii="Garamond" w:hAnsi="Garamond" w:cs="Times New Roman"/>
          <w:sz w:val="24"/>
          <w:szCs w:val="24"/>
        </w:rPr>
        <w:t xml:space="preserve">  </w:t>
      </w:r>
    </w:p>
    <w:p w:rsidR="00987639" w:rsidRPr="0084635B" w:rsidRDefault="00987639" w:rsidP="00EA758A">
      <w:pPr>
        <w:spacing w:after="0" w:line="276" w:lineRule="auto"/>
        <w:ind w:firstLine="567"/>
        <w:jc w:val="both"/>
        <w:rPr>
          <w:rFonts w:ascii="Garamond" w:hAnsi="Garamond" w:cs="Times New Roman"/>
          <w:sz w:val="24"/>
          <w:szCs w:val="24"/>
        </w:rPr>
      </w:pPr>
      <w:r w:rsidRPr="0084635B">
        <w:rPr>
          <w:rFonts w:ascii="Garamond" w:hAnsi="Garamond" w:cs="Times New Roman"/>
          <w:sz w:val="24"/>
          <w:szCs w:val="24"/>
        </w:rPr>
        <w:lastRenderedPageBreak/>
        <w:t>Based on this classification, the trust of Muslim society in Malang toward sharia insurance tends to be developed based on  emotional because of there is  relationship between the the term of sharia and their religious beliefs. The low level of trust related to the differentiating of two insurance systems indicates that the trust built on cognitive basis has not functioned properly.  Cognitive trust can only be built properly from the good  understanding of an object.</w:t>
      </w:r>
    </w:p>
    <w:p w:rsidR="00987639" w:rsidRPr="0084635B" w:rsidRDefault="00987639" w:rsidP="00EA758A">
      <w:pPr>
        <w:spacing w:after="0" w:line="276" w:lineRule="auto"/>
        <w:ind w:firstLine="567"/>
        <w:jc w:val="both"/>
        <w:rPr>
          <w:rFonts w:ascii="Garamond" w:hAnsi="Garamond" w:cs="Times New Roman"/>
          <w:sz w:val="24"/>
          <w:szCs w:val="24"/>
          <w:lang w:val="en-GB"/>
        </w:rPr>
      </w:pPr>
      <w:r w:rsidRPr="0084635B">
        <w:rPr>
          <w:rFonts w:ascii="Garamond" w:hAnsi="Garamond" w:cs="Times New Roman"/>
          <w:sz w:val="24"/>
          <w:szCs w:val="24"/>
        </w:rPr>
        <w:t>Half</w:t>
      </w:r>
      <w:r w:rsidRPr="0084635B">
        <w:rPr>
          <w:rFonts w:ascii="Garamond" w:hAnsi="Garamond" w:cs="Times New Roman"/>
          <w:sz w:val="24"/>
          <w:szCs w:val="24"/>
          <w:lang w:val="en-GB"/>
        </w:rPr>
        <w:t xml:space="preserve"> of respondents believe</w:t>
      </w:r>
      <w:r w:rsidRPr="0084635B">
        <w:rPr>
          <w:rFonts w:ascii="Garamond" w:hAnsi="Garamond" w:cs="Times New Roman"/>
          <w:sz w:val="24"/>
          <w:szCs w:val="24"/>
        </w:rPr>
        <w:t>d</w:t>
      </w:r>
      <w:r w:rsidRPr="0084635B">
        <w:rPr>
          <w:rFonts w:ascii="Garamond" w:hAnsi="Garamond" w:cs="Times New Roman"/>
          <w:sz w:val="24"/>
          <w:szCs w:val="24"/>
          <w:lang w:val="en-GB"/>
        </w:rPr>
        <w:t xml:space="preserve"> that sharia insurance is different from conventional insurance because of the implementation of sharia </w:t>
      </w:r>
      <w:r w:rsidRPr="0084635B">
        <w:rPr>
          <w:rFonts w:ascii="Garamond" w:hAnsi="Garamond" w:cs="Times New Roman"/>
          <w:sz w:val="24"/>
          <w:szCs w:val="24"/>
        </w:rPr>
        <w:t xml:space="preserve">pronciples as underlying </w:t>
      </w:r>
      <w:r w:rsidRPr="0084635B">
        <w:rPr>
          <w:rFonts w:ascii="Garamond" w:hAnsi="Garamond" w:cs="Times New Roman"/>
          <w:sz w:val="24"/>
          <w:szCs w:val="24"/>
          <w:lang w:val="en-GB"/>
        </w:rPr>
        <w:t xml:space="preserve">contracts. But </w:t>
      </w:r>
      <w:r w:rsidRPr="0084635B">
        <w:rPr>
          <w:rFonts w:ascii="Garamond" w:hAnsi="Garamond" w:cs="Times New Roman"/>
          <w:sz w:val="24"/>
          <w:szCs w:val="24"/>
        </w:rPr>
        <w:t>their trust</w:t>
      </w:r>
      <w:r w:rsidRPr="0084635B">
        <w:rPr>
          <w:rFonts w:ascii="Garamond" w:hAnsi="Garamond" w:cs="Times New Roman"/>
          <w:sz w:val="24"/>
          <w:szCs w:val="24"/>
          <w:lang w:val="en-GB"/>
        </w:rPr>
        <w:t xml:space="preserve"> of this indicator is the lowest when compared to other indicators</w:t>
      </w:r>
      <w:r w:rsidRPr="0084635B">
        <w:rPr>
          <w:rFonts w:ascii="Garamond" w:hAnsi="Garamond" w:cs="Times New Roman"/>
          <w:sz w:val="24"/>
          <w:szCs w:val="24"/>
        </w:rPr>
        <w:t xml:space="preserve">. </w:t>
      </w:r>
      <w:r w:rsidRPr="0084635B">
        <w:rPr>
          <w:rFonts w:ascii="Garamond" w:hAnsi="Garamond" w:cs="Times New Roman"/>
          <w:sz w:val="24"/>
          <w:szCs w:val="24"/>
          <w:lang w:val="en-GB"/>
        </w:rPr>
        <w:t xml:space="preserve">The existence of sharia insurance </w:t>
      </w:r>
      <w:r w:rsidRPr="0084635B">
        <w:rPr>
          <w:rFonts w:ascii="Garamond" w:hAnsi="Garamond" w:cs="Times New Roman"/>
          <w:sz w:val="24"/>
          <w:szCs w:val="24"/>
        </w:rPr>
        <w:t xml:space="preserve">was </w:t>
      </w:r>
      <w:r w:rsidRPr="0084635B">
        <w:rPr>
          <w:rFonts w:ascii="Garamond" w:hAnsi="Garamond" w:cs="Times New Roman"/>
          <w:sz w:val="24"/>
          <w:szCs w:val="24"/>
          <w:lang w:val="en-GB"/>
        </w:rPr>
        <w:t xml:space="preserve"> also believed to be able to reduce/ avoid the practice of</w:t>
      </w:r>
      <w:r w:rsidRPr="0084635B">
        <w:rPr>
          <w:rFonts w:ascii="Garamond" w:hAnsi="Garamond" w:cs="Times New Roman"/>
          <w:sz w:val="24"/>
          <w:szCs w:val="24"/>
        </w:rPr>
        <w:t xml:space="preserve"> interest (</w:t>
      </w:r>
      <w:r w:rsidRPr="0084635B">
        <w:rPr>
          <w:rFonts w:ascii="Garamond" w:hAnsi="Garamond" w:cs="Times New Roman"/>
          <w:i/>
          <w:iCs/>
          <w:sz w:val="24"/>
          <w:szCs w:val="24"/>
        </w:rPr>
        <w:t>riba</w:t>
      </w:r>
      <w:r w:rsidRPr="0084635B">
        <w:rPr>
          <w:rFonts w:ascii="Garamond" w:hAnsi="Garamond" w:cs="Times New Roman"/>
          <w:sz w:val="24"/>
          <w:szCs w:val="24"/>
        </w:rPr>
        <w:t>) and speculation (</w:t>
      </w:r>
      <w:r w:rsidRPr="0084635B">
        <w:rPr>
          <w:rFonts w:ascii="Garamond" w:hAnsi="Garamond" w:cs="Times New Roman"/>
          <w:i/>
          <w:iCs/>
          <w:sz w:val="24"/>
          <w:szCs w:val="24"/>
        </w:rPr>
        <w:t>maysir</w:t>
      </w:r>
      <w:r w:rsidRPr="0084635B">
        <w:rPr>
          <w:rFonts w:ascii="Garamond" w:hAnsi="Garamond" w:cs="Times New Roman"/>
          <w:sz w:val="24"/>
          <w:szCs w:val="24"/>
        </w:rPr>
        <w:t>). The r</w:t>
      </w:r>
      <w:r w:rsidRPr="0084635B">
        <w:rPr>
          <w:rFonts w:ascii="Garamond" w:hAnsi="Garamond" w:cs="Times New Roman"/>
          <w:sz w:val="24"/>
          <w:szCs w:val="24"/>
          <w:lang w:val="en-GB"/>
        </w:rPr>
        <w:t xml:space="preserve">espondents </w:t>
      </w:r>
      <w:r w:rsidRPr="0084635B">
        <w:rPr>
          <w:rFonts w:ascii="Garamond" w:hAnsi="Garamond" w:cs="Times New Roman"/>
          <w:sz w:val="24"/>
          <w:szCs w:val="24"/>
        </w:rPr>
        <w:t>also have the</w:t>
      </w:r>
      <w:r w:rsidRPr="0084635B">
        <w:rPr>
          <w:rFonts w:ascii="Garamond" w:hAnsi="Garamond" w:cs="Times New Roman"/>
          <w:sz w:val="24"/>
          <w:szCs w:val="24"/>
          <w:lang w:val="en-GB"/>
        </w:rPr>
        <w:t xml:space="preserve"> optimism that insurance labeled with sharia can develop in society.</w:t>
      </w:r>
      <w:r w:rsidRPr="0084635B">
        <w:rPr>
          <w:rFonts w:ascii="Garamond" w:hAnsi="Garamond" w:cs="Times New Roman"/>
          <w:color w:val="FF0000"/>
          <w:sz w:val="24"/>
          <w:szCs w:val="24"/>
        </w:rPr>
        <w:t xml:space="preserve">  </w:t>
      </w:r>
      <w:r w:rsidRPr="0084635B">
        <w:rPr>
          <w:rFonts w:ascii="Garamond" w:hAnsi="Garamond" w:cs="Times New Roman"/>
          <w:sz w:val="24"/>
          <w:szCs w:val="24"/>
          <w:lang w:val="en-GB"/>
        </w:rPr>
        <w:t>The optimism of respondents shows that they support the development of sharia insurance as a substitute for conventional insurance that uses the principle of usury.</w:t>
      </w:r>
    </w:p>
    <w:p w:rsidR="00987639" w:rsidRPr="0084635B" w:rsidRDefault="00987639" w:rsidP="00EA758A">
      <w:pPr>
        <w:spacing w:after="0" w:line="276" w:lineRule="auto"/>
        <w:ind w:firstLine="567"/>
        <w:jc w:val="both"/>
        <w:rPr>
          <w:rFonts w:ascii="Garamond" w:hAnsi="Garamond" w:cs="Times New Roman"/>
          <w:sz w:val="24"/>
          <w:szCs w:val="24"/>
          <w:lang w:val="en-GB"/>
        </w:rPr>
      </w:pPr>
      <w:r w:rsidRPr="0084635B">
        <w:rPr>
          <w:rFonts w:ascii="Garamond" w:hAnsi="Garamond" w:cs="Times New Roman"/>
          <w:sz w:val="24"/>
          <w:szCs w:val="24"/>
          <w:lang w:val="en-GB"/>
        </w:rPr>
        <w:t>The following graph is the overall level of understanding and trust about sharia insurance:</w:t>
      </w:r>
    </w:p>
    <w:p w:rsidR="00987639" w:rsidRPr="0084635B" w:rsidRDefault="00EA758A" w:rsidP="00987639">
      <w:pPr>
        <w:spacing w:line="240" w:lineRule="auto"/>
        <w:jc w:val="center"/>
        <w:rPr>
          <w:rFonts w:ascii="Garamond" w:hAnsi="Garamond" w:cs="Times New Roman"/>
          <w:b/>
          <w:bCs/>
          <w:sz w:val="24"/>
          <w:szCs w:val="24"/>
        </w:rPr>
      </w:pPr>
      <w:r w:rsidRPr="0084635B">
        <w:rPr>
          <w:rFonts w:ascii="Garamond" w:hAnsi="Garamond" w:cs="Times New Roman"/>
          <w:noProof/>
          <w:sz w:val="24"/>
          <w:szCs w:val="24"/>
        </w:rPr>
        <w:drawing>
          <wp:anchor distT="0" distB="0" distL="114300" distR="114300" simplePos="0" relativeHeight="251659264" behindDoc="1" locked="0" layoutInCell="1" allowOverlap="0">
            <wp:simplePos x="0" y="0"/>
            <wp:positionH relativeFrom="column">
              <wp:posOffset>91440</wp:posOffset>
            </wp:positionH>
            <wp:positionV relativeFrom="paragraph">
              <wp:posOffset>396875</wp:posOffset>
            </wp:positionV>
            <wp:extent cx="5257800" cy="1679575"/>
            <wp:effectExtent l="0" t="0" r="0" b="0"/>
            <wp:wrapTight wrapText="bothSides">
              <wp:wrapPolygon edited="0">
                <wp:start x="0" y="0"/>
                <wp:lineTo x="0" y="21314"/>
                <wp:lineTo x="21522" y="21314"/>
                <wp:lineTo x="21522" y="0"/>
                <wp:lineTo x="0" y="0"/>
              </wp:wrapPolygon>
            </wp:wrapTight>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Chart 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7800" cy="1679575"/>
                    </a:xfrm>
                    <a:prstGeom prst="rect">
                      <a:avLst/>
                    </a:prstGeom>
                    <a:noFill/>
                    <a:ln>
                      <a:noFill/>
                    </a:ln>
                  </pic:spPr>
                </pic:pic>
              </a:graphicData>
            </a:graphic>
            <wp14:sizeRelH relativeFrom="page">
              <wp14:pctWidth>0</wp14:pctWidth>
            </wp14:sizeRelH>
            <wp14:sizeRelV relativeFrom="page">
              <wp14:pctHeight>0</wp14:pctHeight>
            </wp14:sizeRelV>
          </wp:anchor>
        </w:drawing>
      </w:r>
      <w:r w:rsidR="00987639" w:rsidRPr="0084635B">
        <w:rPr>
          <w:rFonts w:ascii="Garamond" w:hAnsi="Garamond" w:cs="Times New Roman"/>
          <w:b/>
          <w:bCs/>
          <w:sz w:val="24"/>
          <w:szCs w:val="24"/>
        </w:rPr>
        <w:t xml:space="preserve">Graph 1. Level  </w:t>
      </w:r>
      <w:r w:rsidR="00987639" w:rsidRPr="0084635B">
        <w:rPr>
          <w:rFonts w:ascii="Garamond" w:hAnsi="Garamond" w:cs="Times New Roman"/>
          <w:b/>
          <w:bCs/>
          <w:sz w:val="24"/>
          <w:szCs w:val="24"/>
          <w:lang w:val="en-GB"/>
        </w:rPr>
        <w:t xml:space="preserve">of </w:t>
      </w:r>
      <w:r w:rsidR="00987639" w:rsidRPr="0084635B">
        <w:rPr>
          <w:rFonts w:ascii="Garamond" w:hAnsi="Garamond" w:cs="Times New Roman"/>
          <w:b/>
          <w:bCs/>
          <w:sz w:val="24"/>
          <w:szCs w:val="24"/>
        </w:rPr>
        <w:t xml:space="preserve"> Understanding and Trust</w:t>
      </w:r>
    </w:p>
    <w:p w:rsidR="00EA758A" w:rsidRDefault="00EA758A" w:rsidP="00987639">
      <w:pPr>
        <w:spacing w:line="240" w:lineRule="auto"/>
        <w:jc w:val="both"/>
        <w:rPr>
          <w:rFonts w:ascii="Garamond" w:hAnsi="Garamond" w:cs="Times New Roman"/>
          <w:sz w:val="24"/>
          <w:szCs w:val="24"/>
          <w:lang w:val="en-GB"/>
        </w:rPr>
      </w:pPr>
    </w:p>
    <w:p w:rsidR="00987639" w:rsidRPr="0084635B" w:rsidRDefault="00987639" w:rsidP="005B2B78">
      <w:pPr>
        <w:spacing w:line="276" w:lineRule="auto"/>
        <w:jc w:val="both"/>
        <w:rPr>
          <w:rFonts w:ascii="Garamond" w:hAnsi="Garamond" w:cs="Times New Roman"/>
          <w:sz w:val="24"/>
          <w:szCs w:val="24"/>
          <w:lang w:val="en-GB"/>
        </w:rPr>
      </w:pPr>
      <w:r w:rsidRPr="0084635B">
        <w:rPr>
          <w:rFonts w:ascii="Garamond" w:hAnsi="Garamond" w:cs="Times New Roman"/>
          <w:sz w:val="24"/>
          <w:szCs w:val="24"/>
          <w:lang w:val="en-GB"/>
        </w:rPr>
        <w:t>The point (+) means that the respondents  have understanding  and have the trust of sharia insurance, while the point (-) means that respondents  have  no understanding and have no the trust toward sharia insurance.</w:t>
      </w:r>
    </w:p>
    <w:p w:rsidR="00987639" w:rsidRPr="0084635B" w:rsidRDefault="00987639" w:rsidP="00EA758A">
      <w:pPr>
        <w:spacing w:after="0" w:line="276" w:lineRule="auto"/>
        <w:jc w:val="both"/>
        <w:rPr>
          <w:rFonts w:ascii="Garamond" w:hAnsi="Garamond"/>
          <w:b/>
          <w:bCs/>
          <w:sz w:val="24"/>
          <w:szCs w:val="24"/>
        </w:rPr>
      </w:pPr>
    </w:p>
    <w:p w:rsidR="00987639" w:rsidRPr="0084635B" w:rsidRDefault="00EA758A" w:rsidP="00EA758A">
      <w:pPr>
        <w:spacing w:after="0" w:line="276" w:lineRule="auto"/>
        <w:rPr>
          <w:rFonts w:ascii="Garamond" w:hAnsi="Garamond"/>
          <w:b/>
          <w:bCs/>
          <w:sz w:val="24"/>
          <w:szCs w:val="24"/>
        </w:rPr>
      </w:pPr>
      <w:r w:rsidRPr="0084635B">
        <w:rPr>
          <w:rFonts w:ascii="Garamond" w:hAnsi="Garamond"/>
          <w:b/>
          <w:bCs/>
          <w:sz w:val="24"/>
          <w:szCs w:val="24"/>
        </w:rPr>
        <w:t>Conclusion</w:t>
      </w:r>
    </w:p>
    <w:p w:rsidR="00987639" w:rsidRPr="00EA758A" w:rsidRDefault="00987639" w:rsidP="00EA758A">
      <w:pPr>
        <w:pStyle w:val="HTMLPreformatted"/>
        <w:spacing w:line="276" w:lineRule="auto"/>
        <w:ind w:firstLine="567"/>
        <w:jc w:val="both"/>
        <w:rPr>
          <w:rFonts w:ascii="Garamond" w:eastAsia="Calibri" w:hAnsi="Garamond"/>
          <w:sz w:val="24"/>
          <w:szCs w:val="24"/>
          <w:lang w:val="en-GB"/>
        </w:rPr>
      </w:pPr>
      <w:r w:rsidRPr="0084635B">
        <w:rPr>
          <w:rFonts w:ascii="Garamond" w:eastAsia="Calibri" w:hAnsi="Garamond"/>
          <w:sz w:val="24"/>
          <w:szCs w:val="24"/>
          <w:lang w:val="en-GB"/>
        </w:rPr>
        <w:t xml:space="preserve">Public understanding and trust are needed in the development of sharia insurance in Indonesia.  The understanding of sharia insurance can be built from knowledge of the basic concepts explored and derived from legal aspects, both </w:t>
      </w:r>
      <w:r w:rsidRPr="0084635B">
        <w:rPr>
          <w:rFonts w:ascii="Garamond" w:eastAsia="Calibri" w:hAnsi="Garamond"/>
          <w:i/>
          <w:iCs/>
          <w:sz w:val="24"/>
          <w:szCs w:val="24"/>
          <w:lang w:val="en-GB"/>
        </w:rPr>
        <w:t>fiqh</w:t>
      </w:r>
      <w:r w:rsidRPr="0084635B">
        <w:rPr>
          <w:rFonts w:ascii="Garamond" w:eastAsia="Calibri" w:hAnsi="Garamond"/>
          <w:sz w:val="24"/>
          <w:szCs w:val="24"/>
          <w:lang w:val="en-GB"/>
        </w:rPr>
        <w:t xml:space="preserve"> and its regulations. From the basic concept of sharia insurance, we can make some questions  as indicators.The results of the research show that the level of understanding of the Muslim society in Malang about sharia insurance is still low</w:t>
      </w:r>
      <w:r w:rsidRPr="0084635B">
        <w:rPr>
          <w:rFonts w:ascii="Garamond" w:eastAsia="Calibri" w:hAnsi="Garamond"/>
          <w:sz w:val="24"/>
          <w:szCs w:val="24"/>
        </w:rPr>
        <w:t xml:space="preserve">.  Of all the question indicators, only 41,4% were answered correctly by respondents. From this finding indicates that they not only less have self awareness to think about sharia insurance, but also they are not  think critically and creatively  about sharia </w:t>
      </w:r>
      <w:r w:rsidRPr="0084635B">
        <w:rPr>
          <w:rFonts w:ascii="Garamond" w:eastAsia="Calibri" w:hAnsi="Garamond"/>
          <w:sz w:val="24"/>
          <w:szCs w:val="24"/>
        </w:rPr>
        <w:lastRenderedPageBreak/>
        <w:t xml:space="preserve">insurance. In other words, </w:t>
      </w:r>
      <w:r w:rsidRPr="0084635B">
        <w:rPr>
          <w:rFonts w:ascii="Garamond" w:eastAsia="Calibri" w:hAnsi="Garamond"/>
          <w:sz w:val="24"/>
          <w:szCs w:val="24"/>
          <w:lang w:val="en-GB"/>
        </w:rPr>
        <w:t xml:space="preserve">Muslim society in Malang </w:t>
      </w:r>
      <w:r w:rsidRPr="0084635B">
        <w:rPr>
          <w:rFonts w:ascii="Garamond" w:eastAsia="Calibri" w:hAnsi="Garamond"/>
          <w:sz w:val="24"/>
          <w:szCs w:val="24"/>
        </w:rPr>
        <w:t>have not given serious attention to the existence and development of sharia insurance. Lack of attention to sharia insurance will affect the level of understanding.</w:t>
      </w:r>
    </w:p>
    <w:p w:rsidR="00987639" w:rsidRPr="0084635B" w:rsidRDefault="00987639" w:rsidP="00EA758A">
      <w:pPr>
        <w:pStyle w:val="HTMLPreformatted"/>
        <w:spacing w:line="276" w:lineRule="auto"/>
        <w:ind w:firstLine="567"/>
        <w:jc w:val="both"/>
        <w:rPr>
          <w:rFonts w:ascii="Garamond" w:eastAsia="Calibri" w:hAnsi="Garamond"/>
          <w:sz w:val="24"/>
          <w:szCs w:val="24"/>
        </w:rPr>
      </w:pPr>
      <w:r w:rsidRPr="0084635B">
        <w:rPr>
          <w:rFonts w:ascii="Garamond" w:eastAsia="Calibri" w:hAnsi="Garamond"/>
          <w:sz w:val="24"/>
          <w:szCs w:val="24"/>
        </w:rPr>
        <w:t>From the aspect of trust, most Muslim society in Malang City  have  had the high trust about sharia insurance. However, the trust built by the respondents is tend to emotional trust and not cognitive trust, so that a low level of understanding does not have an impact on a low level of trust.  The use of the term "sharia" for Muslim can actually create a positive perception regarding insurance product. Therefore, the results of this study can be used how to build trust not only base on emotional, but also because of the power of literacy.</w:t>
      </w:r>
    </w:p>
    <w:p w:rsidR="00987639" w:rsidRPr="0084635B" w:rsidRDefault="00987639" w:rsidP="00EA758A">
      <w:pPr>
        <w:pStyle w:val="FootnoteText"/>
        <w:spacing w:line="276" w:lineRule="auto"/>
        <w:ind w:firstLine="567"/>
        <w:jc w:val="both"/>
        <w:rPr>
          <w:rFonts w:ascii="Garamond" w:eastAsia="Calibri" w:hAnsi="Garamond"/>
          <w:sz w:val="24"/>
          <w:szCs w:val="24"/>
          <w:lang w:eastAsia="id-ID"/>
        </w:rPr>
      </w:pPr>
    </w:p>
    <w:p w:rsidR="00EA758A" w:rsidRDefault="00EA758A" w:rsidP="00987639">
      <w:pPr>
        <w:spacing w:line="240" w:lineRule="auto"/>
        <w:jc w:val="center"/>
        <w:rPr>
          <w:rFonts w:ascii="Garamond" w:hAnsi="Garamond"/>
          <w:b/>
          <w:bCs/>
          <w:sz w:val="24"/>
          <w:szCs w:val="24"/>
        </w:rPr>
      </w:pPr>
    </w:p>
    <w:p w:rsidR="00987639" w:rsidRPr="0084635B" w:rsidRDefault="00EA758A" w:rsidP="00987639">
      <w:pPr>
        <w:spacing w:line="240" w:lineRule="auto"/>
        <w:jc w:val="center"/>
        <w:rPr>
          <w:rFonts w:ascii="Garamond" w:hAnsi="Garamond"/>
          <w:b/>
          <w:bCs/>
          <w:sz w:val="24"/>
          <w:szCs w:val="24"/>
        </w:rPr>
      </w:pPr>
      <w:r w:rsidRPr="0084635B">
        <w:rPr>
          <w:rFonts w:ascii="Garamond" w:hAnsi="Garamond"/>
          <w:b/>
          <w:bCs/>
          <w:sz w:val="24"/>
          <w:szCs w:val="24"/>
        </w:rPr>
        <w:t>References</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sz w:val="24"/>
          <w:szCs w:val="24"/>
        </w:rPr>
        <w:fldChar w:fldCharType="begin" w:fldLock="1"/>
      </w:r>
      <w:r w:rsidRPr="0084635B">
        <w:rPr>
          <w:rFonts w:ascii="Garamond" w:hAnsi="Garamond"/>
          <w:sz w:val="24"/>
          <w:szCs w:val="24"/>
        </w:rPr>
        <w:instrText xml:space="preserve">ADDIN Mendeley Bibliography CSL_BIBLIOGRAPHY </w:instrText>
      </w:r>
      <w:r w:rsidRPr="0084635B">
        <w:rPr>
          <w:rFonts w:ascii="Garamond" w:hAnsi="Garamond"/>
          <w:sz w:val="24"/>
          <w:szCs w:val="24"/>
        </w:rPr>
        <w:fldChar w:fldCharType="separate"/>
      </w:r>
      <w:r w:rsidRPr="0084635B">
        <w:rPr>
          <w:rFonts w:ascii="Garamond" w:hAnsi="Garamond" w:cs="Times New Roman"/>
          <w:noProof/>
          <w:sz w:val="24"/>
          <w:szCs w:val="24"/>
        </w:rPr>
        <w:t xml:space="preserve">Alam, Md Kausar, Mohammad Mizanur Rahman, Mahfuza Kamal Runy, Babatunji Samuel Adedeji, and Md Farjin Hassan. “The Influences of Shariah Governance Mechanisms on Islamic Banks Performance and Shariah Compliance Quality.” </w:t>
      </w:r>
      <w:r w:rsidRPr="0084635B">
        <w:rPr>
          <w:rFonts w:ascii="Garamond" w:hAnsi="Garamond" w:cs="Times New Roman"/>
          <w:i/>
          <w:iCs/>
          <w:noProof/>
          <w:sz w:val="24"/>
          <w:szCs w:val="24"/>
        </w:rPr>
        <w:t>Asian Journal of Accounting Research</w:t>
      </w:r>
      <w:r w:rsidRPr="0084635B">
        <w:rPr>
          <w:rFonts w:ascii="Garamond" w:hAnsi="Garamond" w:cs="Times New Roman"/>
          <w:noProof/>
          <w:sz w:val="24"/>
          <w:szCs w:val="24"/>
        </w:rPr>
        <w:t xml:space="preserve"> 7, no. 1 (2022): 2–16. https://doi.org/10.1108/AJAR-11-2020-0112.</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Alam, Syed Shah, and Norjaya Mohd Yasin. “Wha TFactors Influence Online Brand Trust: Evidence From Online Tickets Buyers in Malaysia.” </w:t>
      </w:r>
      <w:r w:rsidRPr="0084635B">
        <w:rPr>
          <w:rFonts w:ascii="Garamond" w:hAnsi="Garamond" w:cs="Times New Roman"/>
          <w:i/>
          <w:iCs/>
          <w:noProof/>
          <w:sz w:val="24"/>
          <w:szCs w:val="24"/>
        </w:rPr>
        <w:t>Journal of Theoretical and Applied Electronic Commerce Research</w:t>
      </w:r>
      <w:r w:rsidRPr="0084635B">
        <w:rPr>
          <w:rFonts w:ascii="Garamond" w:hAnsi="Garamond" w:cs="Times New Roman"/>
          <w:noProof/>
          <w:sz w:val="24"/>
          <w:szCs w:val="24"/>
        </w:rPr>
        <w:t xml:space="preserve"> 5, no. 3 (2010).</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Aljazzaf, Zainab M., Mark Perry, and Miriam A.M. Capretz. “Online Trust: Definition and Principles.” </w:t>
      </w:r>
      <w:r w:rsidRPr="0084635B">
        <w:rPr>
          <w:rFonts w:ascii="Garamond" w:hAnsi="Garamond" w:cs="Times New Roman"/>
          <w:i/>
          <w:iCs/>
          <w:noProof/>
          <w:sz w:val="24"/>
          <w:szCs w:val="24"/>
        </w:rPr>
        <w:t>Proceedings - 5th International Multi-Conference on Computing in the Global Information Technology, ICCGI 2010</w:t>
      </w:r>
      <w:r w:rsidRPr="0084635B">
        <w:rPr>
          <w:rFonts w:ascii="Garamond" w:hAnsi="Garamond" w:cs="Times New Roman"/>
          <w:noProof/>
          <w:sz w:val="24"/>
          <w:szCs w:val="24"/>
        </w:rPr>
        <w:t>, no. April 2014 (2010): 163–68. https://doi.org/10.1109/ICCGI.2010.17.</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Aydin, Duygu, and Buket Durhan. “The Role of Product Communication in Consumer Trust.” </w:t>
      </w:r>
      <w:r w:rsidRPr="0084635B">
        <w:rPr>
          <w:rFonts w:ascii="Garamond" w:hAnsi="Garamond" w:cs="Times New Roman"/>
          <w:i/>
          <w:iCs/>
          <w:noProof/>
          <w:sz w:val="24"/>
          <w:szCs w:val="24"/>
        </w:rPr>
        <w:t>Intermedia International E-Journal</w:t>
      </w:r>
      <w:r w:rsidRPr="0084635B">
        <w:rPr>
          <w:rFonts w:ascii="Garamond" w:hAnsi="Garamond" w:cs="Times New Roman"/>
          <w:noProof/>
          <w:sz w:val="24"/>
          <w:szCs w:val="24"/>
        </w:rPr>
        <w:t xml:space="preserve"> 7, no. 12 (2020): 70–83. https://doi.org/10.21645/intermedia.2020.67.</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Ayuningsih, Fitria, and Ida Maftukhah. “The Influence of Product Knowledge, Brand Image, and Brand Love on Purchase Decision through Word of Mouth.” </w:t>
      </w:r>
      <w:r w:rsidRPr="0084635B">
        <w:rPr>
          <w:rFonts w:ascii="Garamond" w:hAnsi="Garamond" w:cs="Times New Roman"/>
          <w:i/>
          <w:iCs/>
          <w:noProof/>
          <w:sz w:val="24"/>
          <w:szCs w:val="24"/>
        </w:rPr>
        <w:t>Management Analysis Journal</w:t>
      </w:r>
      <w:r w:rsidRPr="0084635B">
        <w:rPr>
          <w:rFonts w:ascii="Garamond" w:hAnsi="Garamond" w:cs="Times New Roman"/>
          <w:noProof/>
          <w:sz w:val="24"/>
          <w:szCs w:val="24"/>
        </w:rPr>
        <w:t xml:space="preserve"> 9, no. 4 (2020): 355–69. https://doi.org/10.15294/maj.v9i4.40796.</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Darussalam Houston. </w:t>
      </w:r>
      <w:r w:rsidRPr="0084635B">
        <w:rPr>
          <w:rFonts w:ascii="Garamond" w:hAnsi="Garamond" w:cs="Times New Roman"/>
          <w:i/>
          <w:iCs/>
          <w:noProof/>
          <w:sz w:val="24"/>
          <w:szCs w:val="24"/>
        </w:rPr>
        <w:t>A Brief Illustrated Guide to Understanding Islam</w:t>
      </w:r>
      <w:r w:rsidRPr="0084635B">
        <w:rPr>
          <w:rFonts w:ascii="Garamond" w:hAnsi="Garamond" w:cs="Times New Roman"/>
          <w:noProof/>
          <w:sz w:val="24"/>
          <w:szCs w:val="24"/>
        </w:rPr>
        <w:t xml:space="preserve">. </w:t>
      </w:r>
      <w:r w:rsidRPr="0084635B">
        <w:rPr>
          <w:rFonts w:ascii="Garamond" w:hAnsi="Garamond" w:cs="Times New Roman"/>
          <w:i/>
          <w:iCs/>
          <w:noProof/>
          <w:sz w:val="24"/>
          <w:szCs w:val="24"/>
        </w:rPr>
        <w:t>Darussalam Houston</w:t>
      </w:r>
      <w:r w:rsidR="00EA758A">
        <w:rPr>
          <w:rFonts w:ascii="Garamond" w:hAnsi="Garamond" w:cs="Times New Roman"/>
          <w:noProof/>
          <w:sz w:val="24"/>
          <w:szCs w:val="24"/>
        </w:rPr>
        <w:t>. Vol. 2, 2008.</w:t>
      </w:r>
      <w:r w:rsidRPr="0084635B">
        <w:rPr>
          <w:rFonts w:ascii="Garamond" w:hAnsi="Garamond" w:cs="Times New Roman"/>
          <w:noProof/>
          <w:sz w:val="24"/>
          <w:szCs w:val="24"/>
        </w:rPr>
        <w:t>http://scholar.google.com/scholar?start=630&amp;q=memorizing+Al+Quran&amp;hl=en&amp;as_sdt=0,5#2.</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Dauda, Kazeem Oluwaseun. “Islamophobia and Religious Intolerance: Threats to Global Peace and Harmonious Co-Existence.” </w:t>
      </w:r>
      <w:r w:rsidRPr="0084635B">
        <w:rPr>
          <w:rFonts w:ascii="Garamond" w:hAnsi="Garamond" w:cs="Times New Roman"/>
          <w:i/>
          <w:iCs/>
          <w:noProof/>
          <w:sz w:val="24"/>
          <w:szCs w:val="24"/>
        </w:rPr>
        <w:t>Qudus International Journal of Islamic Studies</w:t>
      </w:r>
      <w:r w:rsidRPr="0084635B">
        <w:rPr>
          <w:rFonts w:ascii="Garamond" w:hAnsi="Garamond" w:cs="Times New Roman"/>
          <w:noProof/>
          <w:sz w:val="24"/>
          <w:szCs w:val="24"/>
        </w:rPr>
        <w:t xml:space="preserve"> 8, no. 2 (2021): 257–92. https://doi.org/10.21043/qijis.v8i2.6811.</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Elsya, Priscillia, and Ratih Indriyani. “The Impact of Product Knowledge and Product Involvement to Repurchase Intention for Tupperware Products among Housewives in Surabaya, Indonesia.” </w:t>
      </w:r>
      <w:r w:rsidRPr="0084635B">
        <w:rPr>
          <w:rFonts w:ascii="Garamond" w:hAnsi="Garamond" w:cs="Times New Roman"/>
          <w:i/>
          <w:iCs/>
          <w:noProof/>
          <w:sz w:val="24"/>
          <w:szCs w:val="24"/>
        </w:rPr>
        <w:t>SHS Web of Conferences</w:t>
      </w:r>
      <w:r w:rsidRPr="0084635B">
        <w:rPr>
          <w:rFonts w:ascii="Garamond" w:hAnsi="Garamond" w:cs="Times New Roman"/>
          <w:noProof/>
          <w:sz w:val="24"/>
          <w:szCs w:val="24"/>
        </w:rPr>
        <w:t xml:space="preserve"> 76 (2020): 01037. https://doi.org/10.1051/shsconf/20207601037.</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Geebren, Ahmed, and Abdul Jabbar. “Factors That Influence Customer Trust and Satisfaction </w:t>
      </w:r>
      <w:r w:rsidRPr="0084635B">
        <w:rPr>
          <w:rFonts w:ascii="Garamond" w:hAnsi="Garamond" w:cs="Times New Roman"/>
          <w:noProof/>
          <w:sz w:val="24"/>
          <w:szCs w:val="24"/>
        </w:rPr>
        <w:lastRenderedPageBreak/>
        <w:t xml:space="preserve">in Mobile Banking: A Problematization Approach.” </w:t>
      </w:r>
      <w:r w:rsidRPr="0084635B">
        <w:rPr>
          <w:rFonts w:ascii="Garamond" w:hAnsi="Garamond" w:cs="Times New Roman"/>
          <w:i/>
          <w:iCs/>
          <w:noProof/>
          <w:sz w:val="24"/>
          <w:szCs w:val="24"/>
        </w:rPr>
        <w:t>International Journal of E-Business Research</w:t>
      </w:r>
      <w:r w:rsidRPr="0084635B">
        <w:rPr>
          <w:rFonts w:ascii="Garamond" w:hAnsi="Garamond" w:cs="Times New Roman"/>
          <w:noProof/>
          <w:sz w:val="24"/>
          <w:szCs w:val="24"/>
        </w:rPr>
        <w:t xml:space="preserve"> 17, no. 3 (2021): 66–82. https://doi.org/10.4018/IJEBR.2021070105.</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Ismanto, Kuat. “Understanding on and Need for Syaria Insurance: A Case Study in Pekalongan, Central Java, Indonesia.” </w:t>
      </w:r>
      <w:r w:rsidRPr="0084635B">
        <w:rPr>
          <w:rFonts w:ascii="Garamond" w:hAnsi="Garamond" w:cs="Times New Roman"/>
          <w:i/>
          <w:iCs/>
          <w:noProof/>
          <w:sz w:val="24"/>
          <w:szCs w:val="24"/>
        </w:rPr>
        <w:t>Journal of Accounting and Investment</w:t>
      </w:r>
      <w:r w:rsidRPr="0084635B">
        <w:rPr>
          <w:rFonts w:ascii="Garamond" w:hAnsi="Garamond" w:cs="Times New Roman"/>
          <w:noProof/>
          <w:sz w:val="24"/>
          <w:szCs w:val="24"/>
        </w:rPr>
        <w:t xml:space="preserve"> 19, no. 2 (2018). https://doi.org/10.18196/jai.190297.</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Jana, Matošková. “Measuring Knowledge.” </w:t>
      </w:r>
      <w:r w:rsidRPr="0084635B">
        <w:rPr>
          <w:rFonts w:ascii="Garamond" w:hAnsi="Garamond" w:cs="Times New Roman"/>
          <w:i/>
          <w:iCs/>
          <w:noProof/>
          <w:sz w:val="24"/>
          <w:szCs w:val="24"/>
        </w:rPr>
        <w:t>Journal of Competitiveness</w:t>
      </w:r>
      <w:r w:rsidRPr="0084635B">
        <w:rPr>
          <w:rFonts w:ascii="Garamond" w:hAnsi="Garamond" w:cs="Times New Roman"/>
          <w:noProof/>
          <w:sz w:val="24"/>
          <w:szCs w:val="24"/>
        </w:rPr>
        <w:t xml:space="preserve"> 8, no. 4 (2016): 5–29. https://doi.org/10.7441/joc.2016.04.01.</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Journal, The, Business Inquiry, Special Issue, Saudi Arabia, Talal Eshky, Communication Arts, and Saudi Arabia. “Islam and Human Life: Beyond Ancient Needs.” </w:t>
      </w:r>
      <w:r w:rsidRPr="0084635B">
        <w:rPr>
          <w:rFonts w:ascii="Garamond" w:hAnsi="Garamond" w:cs="Times New Roman"/>
          <w:i/>
          <w:iCs/>
          <w:noProof/>
          <w:sz w:val="24"/>
          <w:szCs w:val="24"/>
        </w:rPr>
        <w:t>The Journal of Business Inquiry</w:t>
      </w:r>
      <w:r w:rsidRPr="0084635B">
        <w:rPr>
          <w:rFonts w:ascii="Garamond" w:hAnsi="Garamond" w:cs="Times New Roman"/>
          <w:noProof/>
          <w:sz w:val="24"/>
          <w:szCs w:val="24"/>
        </w:rPr>
        <w:t xml:space="preserve"> 1, no. 1 (2014): 12–26.</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Kim, Kughee, Eunbee Hong, and Seungmin Rho. “The Study of Defined Buying Factors Affecting Trust Building and Service Performance in Financial Management Systems.” </w:t>
      </w:r>
      <w:r w:rsidRPr="0084635B">
        <w:rPr>
          <w:rFonts w:ascii="Garamond" w:hAnsi="Garamond" w:cs="Times New Roman"/>
          <w:i/>
          <w:iCs/>
          <w:noProof/>
          <w:sz w:val="24"/>
          <w:szCs w:val="24"/>
        </w:rPr>
        <w:t>Mathematical and Computer Modelling</w:t>
      </w:r>
      <w:r w:rsidRPr="0084635B">
        <w:rPr>
          <w:rFonts w:ascii="Garamond" w:hAnsi="Garamond" w:cs="Times New Roman"/>
          <w:noProof/>
          <w:sz w:val="24"/>
          <w:szCs w:val="24"/>
        </w:rPr>
        <w:t xml:space="preserve"> 58, no. 1–2 (2013): 38–48. https://doi.org/10.1016/j.mcm.2012.06.006.</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Lewis, J. David, and Andrew Weigert. “Trust as a Social Reality.” </w:t>
      </w:r>
      <w:r w:rsidRPr="0084635B">
        <w:rPr>
          <w:rFonts w:ascii="Garamond" w:hAnsi="Garamond" w:cs="Times New Roman"/>
          <w:i/>
          <w:iCs/>
          <w:noProof/>
          <w:sz w:val="24"/>
          <w:szCs w:val="24"/>
        </w:rPr>
        <w:t>Social Forces</w:t>
      </w:r>
      <w:r w:rsidRPr="0084635B">
        <w:rPr>
          <w:rFonts w:ascii="Garamond" w:hAnsi="Garamond" w:cs="Times New Roman"/>
          <w:noProof/>
          <w:sz w:val="24"/>
          <w:szCs w:val="24"/>
        </w:rPr>
        <w:t xml:space="preserve"> 63, no. 4 (1985): 967–85. https://doi.org/10.1093/sf/63.4.967.</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Li, Fuan, and Stephen C. Betts. “Trust: What It Is And What It Is Not.” </w:t>
      </w:r>
      <w:r w:rsidRPr="0084635B">
        <w:rPr>
          <w:rFonts w:ascii="Garamond" w:hAnsi="Garamond" w:cs="Times New Roman"/>
          <w:i/>
          <w:iCs/>
          <w:noProof/>
          <w:sz w:val="24"/>
          <w:szCs w:val="24"/>
        </w:rPr>
        <w:t>International Business &amp; Economics Research Journal (IBER)</w:t>
      </w:r>
      <w:r w:rsidRPr="0084635B">
        <w:rPr>
          <w:rFonts w:ascii="Garamond" w:hAnsi="Garamond" w:cs="Times New Roman"/>
          <w:noProof/>
          <w:sz w:val="24"/>
          <w:szCs w:val="24"/>
        </w:rPr>
        <w:t xml:space="preserve"> 2, no. 7 (2011): 103–8. https://doi.org/10.19030/iber.v2i7.3825.</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Loewenstein, George, Joelle Y. Friedman, Barbara McGill, Sarah Ahmad, Suzanne Linck, Stacey Sinkula, John Beshears, et al. “Consumers’ Misunderstanding of Health Insurance.” </w:t>
      </w:r>
      <w:r w:rsidRPr="0084635B">
        <w:rPr>
          <w:rFonts w:ascii="Garamond" w:hAnsi="Garamond" w:cs="Times New Roman"/>
          <w:i/>
          <w:iCs/>
          <w:noProof/>
          <w:sz w:val="24"/>
          <w:szCs w:val="24"/>
        </w:rPr>
        <w:t>Journal of Health Economics</w:t>
      </w:r>
      <w:r w:rsidRPr="0084635B">
        <w:rPr>
          <w:rFonts w:ascii="Garamond" w:hAnsi="Garamond" w:cs="Times New Roman"/>
          <w:noProof/>
          <w:sz w:val="24"/>
          <w:szCs w:val="24"/>
        </w:rPr>
        <w:t xml:space="preserve"> 32, no. 5 (2013): 850–62. https://doi.org/10.1016/j.jhealeco.2013.04.004.</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Maf’ula, Faricha, and Denizar Abdurrahman Mi’raj. “Islamic Insurance in Indonesia: Opportunities and Challenges on Developing the Industry.” </w:t>
      </w:r>
      <w:r w:rsidRPr="0084635B">
        <w:rPr>
          <w:rFonts w:ascii="Garamond" w:hAnsi="Garamond" w:cs="Times New Roman"/>
          <w:i/>
          <w:iCs/>
          <w:noProof/>
          <w:sz w:val="24"/>
          <w:szCs w:val="24"/>
        </w:rPr>
        <w:t>Journal of Islamic Economic Laws</w:t>
      </w:r>
      <w:r w:rsidRPr="0084635B">
        <w:rPr>
          <w:rFonts w:ascii="Garamond" w:hAnsi="Garamond" w:cs="Times New Roman"/>
          <w:noProof/>
          <w:sz w:val="24"/>
          <w:szCs w:val="24"/>
        </w:rPr>
        <w:t xml:space="preserve"> 5, no. 1 (2022): 116–38. https://doi.org/10.23917/jisel.v5i1.16764.</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McKnight, D. Harrison, and Norman L. Chervany. “What Trust Means in E-Commerce Customer Relationships: An Interdisciplinary Conceptual Typology.” </w:t>
      </w:r>
      <w:r w:rsidRPr="0084635B">
        <w:rPr>
          <w:rFonts w:ascii="Garamond" w:hAnsi="Garamond" w:cs="Times New Roman"/>
          <w:i/>
          <w:iCs/>
          <w:noProof/>
          <w:sz w:val="24"/>
          <w:szCs w:val="24"/>
        </w:rPr>
        <w:t>International Journal of Electronic Commerce</w:t>
      </w:r>
      <w:r w:rsidRPr="0084635B">
        <w:rPr>
          <w:rFonts w:ascii="Garamond" w:hAnsi="Garamond" w:cs="Times New Roman"/>
          <w:noProof/>
          <w:sz w:val="24"/>
          <w:szCs w:val="24"/>
        </w:rPr>
        <w:t xml:space="preserve"> 6, no. 2 (2001): 35–59.</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Mutaqin, and Diana Agustina. “Criticism of the Interest System in Conventional Banking and Islamic Monetary Solutions.” </w:t>
      </w:r>
      <w:r w:rsidRPr="0084635B">
        <w:rPr>
          <w:rFonts w:ascii="Garamond" w:hAnsi="Garamond" w:cs="Times New Roman"/>
          <w:i/>
          <w:iCs/>
          <w:noProof/>
          <w:sz w:val="24"/>
          <w:szCs w:val="24"/>
        </w:rPr>
        <w:t>MPRA Paper No. 95006</w:t>
      </w:r>
      <w:r w:rsidRPr="0084635B">
        <w:rPr>
          <w:rFonts w:ascii="Garamond" w:hAnsi="Garamond" w:cs="Times New Roman"/>
          <w:noProof/>
          <w:sz w:val="24"/>
          <w:szCs w:val="24"/>
        </w:rPr>
        <w:t>, no. 95006 (2019).</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Oakland, John S. </w:t>
      </w:r>
      <w:r w:rsidRPr="0084635B">
        <w:rPr>
          <w:rFonts w:ascii="Garamond" w:hAnsi="Garamond" w:cs="Times New Roman"/>
          <w:i/>
          <w:iCs/>
          <w:noProof/>
          <w:sz w:val="24"/>
          <w:szCs w:val="24"/>
        </w:rPr>
        <w:t>Variation: Understanding and Decision Making</w:t>
      </w:r>
      <w:r w:rsidRPr="0084635B">
        <w:rPr>
          <w:rFonts w:ascii="Garamond" w:hAnsi="Garamond" w:cs="Times New Roman"/>
          <w:noProof/>
          <w:sz w:val="24"/>
          <w:szCs w:val="24"/>
        </w:rPr>
        <w:t xml:space="preserve">. </w:t>
      </w:r>
      <w:r w:rsidRPr="0084635B">
        <w:rPr>
          <w:rFonts w:ascii="Garamond" w:hAnsi="Garamond" w:cs="Times New Roman"/>
          <w:i/>
          <w:iCs/>
          <w:noProof/>
          <w:sz w:val="24"/>
          <w:szCs w:val="24"/>
        </w:rPr>
        <w:t>Statistical Process Control</w:t>
      </w:r>
      <w:r w:rsidRPr="0084635B">
        <w:rPr>
          <w:rFonts w:ascii="Garamond" w:hAnsi="Garamond" w:cs="Times New Roman"/>
          <w:noProof/>
          <w:sz w:val="24"/>
          <w:szCs w:val="24"/>
        </w:rPr>
        <w:t>, 2020. https://doi.org/10.4324/9780080551739-10.</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Pirson, Michael, Kirsten Martin, and Bidhan Parmar. “Public Trust in Business and Its Determinants.” </w:t>
      </w:r>
      <w:r w:rsidRPr="0084635B">
        <w:rPr>
          <w:rFonts w:ascii="Garamond" w:hAnsi="Garamond" w:cs="Times New Roman"/>
          <w:i/>
          <w:iCs/>
          <w:noProof/>
          <w:sz w:val="24"/>
          <w:szCs w:val="24"/>
        </w:rPr>
        <w:t>Business and Society</w:t>
      </w:r>
      <w:r w:rsidRPr="0084635B">
        <w:rPr>
          <w:rFonts w:ascii="Garamond" w:hAnsi="Garamond" w:cs="Times New Roman"/>
          <w:noProof/>
          <w:sz w:val="24"/>
          <w:szCs w:val="24"/>
        </w:rPr>
        <w:t xml:space="preserve"> 58, no. 1 (2019): 132–66. https://doi.org/10.1177/0007650316647950.</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Poan, Roy, Valencya Engla Merizka, and Farida Komalasari. “The Importance of Trust Factor in the Intentions to Purchase Islamic Insurance (Takaful) in Indonesia.” </w:t>
      </w:r>
      <w:r w:rsidRPr="0084635B">
        <w:rPr>
          <w:rFonts w:ascii="Garamond" w:hAnsi="Garamond" w:cs="Times New Roman"/>
          <w:i/>
          <w:iCs/>
          <w:noProof/>
          <w:sz w:val="24"/>
          <w:szCs w:val="24"/>
        </w:rPr>
        <w:t>Journal of Islamic Marketing</w:t>
      </w:r>
      <w:r w:rsidRPr="0084635B">
        <w:rPr>
          <w:rFonts w:ascii="Garamond" w:hAnsi="Garamond" w:cs="Times New Roman"/>
          <w:noProof/>
          <w:sz w:val="24"/>
          <w:szCs w:val="24"/>
        </w:rPr>
        <w:t>, 2021.</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lastRenderedPageBreak/>
        <w:t xml:space="preserve">Postmes, Tom, Russell Spears, and Sezgin Cihangir. “Quality of Decision Making and Group Norms.” </w:t>
      </w:r>
      <w:r w:rsidRPr="0084635B">
        <w:rPr>
          <w:rFonts w:ascii="Garamond" w:hAnsi="Garamond" w:cs="Times New Roman"/>
          <w:i/>
          <w:iCs/>
          <w:noProof/>
          <w:sz w:val="24"/>
          <w:szCs w:val="24"/>
        </w:rPr>
        <w:t>Journal of Personality and Social Psychology</w:t>
      </w:r>
      <w:r w:rsidRPr="0084635B">
        <w:rPr>
          <w:rFonts w:ascii="Garamond" w:hAnsi="Garamond" w:cs="Times New Roman"/>
          <w:noProof/>
          <w:sz w:val="24"/>
          <w:szCs w:val="24"/>
        </w:rPr>
        <w:t xml:space="preserve"> 80, no. 6 (2001): 918–30. https://doi.org/10.1037/0022-3514.80.6.918.</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cs="Times New Roman"/>
          <w:noProof/>
          <w:sz w:val="24"/>
          <w:szCs w:val="24"/>
        </w:rPr>
      </w:pPr>
      <w:r w:rsidRPr="0084635B">
        <w:rPr>
          <w:rFonts w:ascii="Garamond" w:hAnsi="Garamond" w:cs="Times New Roman"/>
          <w:noProof/>
          <w:sz w:val="24"/>
          <w:szCs w:val="24"/>
        </w:rPr>
        <w:t xml:space="preserve">Rusita Purnamasari, Delvia, and Azhar Alam. “Level of Understanding and Reasons Customers Choose Sharia Insurance Products.” </w:t>
      </w:r>
      <w:r w:rsidRPr="0084635B">
        <w:rPr>
          <w:rFonts w:ascii="Garamond" w:hAnsi="Garamond" w:cs="Times New Roman"/>
          <w:i/>
          <w:iCs/>
          <w:noProof/>
          <w:sz w:val="24"/>
          <w:szCs w:val="24"/>
        </w:rPr>
        <w:t>Airlangga International Journal of Islamic Economics and Finance</w:t>
      </w:r>
      <w:r w:rsidRPr="0084635B">
        <w:rPr>
          <w:rFonts w:ascii="Garamond" w:hAnsi="Garamond" w:cs="Times New Roman"/>
          <w:noProof/>
          <w:sz w:val="24"/>
          <w:szCs w:val="24"/>
        </w:rPr>
        <w:t xml:space="preserve"> 3, no. 1 (2020): 42. https://doi.org/10.20473/aijief.v3i1.19411.</w:t>
      </w:r>
    </w:p>
    <w:p w:rsidR="00987639" w:rsidRPr="0084635B" w:rsidRDefault="00987639" w:rsidP="00EA758A">
      <w:pPr>
        <w:widowControl w:val="0"/>
        <w:autoSpaceDE w:val="0"/>
        <w:autoSpaceDN w:val="0"/>
        <w:adjustRightInd w:val="0"/>
        <w:spacing w:line="240" w:lineRule="auto"/>
        <w:ind w:left="480" w:hanging="480"/>
        <w:jc w:val="both"/>
        <w:rPr>
          <w:rFonts w:ascii="Garamond" w:hAnsi="Garamond"/>
          <w:noProof/>
          <w:sz w:val="24"/>
        </w:rPr>
      </w:pPr>
      <w:r w:rsidRPr="0084635B">
        <w:rPr>
          <w:rFonts w:ascii="Garamond" w:hAnsi="Garamond" w:cs="Times New Roman"/>
          <w:noProof/>
          <w:sz w:val="24"/>
          <w:szCs w:val="24"/>
        </w:rPr>
        <w:t xml:space="preserve">Undesa. </w:t>
      </w:r>
      <w:r w:rsidRPr="0084635B">
        <w:rPr>
          <w:rFonts w:ascii="Garamond" w:hAnsi="Garamond" w:cs="Times New Roman"/>
          <w:i/>
          <w:iCs/>
          <w:noProof/>
          <w:sz w:val="24"/>
          <w:szCs w:val="24"/>
        </w:rPr>
        <w:t>Recovering Better: Economic and Social Challenges and Opportunities</w:t>
      </w:r>
      <w:r w:rsidRPr="0084635B">
        <w:rPr>
          <w:rFonts w:ascii="Garamond" w:hAnsi="Garamond" w:cs="Times New Roman"/>
          <w:noProof/>
          <w:sz w:val="24"/>
          <w:szCs w:val="24"/>
        </w:rPr>
        <w:t xml:space="preserve">. </w:t>
      </w:r>
      <w:r w:rsidRPr="0084635B">
        <w:rPr>
          <w:rFonts w:ascii="Garamond" w:hAnsi="Garamond" w:cs="Times New Roman"/>
          <w:i/>
          <w:iCs/>
          <w:noProof/>
          <w:sz w:val="24"/>
          <w:szCs w:val="24"/>
        </w:rPr>
        <w:t>Department of Economic and Social Affairs, United Nations, New York</w:t>
      </w:r>
      <w:r w:rsidRPr="0084635B">
        <w:rPr>
          <w:rFonts w:ascii="Garamond" w:hAnsi="Garamond" w:cs="Times New Roman"/>
          <w:noProof/>
          <w:sz w:val="24"/>
          <w:szCs w:val="24"/>
        </w:rPr>
        <w:t>, 2020.</w:t>
      </w:r>
    </w:p>
    <w:p w:rsidR="00987639" w:rsidRPr="0084635B" w:rsidRDefault="00987639" w:rsidP="00EA758A">
      <w:pPr>
        <w:spacing w:line="240" w:lineRule="auto"/>
        <w:jc w:val="both"/>
        <w:rPr>
          <w:rFonts w:ascii="Garamond" w:hAnsi="Garamond"/>
          <w:sz w:val="24"/>
          <w:szCs w:val="24"/>
        </w:rPr>
      </w:pPr>
      <w:r w:rsidRPr="0084635B">
        <w:rPr>
          <w:rFonts w:ascii="Garamond" w:hAnsi="Garamond"/>
          <w:sz w:val="24"/>
          <w:szCs w:val="24"/>
        </w:rPr>
        <w:fldChar w:fldCharType="end"/>
      </w:r>
    </w:p>
    <w:p w:rsidR="00CD2A15" w:rsidRPr="0084635B" w:rsidRDefault="00CD2A15" w:rsidP="00EA758A">
      <w:pPr>
        <w:spacing w:after="0"/>
        <w:jc w:val="both"/>
        <w:rPr>
          <w:rFonts w:ascii="Garamond" w:hAnsi="Garamond" w:cstheme="majorBidi"/>
          <w:b/>
          <w:bCs/>
          <w:sz w:val="24"/>
          <w:szCs w:val="24"/>
        </w:rPr>
      </w:pPr>
    </w:p>
    <w:sectPr w:rsidR="00CD2A15" w:rsidRPr="0084635B" w:rsidSect="009652BB">
      <w:footerReference w:type="default" r:id="rId11"/>
      <w:pgSz w:w="12240" w:h="15840"/>
      <w:pgMar w:top="1440" w:right="1750" w:bottom="1440" w:left="184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C4C93" w:rsidRDefault="005C4C93" w:rsidP="001F145F">
      <w:pPr>
        <w:spacing w:after="0" w:line="240" w:lineRule="auto"/>
      </w:pPr>
      <w:r>
        <w:separator/>
      </w:r>
    </w:p>
  </w:endnote>
  <w:endnote w:type="continuationSeparator" w:id="0">
    <w:p w:rsidR="005C4C93" w:rsidRDefault="005C4C93" w:rsidP="001F14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14749395"/>
      <w:docPartObj>
        <w:docPartGallery w:val="Page Numbers (Bottom of Page)"/>
        <w:docPartUnique/>
      </w:docPartObj>
    </w:sdtPr>
    <w:sdtEndPr>
      <w:rPr>
        <w:noProof/>
      </w:rPr>
    </w:sdtEndPr>
    <w:sdtContent>
      <w:p w:rsidR="00EA758A" w:rsidRDefault="00EA758A">
        <w:pPr>
          <w:pStyle w:val="Footer"/>
          <w:jc w:val="center"/>
        </w:pPr>
        <w:r>
          <w:fldChar w:fldCharType="begin"/>
        </w:r>
        <w:r>
          <w:instrText xml:space="preserve"> PAGE   \* MERGEFORMAT </w:instrText>
        </w:r>
        <w:r>
          <w:fldChar w:fldCharType="separate"/>
        </w:r>
        <w:r w:rsidR="00DB4F18">
          <w:rPr>
            <w:noProof/>
          </w:rPr>
          <w:t>3</w:t>
        </w:r>
        <w:r>
          <w:rPr>
            <w:noProof/>
          </w:rPr>
          <w:fldChar w:fldCharType="end"/>
        </w:r>
      </w:p>
    </w:sdtContent>
  </w:sdt>
  <w:p w:rsidR="00EA758A" w:rsidRDefault="00EA758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C4C93" w:rsidRDefault="005C4C93" w:rsidP="001F145F">
      <w:pPr>
        <w:spacing w:after="0" w:line="240" w:lineRule="auto"/>
      </w:pPr>
      <w:r>
        <w:separator/>
      </w:r>
    </w:p>
  </w:footnote>
  <w:footnote w:type="continuationSeparator" w:id="0">
    <w:p w:rsidR="005C4C93" w:rsidRDefault="005C4C93" w:rsidP="001F145F">
      <w:pPr>
        <w:spacing w:after="0" w:line="240" w:lineRule="auto"/>
      </w:pPr>
      <w:r>
        <w:continuationSeparator/>
      </w:r>
    </w:p>
  </w:footnote>
  <w:footnote w:id="1">
    <w:p w:rsidR="00987639" w:rsidRPr="00DC689F"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DC689F">
        <w:rPr>
          <w:rFonts w:ascii="Garamond" w:hAnsi="Garamond"/>
        </w:rPr>
        <w:fldChar w:fldCharType="begin" w:fldLock="1"/>
      </w:r>
      <w:r w:rsidRPr="00DC689F">
        <w:rPr>
          <w:rFonts w:ascii="Garamond" w:hAnsi="Garamond"/>
        </w:rPr>
        <w:instrText>ADDIN CSL_CITATION {"citationItems":[{"id":"ITEM-1","itemData":{"DOI":"10.7441/joc.2016.04.01","ISSN":"18041728","abstract":"Knowledge is a key to creating a sustainable competitive advantage. Measuring knowledge of an organization as a unit allows for, in addition to other things, benchmarking it against other organizations as well as comparing the development within the organization in the course of time. Additionally, measuring the knowledge of individuals and groups helps identify key workers and can also be used when recruiting a new work force, while evaluating employees' work performances, or to check the course of the adaptation of a new employee. Even though the field of measuring knowledge belongs, in comparison with other topics, among the lesser-developed fields in the management of knowledge, a number of approaches that can be used to measure knowledge have been introduced. The aim of this study is to present an overview of methods which can be applied when measuring the knowledge of organizations, groups or individuals and thus provide a practical list of methods which feature in literature mostly for practitioners and novices in this field. The study is based on a content-analysis of literature.","author":[{"dropping-particle":"","family":"Jana","given":"Matošková","non-dropping-particle":"","parse-names":false,"suffix":""}],"container-title":"Journal of Competitiveness","id":"ITEM-1","issue":"4","issued":{"date-parts":[["2016"]]},"page":"5-29","title":"Measuring knowledge","type":"article-journal","volume":"8"},"uris":["http://www.mendeley.com/documents/?uuid=00b859ea-b3b6-46f5-afa4-17988cd21b4f"]}],"mendeley":{"formattedCitation":"Matošková Jana, “Measuring Knowledge,” &lt;i&gt;Journal of Competitiveness&lt;/i&gt; 8, no. 4 (2016): 5–29, https://doi.org/10.7441/joc.2016.04.01.","manualFormatting":"Matošková Jana, “Measuring Knowledge,” Journal of Competitiveness, Vol. 8, No. 4 (2016): 5–29, https://doi.org/10.7441/joc.2016.04.01.","plainTextFormattedCitation":"Matošková Jana, “Measuring Knowledge,” Journal of Competitiveness 8, no. 4 (2016): 5–29, https://doi.org/10.7441/joc.2016.04.01.","previouslyFormattedCitation":"Matošková Jana, “Measuring Knowledge,” &lt;i&gt;Journal of Competitiveness&lt;/i&gt; 8, no. 4 (2016): 5–29, https://doi.org/10.7441/joc.2016.04.01."},"properties":{"noteIndex":1},"schema":"https://github.com/citation-style-language/schema/raw/master/csl-citation.json"}</w:instrText>
      </w:r>
      <w:r w:rsidRPr="00DC689F">
        <w:rPr>
          <w:rFonts w:ascii="Garamond" w:hAnsi="Garamond"/>
        </w:rPr>
        <w:fldChar w:fldCharType="separate"/>
      </w:r>
      <w:r w:rsidRPr="00DC689F">
        <w:rPr>
          <w:rFonts w:ascii="Garamond" w:hAnsi="Garamond"/>
          <w:noProof/>
        </w:rPr>
        <w:t>Matošková Jana, “Measuring Knowledge,” Journal of Competitiveness, Vol. 8, No. 4 (2016): 5–29, https://doi.org/10.7441/joc.2016.04.01.</w:t>
      </w:r>
      <w:r w:rsidRPr="00DC689F">
        <w:rPr>
          <w:rFonts w:ascii="Garamond" w:hAnsi="Garamond"/>
        </w:rPr>
        <w:fldChar w:fldCharType="end"/>
      </w:r>
    </w:p>
  </w:footnote>
  <w:footnote w:id="2">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{"citationItems":[{"id":"ITEM-1","itemData":{"author":[{"dropping-particle":"","family":"Undesa","given":"","non-dropping-particle":"","parse-names":false,"suffix":""}],"container-title":"Department of Economic and Social Affairs, United Nations, New York","id":"ITEM-1","issued":{"date-parts":[["2020"]]},"number-of-pages":"1-182","title":"Recovering better: economic and social challenges and opportunities","type":"book"},"uris":["http://www.mendeley.com/documents/?uuid=1559c9a2-6152-478d-96bc-1bf05d79dfdd"]}],"mendeley":{"formattedCitation":"Undesa, &lt;i&gt;Recovering Better: Economic and Social Challenges and Opportunities&lt;/i&gt;, &lt;i&gt;Department of Economic and Social Affairs, United Nations, New York&lt;/i&gt;, 2020.","plainTextFormattedCitation":"Undesa, Recovering Better: Economic and Social Challenges and Opportunities, Department of Economic and Social Affairs, United Nations, New York, 2020.","previouslyFormattedCitation":"Undesa, &lt;i&gt;Recovering Better: Economic and Social Challenges and Opportunities&lt;/i&gt;, &lt;i&gt;Department of Economic and Social Affairs, United Nations, New York&lt;/i&gt;, 2020."},"properties":{"noteIndex":2},"schema":"https://github.com/citation-style-language/schema/raw/master/csl-citation.json"}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Undesa, </w:t>
      </w:r>
      <w:r w:rsidRPr="00EA758A">
        <w:rPr>
          <w:rFonts w:ascii="Garamond" w:hAnsi="Garamond"/>
          <w:i/>
          <w:noProof/>
        </w:rPr>
        <w:t>Recovering Better: Economic and Social Challenges and Opportunities</w:t>
      </w:r>
      <w:r w:rsidRPr="00EA758A">
        <w:rPr>
          <w:rFonts w:ascii="Garamond" w:hAnsi="Garamond"/>
          <w:noProof/>
        </w:rPr>
        <w:t xml:space="preserve">, </w:t>
      </w:r>
      <w:r w:rsidRPr="00EA758A">
        <w:rPr>
          <w:rFonts w:ascii="Garamond" w:hAnsi="Garamond"/>
          <w:i/>
          <w:noProof/>
        </w:rPr>
        <w:t>Department of Economic and Social Affairs, United Nations, New York</w:t>
      </w:r>
      <w:r w:rsidRPr="00EA758A">
        <w:rPr>
          <w:rFonts w:ascii="Garamond" w:hAnsi="Garamond"/>
          <w:noProof/>
        </w:rPr>
        <w:t>, 2020.</w:t>
      </w:r>
      <w:r w:rsidRPr="00EA758A">
        <w:rPr>
          <w:rFonts w:ascii="Garamond" w:hAnsi="Garamond"/>
        </w:rPr>
        <w:fldChar w:fldCharType="end"/>
      </w:r>
    </w:p>
  </w:footnote>
  <w:footnote w:id="3">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{"citationItems":[{"id":"ITEM-1","itemData":{"DOI":"10.15294/maj.v9i4.40796","ISSN":"2252-6552","abstract":"This study aims to determine the direct and indirect effects of product knowledge, brand image, brand love, and word of mouth as intervening variables on purchase decisions. The population in this study were all JimsHoney bag consumers in Semarang. Sampling was carried out using the purposive sampling technique, the number of samples was 116 respondents. The data collection method used a questionnaire and documentation. Methods of data analysis using classic assumption tests and hypothesis testing with the IBM SPSS Statistics 25 program. The results of this study indicate that product knowledge and brand love have a positive effect on purchase decisions. The brand image does not effect on purchase decisions. As well as product knowledge, brand image, and brand love have a positive effect on purchase decisions through word of mouth. Word of mouth has an important role in influencing purchase decisions. Therefore, companies must be able to create and maintain good word of mouth among consumers to attract attention and win consumers' hearts.","author":[{"dropping-particle":"","family":"Ayuningsih","given":"Fitria","non-dropping-particle":"","parse-names":false,"suffix":""},{"dropping-particle":"","family":"Maftukhah","given":"Ida","non-dropping-particle":"","parse-names":false,"suffix":""}],"container-title":"Management Analysis Journal","id":"ITEM-1","issue":"4","issued":{"date-parts":[["2020"]]},"page":"355-369","title":"The Influence of Product Knowledge, Brand Image, and Brand Love on Purchase Decision through Word of Mouth","type":"article-journal","volume":"9"},"uris":["http://www.mendeley.com/documents/?uuid=4224bf3e-0176-4a21-a358-b6caddcb893b"]}],"mendeley":{"formattedCitation":"Fitria Ayuningsih and Ida Maftukhah, “The Influence of Product Knowledge, Brand Image, and Brand Love on Purchase Decision through Word of Mouth,” &lt;i&gt;Management Analysis Journal&lt;/i&gt; 9, no. 4 (2020): 355–69, https://doi.org/10.15294/maj.v9i4.40796.","plainTextFormattedCitation":"Fitria Ayuningsih and Ida Maftukhah, “The Influence of Product Knowledge, Brand Image, and Brand Love on Purchase Decision through Word of Mouth,” Management Analysis Journal 9, no. 4 (2020): 355–69, https://doi.org/10.15294/maj.v9i4.40796.","previouslyFormattedCitation":"Fitria Ayuningsih and Ida Maftukhah, “The Influence of Product Knowledge, Brand Image, and Brand Love on Purchase Decision through Word of Mouth,” &lt;i&gt;Management Analysis Journal&lt;/i&gt; 9, no. 4 (2020): 355–69, https://doi.org/10.15294/maj.v9i4.40796."},"properties":{"noteIndex":3},"schema":"https://github.com/citation-style-language/schema/raw/master/csl-citation.json"}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Fitria Ayuningsih and Ida Maftukhah, “The Influence of Product Knowledge, Brand Image, and Brand Love on Purchase Decision through Word of Mouth,” </w:t>
      </w:r>
      <w:r w:rsidRPr="00EA758A">
        <w:rPr>
          <w:rFonts w:ascii="Garamond" w:hAnsi="Garamond"/>
          <w:i/>
          <w:noProof/>
        </w:rPr>
        <w:t>Management Analysis Journal</w:t>
      </w:r>
      <w:r w:rsidRPr="00EA758A">
        <w:rPr>
          <w:rFonts w:ascii="Garamond" w:hAnsi="Garamond"/>
          <w:noProof/>
        </w:rPr>
        <w:t xml:space="preserve"> 9, no. 4 (2020): 355–69, https://doi.org/10.15294/maj.v9i4.40796.</w:t>
      </w:r>
      <w:r w:rsidRPr="00EA758A">
        <w:rPr>
          <w:rFonts w:ascii="Garamond" w:hAnsi="Garamond"/>
        </w:rPr>
        <w:fldChar w:fldCharType="end"/>
      </w:r>
    </w:p>
  </w:footnote>
  <w:footnote w:id="4">
    <w:p w:rsidR="00987639" w:rsidRPr="00DC689F" w:rsidRDefault="00987639" w:rsidP="00EA758A">
      <w:pPr>
        <w:pStyle w:val="FootnoteText"/>
        <w:tabs>
          <w:tab w:val="left" w:pos="284"/>
        </w:tabs>
        <w:ind w:left="284" w:hanging="284"/>
        <w:jc w:val="both"/>
        <w:rPr>
          <w:rFonts w:ascii="Garamond" w:hAnsi="Garamond"/>
        </w:rPr>
      </w:pPr>
      <w:r w:rsidRPr="00DC689F">
        <w:rPr>
          <w:rStyle w:val="FootnoteReference"/>
          <w:rFonts w:ascii="Garamond" w:hAnsi="Garamond"/>
        </w:rPr>
        <w:footnoteRef/>
      </w:r>
      <w:r w:rsidRPr="00DC689F">
        <w:rPr>
          <w:rFonts w:ascii="Garamond" w:hAnsi="Garamond"/>
        </w:rPr>
        <w:t xml:space="preserve"> </w:t>
      </w:r>
      <w:r w:rsidR="00DC689F" w:rsidRPr="00DC689F">
        <w:rPr>
          <w:rFonts w:ascii="Garamond" w:hAnsi="Garamond"/>
        </w:rPr>
        <w:tab/>
      </w:r>
      <w:r w:rsidRPr="00DC689F">
        <w:rPr>
          <w:rFonts w:ascii="Garamond" w:hAnsi="Garamond"/>
        </w:rPr>
        <w:fldChar w:fldCharType="begin" w:fldLock="1"/>
      </w:r>
      <w:r w:rsidRPr="00DC689F">
        <w:rPr>
          <w:rFonts w:ascii="Garamond" w:hAnsi="Garamond"/>
        </w:rPr>
        <w:instrText>ADDIN CSL_CITATION {"citationItems":[{"id":"ITEM-1","itemData":{"DOI":"10.20473/aijief.v3i1.19411","ISSN":"2579-9169","abstract":"This study aims to determine the level of customer understanding of Islamic insurance products and reasons for customers to buy or become consumers of Islamic insurance. This research uses a quantitative approach with descriptive statistical analysis. This research took at PT. Solo Family Takaful of 100 respondents. The data collection method uses a questionnaire distributed to customers, and the data processing uses the Guttman Scale Cross-Sectional model (traditional) with the help of Microsoft Excel 2010 and SPSS 24. The results of this study indicate that the level of understanding and reasons for customers in choosing sharia insurance products are classified as high due to factors consumer interest and knowledge factors.","author":[{"dropping-particle":"","family":"Rusita Purnamasari","given":"Delvia","non-dropping-particle":"","parse-names":false,"suffix":""},{"dropping-particle":"","family":"Alam","given":"Azhar","non-dropping-particle":"","parse-names":false,"suffix":""}],"container-title":"Airlangga International Journal of Islamic Economics and Finance","id":"ITEM-1","issue":"1","issued":{"date-parts":[["2020"]]},"page":"42","title":"Level of Understanding and Reasons Customers Choose Sharia Insurance Products","type":"article-journal","volume":"3"},"uris":["http://www.mendeley.com/documents/?uuid=075a5de5-1958-40c1-ad05-d32ddcf33643"]}],"mendeley":{"formattedCitation":"Delvia Rusita Purnamasari and Azhar Alam, “Level of Understanding and Reasons Customers Choose Sharia Insurance Products,” &lt;i&gt;Airlangga International Journal of Islamic Economics and Finance&lt;/i&gt; 3, no. 1 (2020): 42, https://doi.org/10.20473/aijief.v3i1.19411.","manualFormatting":"Delvia Rusita Purnamasari and Azhar Alam, “Level of Understanding and Reasons Customers Choose Sharia Insurance Products,” Airlangga International Journal of Islamic Economics and Finance, Vol. 3, No. 1 (2020): 42, https://doi.org/10.20473/aijief.v3i1.19411.","plainTextFormattedCitation":"Delvia Rusita Purnamasari and Azhar Alam, “Level of Understanding and Reasons Customers Choose Sharia Insurance Products,” Airlangga International Journal of Islamic Economics and Finance 3, no. 1 (2020): 42, https://doi.org/10.20473/aijief.v3i1.19411.","previouslyFormattedCitation":"Delvia Rusita Purnamasari and Azhar Alam, “Level of Understanding and Reasons Customers Choose Sharia Insurance Products,” &lt;i&gt;Airlangga International Journal of Islamic Economics and Finance&lt;/i&gt; 3, no. 1 (2020): 42, https://doi.org/10.20473/aijief.v3i1.19411."},"properties":{"noteIndex":4},"schema":"https://github.com/citation-style-language/schema/raw/master/csl-citation.json"}</w:instrText>
      </w:r>
      <w:r w:rsidRPr="00DC689F">
        <w:rPr>
          <w:rFonts w:ascii="Garamond" w:hAnsi="Garamond"/>
        </w:rPr>
        <w:fldChar w:fldCharType="separate"/>
      </w:r>
      <w:r w:rsidRPr="00DC689F">
        <w:rPr>
          <w:rFonts w:ascii="Garamond" w:hAnsi="Garamond"/>
          <w:noProof/>
        </w:rPr>
        <w:t>Delvia Rusita Purnamasari and Azhar Alam, “Level of Understanding and Reasons Customers Choose Sharia Insurance Products,” Airlangga International Journal of Islamic Economics and Finance, Vol. 3, No. 1 (2020): 42, https://doi.org/10.20473/aijief.v3i1.19411.</w:t>
      </w:r>
      <w:r w:rsidRPr="00DC689F">
        <w:rPr>
          <w:rFonts w:ascii="Garamond" w:hAnsi="Garamond"/>
        </w:rPr>
        <w:fldChar w:fldCharType="end"/>
      </w:r>
    </w:p>
  </w:footnote>
  <w:footnote w:id="5">
    <w:p w:rsidR="00987639" w:rsidRPr="00DC689F" w:rsidRDefault="00987639" w:rsidP="00EA758A">
      <w:pPr>
        <w:pStyle w:val="FootnoteText"/>
        <w:tabs>
          <w:tab w:val="left" w:pos="284"/>
        </w:tabs>
        <w:ind w:left="284" w:hanging="284"/>
        <w:jc w:val="both"/>
        <w:rPr>
          <w:rFonts w:ascii="Garamond" w:hAnsi="Garamond"/>
        </w:rPr>
      </w:pPr>
      <w:r w:rsidRPr="00DC689F">
        <w:rPr>
          <w:rStyle w:val="FootnoteReference"/>
          <w:rFonts w:ascii="Garamond" w:hAnsi="Garamond"/>
        </w:rPr>
        <w:footnoteRef/>
      </w:r>
      <w:r w:rsidRPr="00DC689F">
        <w:rPr>
          <w:rFonts w:ascii="Garamond" w:hAnsi="Garamond"/>
        </w:rPr>
        <w:t xml:space="preserve"> </w:t>
      </w:r>
      <w:r w:rsidR="00DC689F" w:rsidRPr="00DC689F">
        <w:rPr>
          <w:rFonts w:ascii="Garamond" w:hAnsi="Garamond"/>
        </w:rPr>
        <w:tab/>
      </w:r>
      <w:r w:rsidRPr="00DC689F">
        <w:rPr>
          <w:rFonts w:ascii="Garamond" w:hAnsi="Garamond"/>
        </w:rPr>
        <w:fldChar w:fldCharType="begin" w:fldLock="1"/>
      </w:r>
      <w:r w:rsidRPr="00DC689F">
        <w:rPr>
          <w:rFonts w:ascii="Garamond" w:hAnsi="Garamond"/>
        </w:rPr>
        <w:instrText>ADDIN CSL_CITATION {"citationItems":[{"id":"ITEM-1","itemData":{"DOI":"10.18196/jai.190297","ISSN":"26223899","abstract":"Objective of the study was to explore how much Pekalongan residents understand and need Syaria insurance in Indonesia. The data collection methods were questionnaire and interview. The questionnaires were distributed randomly to 136 samples/ respondents. The interview was conducted to 10 informants in order to elaborate meaning, respondent’s understanding need and response on syaria insurance. The data analysis method was descriptive-qualitative analysis. The findings showed that most respondents had good level of understanding on syaria insurance. Some respondents stated that insurance was “important” while some others stated that it was “very important.” The respondents considered syaria insurance as investment, financial solution, financial security, business requirement, pension plan and future investment. However, the respondents had very basic understanding on syaria insurance. They associated syaria insurance with Islamic-based insurance and non usury (excessive interest). It implied that there is a market for syaria insurance in this city. It is expected that government and companies support development of syaria insurance in Indonesia.","author":[{"dropping-particle":"","family":"Ismanto","given":"Kuat","non-dropping-particle":"","parse-names":false,"suffix":""}],"container-title":"Journal of Accounting and Investment","id":"ITEM-1","issue":"2","issued":{"date-parts":[["2018"]]},"title":"Understanding on and Need for Syaria Insurance: A Case Study in Pekalongan, Central Java, Indonesia","type":"article-journal","volume":"19"},"uris":["http://www.mendeley.com/documents/?uuid=1bf62940-048f-4256-ab5d-300bbf308d5a"]}],"mendeley":{"formattedCitation":"Kuat Ismanto, “Understanding on and Need for Syaria Insurance: A Case Study in Pekalongan, Central Java, Indonesia,” &lt;i&gt;Journal of Accounting and Investment&lt;/i&gt; 19, no. 2 (2018), https://doi.org/10.18196/jai.190297.","manualFormatting":"Kuat Ismanto, “Understanding on and Need for Syaria Insurance: A Case Study in Pekalongan, Central Java, Indonesia,” Journal of Accounting and Investment, Vol. 19, No. 2 (2018), https://doi.org/10.18196/jai.190297.","plainTextFormattedCitation":"Kuat Ismanto, “Understanding on and Need for Syaria Insurance: A Case Study in Pekalongan, Central Java, Indonesia,” Journal of Accounting and Investment 19, no. 2 (2018), https://doi.org/10.18196/jai.190297.","previouslyFormattedCitation":"Kuat Ismanto, “Understanding on and Need for Syaria Insurance: A Case Study in Pekalongan, Central Java, Indonesia,” &lt;i&gt;Journal of Accounting and Investment&lt;/i&gt; 19, no. 2 (2018), https://doi.org/10.18196/jai.190297."},"properties":{"noteIndex":5},"schema":"https://github.com/citation-style-language/schema/raw/master/csl-citation.json"}</w:instrText>
      </w:r>
      <w:r w:rsidRPr="00DC689F">
        <w:rPr>
          <w:rFonts w:ascii="Garamond" w:hAnsi="Garamond"/>
        </w:rPr>
        <w:fldChar w:fldCharType="separate"/>
      </w:r>
      <w:r w:rsidRPr="00DC689F">
        <w:rPr>
          <w:rFonts w:ascii="Garamond" w:hAnsi="Garamond"/>
          <w:noProof/>
        </w:rPr>
        <w:t>Kuat Ismanto, “Understanding on and Need for Syaria Insurance: A Case Study in Pekalongan, Central Java, Indonesia,” Journal of Accounting and Investment, Vol. 19, No. 2 (2018), https://doi.org/10.18196/jai.190297.</w:t>
      </w:r>
      <w:r w:rsidRPr="00DC689F">
        <w:rPr>
          <w:rFonts w:ascii="Garamond" w:hAnsi="Garamond"/>
        </w:rPr>
        <w:fldChar w:fldCharType="end"/>
      </w:r>
    </w:p>
  </w:footnote>
  <w:footnote w:id="6">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{"citationItems":[{"id":"ITEM-1","itemData":{"DOI":"10.23917/jisel.v5i1.16764","ISSN":"2655-9609","abstract":"Islamic insurance is a minor industry compared with other Islamic financial institutions in Indonesia. However, it has enormous potential to grow together with its challenges. This study aims to analyze the opportunities and challenges of the Islamic insurance industry in Indonesia. This research uses a qualitative methodology and descriptive analysis. The result summarizes that the possibilities are:  domino effect from Halal Value Chain and other development of government-owned enterprises; digitalization in Islamic Finance; and potential market of micro takaful. The challenges are needing a set regulatory framework as a catalyst to force supply and demand; market penetration is low, issues of Islamization insurance and the inadequate development of Islamic insurance products, limited retakaful company and qard hassan fund issue in retakaful.","author":[{"dropping-particle":"","family":"Maf'ula","given":"Faricha","non-dropping-particle":"","parse-names":false,"suffix":""},{"dropping-particle":"","family":"Mi'raj","given":"Denizar Abdurrahman","non-dropping-particle":"","parse-names":false,"suffix":""}],"container-title":"Journal of Islamic Economic Laws","id":"ITEM-1","issue":"1","issued":{"date-parts":[["2022"]]},"page":"116-138","title":"Islamic Insurance in Indonesia: Opportunities and Challenges on Developing the Industry","type":"article-journal","volume":"5"},"uris":["http://www.mendeley.com/documents/?uuid=d754b60c-974e-403a-a447-b158e06d3e87"]}],"mendeley":{"formattedCitation":"Faricha Maf’ula and Denizar Abdurrahman Mi’raj, “Islamic Insurance in Indonesia: Opportunities and Challenges on Developing the Industry,” &lt;i&gt;Journal of Islamic Economic Laws&lt;/i&gt; 5, no. 1 (2022): 116–38, https://doi.org/10.23917/jisel.v5i1.16764.","plainTextFormattedCitation":"Faricha Maf’ula and Denizar Abdurrahman Mi’raj, “Islamic Insurance in Indonesia: Opportunities and Challenges on Developing the Industry,” Journal of Islamic Economic Laws 5, no. 1 (2022): 116–38, https://doi.org/10.23917/jisel.v5i1.16764.","previouslyFormattedCitation":"Faricha Maf’ula and Denizar Abdurrahman Mi’raj, “Islamic Insurance in Indonesia: Opportunities and Challenges on Developing the Industry,” &lt;i&gt;Journal of Islamic Economic Laws&lt;/i&gt; 5, no. 1 (2022): 116–38, https://doi.org/10.23917/jisel.v5i1.16764."},"properties":{"noteIndex":6},"schema":"https://github.com/citation-style-language/schema/raw/master/csl-citation.json"}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Faricha Maf’ula and Denizar Abdurrahman Mi’raj, “Islamic Insurance in Indonesia: Opportunities and Challenges on Developing the Industry,” </w:t>
      </w:r>
      <w:r w:rsidRPr="00EA758A">
        <w:rPr>
          <w:rFonts w:ascii="Garamond" w:hAnsi="Garamond"/>
          <w:i/>
          <w:noProof/>
        </w:rPr>
        <w:t>Journal of Islamic Economic Laws</w:t>
      </w:r>
      <w:r w:rsidRPr="00EA758A">
        <w:rPr>
          <w:rFonts w:ascii="Garamond" w:hAnsi="Garamond"/>
          <w:noProof/>
        </w:rPr>
        <w:t xml:space="preserve"> 5, no. 1 (2022): 116–38, https://doi.org/10.23917/jisel.v5i1.16764.</w:t>
      </w:r>
      <w:r w:rsidRPr="00EA758A">
        <w:rPr>
          <w:rFonts w:ascii="Garamond" w:hAnsi="Garamond"/>
        </w:rPr>
        <w:fldChar w:fldCharType="end"/>
      </w:r>
    </w:p>
  </w:footnote>
  <w:footnote w:id="7">
    <w:p w:rsidR="00987639" w:rsidRPr="00EA758A" w:rsidRDefault="00987639" w:rsidP="00EA758A">
      <w:pPr>
        <w:pStyle w:val="FootnoteText"/>
        <w:tabs>
          <w:tab w:val="left" w:pos="0"/>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hyperlink r:id="rId1" w:history="1">
        <w:r w:rsidRPr="00EA758A">
          <w:rPr>
            <w:rStyle w:val="Hyperlink"/>
            <w:rFonts w:ascii="Garamond" w:hAnsi="Garamond"/>
          </w:rPr>
          <w:t>https://bisnis.tempo.co/read/1578831/wapres-maruf-amin-pertumbuhan-industri-asuransi-syariah-rendah</w:t>
        </w:r>
      </w:hyperlink>
      <w:r w:rsidRPr="00EA758A">
        <w:rPr>
          <w:rFonts w:ascii="Garamond" w:hAnsi="Garamond"/>
        </w:rPr>
        <w:t xml:space="preserve"> </w:t>
      </w:r>
    </w:p>
  </w:footnote>
  <w:footnote w:id="8">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{"citationItems":[{"id":"ITEM-1","itemData":{"DOI":"10.18196/jai.190297","ISSN":"26223899","abstract":"Objective of the study was to explore how much Pekalongan residents understand and need Syaria insurance in Indonesia. The data collection methods were questionnaire and interview. The questionnaires were distributed randomly to 136 samples/ respondents. The interview was conducted to 10 informants in order to elaborate meaning, respondent’s understanding need and response on syaria insurance. The data analysis method was descriptive-qualitative analysis. The findings showed that most respondents had good level of understanding on syaria insurance. Some respondents stated that insurance was “important” while some others stated that it was “very important.” The respondents considered syaria insurance as investment, financial solution, financial security, business requirement, pension plan and future investment. However, the respondents had very basic understanding on syaria insurance. They associated syaria insurance with Islamic-based insurance and non usury (excessive interest). It implied that there is a market for syaria insurance in this city. It is expected that government and companies support development of syaria insurance in Indonesia.","author":[{"dropping-particle":"","family":"Ismanto","given":"Kuat","non-dropping-particle":"","parse-names":false,"suffix":""}],"container-title":"Journal of Accounting and Investment","id":"ITEM-1","issue":"2","issued":{"date-parts":[["2018"]]},"title":"Understanding on and Need for Syaria Insurance: A Case Study in Pekalongan, Central Java, Indonesia","type":"article-journal","volume":"19"},"uris":["http://www.mendeley.com/documents/?uuid=1bf62940-048f-4256-ab5d-300bbf308d5a"]}],"mendeley":{"formattedCitation":"Ismanto, “Understanding on and Need for Syaria Insurance: A Case Study in Pekalongan, Central Java, Indonesia.”","plainTextFormattedCitation":"Ismanto, “Understanding on and Need for Syaria Insurance: A Case Study in Pekalongan, Central Java, Indonesia.”","previouslyFormattedCitation":"Ismanto, “Understanding on and Need for Syaria Insurance: A Case Study in Pekalongan, Central Java, Indonesia.”"},"properties":{"noteIndex":8},"schema":"https://github.com/citation-style-language/schema/raw/master/csl-citation.json"}</w:instrText>
      </w:r>
      <w:r w:rsidRPr="00EA758A">
        <w:rPr>
          <w:rFonts w:ascii="Garamond" w:hAnsi="Garamond"/>
        </w:rPr>
        <w:fldChar w:fldCharType="separate"/>
      </w:r>
      <w:r w:rsidRPr="00EA758A">
        <w:rPr>
          <w:rFonts w:ascii="Garamond" w:hAnsi="Garamond"/>
          <w:noProof/>
        </w:rPr>
        <w:t>Ismanto, “Understanding on and Need for Syaria Insurance: A Case Study in Pekalongan, Central Java, Indonesia.”</w:t>
      </w:r>
      <w:r w:rsidRPr="00EA758A">
        <w:rPr>
          <w:rFonts w:ascii="Garamond" w:hAnsi="Garamond"/>
        </w:rPr>
        <w:fldChar w:fldCharType="end"/>
      </w:r>
    </w:p>
  </w:footnote>
  <w:footnote w:id="9">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{"citationItems":[{"id":"ITEM-1","itemData":{"DOI":"10.1016/j.jhealeco.2013.04.004","ISSN":"01676296","PMID":"23872676","abstract":"We report results from two surveys of representative samples of Americans with private health insurance. The first examines how well Americans understand, and believe they understand, traditional health insurance coverage. The second examines whether those insured under a simplified all-copay insurance plan will be more likely to engage in cost-reducing behaviors relative to those insured under a traditional plan with deductibles and coinsurance, and measures consumer preferences between the two plans. The surveys provide strong evidence that consumers do not understand traditional plans and would better understand a simplified plan, but weaker evidence that a simplified plan would have strong appeal to consumers or change their healthcare choices. © 2013 Elsevier B.V.","author":[{"dropping-particle":"","family":"Loewenstein","given":"George","non-dropping-particle":"","parse-names":false,"suffix":""},{"dropping-particle":"","family":"Friedman","given":"Joelle Y.","non-dropping-particle":"","parse-names":false,"suffix":""},{"dropping-particle":"","family":"McGill","given":"Barbara","non-dropping-particle":"","parse-names":false,"suffix":""},{"dropping-particle":"","family":"Ahmad","given":"Sarah","non-dropping-particle":"","parse-names":false,"suffix":""},{"dropping-particle":"","family":"Linck","given":"Suzanne","non-dropping-particle":"","parse-names":false,"suffix":""},{"dropping-particle":"","family":"Sinkula","given":"Stacey","non-dropping-particle":"","parse-names":false,"suffix":""},{"dropping-particle":"","family":"Beshears","given":"John","non-dropping-particle":"","parse-names":false,"suffix":""},{"dropping-particle":"","family":"Choi","given":"James J.","non-dropping-particle":"","parse-names":false,"suffix":""},{"dropping-particle":"","family":"Kolstad","given":"Jonathan","non-dropping-particle":"","parse-names":false,"suffix":""},{"dropping-particle":"","family":"Laibson","given":"David","non-dropping-particle":"","parse-names":false,"suffix":""},{"dropping-particle":"","family":"Madrian","given":"Brigitte C.","non-dropping-particle":"","parse-names":false,"suffix":""},{"dropping-particle":"","family":"List","given":"John A.","non-dropping-particle":"","parse-names":false,"suffix":""},{"dropping-particle":"","family":"Volpp","given":"Kevin G.","non-dropping-particle":"","parse-names":false,"suffix":""}],"container-title":"Journal of Health Economics","id":"ITEM-1","issue":"5","issued":{"date-parts":[["2013"]]},"page":"850-862","publisher":"Elsevier B.V.","title":"Consumers' misunderstanding of health insurance","type":"article-journal","volume":"32"},"uris":["http://www.mendeley.com/documents/?uuid=46f2b9be-179f-40cb-a419-7089649c87a9"]}],"mendeley":{"formattedCitation":"George Loewenstein et al., “Consumers’ Misunderstanding of Health Insurance,” &lt;i&gt;Journal of Health Economics&lt;/i&gt; 32, no. 5 (2013): 850–62, https://doi.org/10.1016/j.jhealeco.2013.04.004.","plainTextFormattedCitation":"George Loewenstein et al., “Consumers’ Misunderstanding of Health Insurance,” Journal of Health Economics 32, no. 5 (2013): 850–62, https://doi.org/10.1016/j.jhealeco.2013.04.004.","previouslyFormattedCitation":"George Loewenstein et al., “Consumers’ Misunderstanding of Health Insurance,” &lt;i&gt;Journal of Health Economics&lt;/i&gt; 32, no. 5 (2013): 850–62, https://doi.org/10.1016/j.jhealeco.2013.04.004."},"properties":{"noteIndex":9},"schema":"https://github.com/citation-style-language/schema/raw/master/csl-citation.json"}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George Loewenstein et al., “Consumers’ Misunderstanding of Health Insurance,” </w:t>
      </w:r>
      <w:r w:rsidRPr="00EA758A">
        <w:rPr>
          <w:rFonts w:ascii="Garamond" w:hAnsi="Garamond"/>
          <w:i/>
          <w:noProof/>
        </w:rPr>
        <w:t>Journal of Health Economics</w:t>
      </w:r>
      <w:r w:rsidRPr="00EA758A">
        <w:rPr>
          <w:rFonts w:ascii="Garamond" w:hAnsi="Garamond"/>
          <w:noProof/>
        </w:rPr>
        <w:t xml:space="preserve"> 32, no. 5 (2013): 850–62, https://doi.org/10.1016/j.jhealeco.2013.04.004.</w:t>
      </w:r>
      <w:r w:rsidRPr="00EA758A">
        <w:rPr>
          <w:rFonts w:ascii="Garamond" w:hAnsi="Garamond"/>
        </w:rPr>
        <w:fldChar w:fldCharType="end"/>
      </w:r>
    </w:p>
  </w:footnote>
  <w:footnote w:id="10">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{"citationItems":[{"id":"ITEM-1","itemData":{"author":[{"dropping-particle":"","family":"Poan","given":"Roy","non-dropping-particle":"","parse-names":false,"suffix":""},{"dropping-particle":"","family":"Merizka","given":"Valencya Engla","non-dropping-particle":"","parse-names":false,"suffix":""},{"dropping-particle":"","family":"Komalasari","given":"Farida","non-dropping-particle":"","parse-names":false,"suffix":""}],"container-title":"Journal of Islamic Marketing","id":"ITEM-1","issued":{"date-parts":[["2021"]]},"title":"The importance of trust factor in the intentions to purchase Islamic insurance (takaful) in Indonesia","type":"article-journal"},"uris":["http://www.mendeley.com/documents/?uuid=5c73299d-cfaa-44e1-a73d-539458824fc2"]}],"mendeley":{"formattedCitation":"Roy Poan, Valencya Engla Merizka, and Farida Komalasari, “The Importance of Trust Factor in the Intentions to Purchase Islamic Insurance (Takaful) in Indonesia,” &lt;i&gt;Journal of Islamic Marketing&lt;/i&gt;, 2021.","plainTextFormattedCitation":"Roy Poan, Valencya Engla Merizka, and Farida Komalasari, “The Importance of Trust Factor in the Intentions to Purchase Islamic Insurance (Takaful) in Indonesia,” Journal of Islamic Marketing, 2021.","previouslyFormattedCitation":"Roy Poan, Valencya Engla Merizka, and Farida Komalasari, “The Importance of Trust Factor in the Intentions to Purchase Islamic Insurance (Takaful) in Indonesia,” &lt;i&gt;Journal of Islamic Marketing&lt;/i&gt;, 2021."},"properties":{"noteIndex":10},"schema":"https://github.com/citation-style-language/schema/raw/master/csl-citation.json"}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Roy Poan, Valencya Engla Merizka, and Farida Komalasari, “The Importance of Trust Factor in the Intentions to Purchase Islamic Insurance (Takaful) in Indonesia,” </w:t>
      </w:r>
      <w:r w:rsidRPr="00EA758A">
        <w:rPr>
          <w:rFonts w:ascii="Garamond" w:hAnsi="Garamond"/>
          <w:i/>
          <w:noProof/>
        </w:rPr>
        <w:t>Journal of Islamic Marketing</w:t>
      </w:r>
      <w:r w:rsidRPr="00EA758A">
        <w:rPr>
          <w:rFonts w:ascii="Garamond" w:hAnsi="Garamond"/>
          <w:noProof/>
        </w:rPr>
        <w:t>, 2021.</w:t>
      </w:r>
      <w:r w:rsidRPr="00EA758A">
        <w:rPr>
          <w:rFonts w:ascii="Garamond" w:hAnsi="Garamond"/>
        </w:rPr>
        <w:fldChar w:fldCharType="end"/>
      </w:r>
    </w:p>
  </w:footnote>
  <w:footnote w:id="11">
    <w:p w:rsidR="00987639" w:rsidRPr="00EA758A" w:rsidRDefault="00987639" w:rsidP="00EA758A">
      <w:pPr>
        <w:pStyle w:val="FootnoteText"/>
        <w:tabs>
          <w:tab w:val="left" w:pos="0"/>
          <w:tab w:val="left" w:pos="284"/>
        </w:tabs>
        <w:ind w:left="284" w:hanging="284"/>
        <w:jc w:val="both"/>
        <w:rPr>
          <w:rFonts w:ascii="Garamond" w:hAnsi="Garamond"/>
          <w:lang w:val="en-GB"/>
        </w:rPr>
      </w:pPr>
      <w:r w:rsidRPr="00EA758A">
        <w:rPr>
          <w:rStyle w:val="FootnoteReference"/>
          <w:rFonts w:ascii="Garamond" w:hAnsi="Garamond"/>
        </w:rPr>
        <w:footnoteRef/>
      </w:r>
      <w:r w:rsidR="00DC689F">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{"citationItems":[{"id":"ITEM-1","itemData":{"DOI":"10.20473/aijief.v3i1.19411","ISSN":"2579-9169","abstract":"This study aims to determine the level of customer understanding of Islamic insurance products and reasons for customers to buy or become consumers of Islamic insurance. This research uses a quantitative approach with descriptive statistical analysis. This research took at PT. Solo Family Takaful of 100 respondents. The data collection method uses a questionnaire distributed to customers, and the data processing uses the Guttman Scale Cross-Sectional model (traditional) with the help of Microsoft Excel 2010 and SPSS 24. The results of this study indicate that the level of understanding and reasons for customers in choosing sharia insurance products are classified as high due to factors consumer interest and knowledge factors.","author":[{"dropping-particle":"","family":"Rusita Purnamasari","given":"Delvia","non-dropping-particle":"","parse-names":false,"suffix":""},{"dropping-particle":"","family":"Alam","given":"Azhar","non-dropping-particle":"","parse-names":false,"suffix":""}],"container-title":"Airlangga International Journal of Islamic Economics and Finance","id":"ITEM-1","issue":"1","issued":{"date-parts":[["2020"]]},"page":"42","title":"Level of Understanding and Reasons Customers Choose Sharia Insurance Products","type":"article-journal","volume":"3"},"uris":["http://www.mendeley.com/documents/?uuid=075a5de5-1958-40c1-ad05-d32ddcf33643"]}],"mendeley":{"formattedCitation":"Rusita Purnamasari and Alam, “Level of Understanding and Reasons Customers Choose Sharia Insurance Products.”","plainTextFormattedCitation":"Rusita Purnamasari and Alam, “Level of Understanding and Reasons Customers Choose Sharia Insurance Products.”","previouslyFormattedCitation":"Rusita Purnamasari and Alam, “Level of Understanding and Reasons Customers Choose Sharia Insurance Products.”"},"properties":{"noteIndex":11},"schema":"https://github.com/citation-style-language/schema/raw/master/csl-citation.json"}</w:instrText>
      </w:r>
      <w:r w:rsidRPr="00EA758A">
        <w:rPr>
          <w:rFonts w:ascii="Garamond" w:hAnsi="Garamond"/>
        </w:rPr>
        <w:fldChar w:fldCharType="separate"/>
      </w:r>
      <w:r w:rsidRPr="00EA758A">
        <w:rPr>
          <w:rFonts w:ascii="Garamond" w:hAnsi="Garamond"/>
          <w:noProof/>
        </w:rPr>
        <w:t>Rusita Purnamasari and Alam, “Level of Understanding and Reasons Customers Choose Sharia Insurance Products.”</w:t>
      </w:r>
      <w:r w:rsidRPr="00EA758A">
        <w:rPr>
          <w:rFonts w:ascii="Garamond" w:hAnsi="Garamond"/>
        </w:rPr>
        <w:fldChar w:fldCharType="end"/>
      </w:r>
      <w:r w:rsidRPr="00EA758A">
        <w:rPr>
          <w:rFonts w:ascii="Garamond" w:hAnsi="Garamond"/>
        </w:rPr>
        <w:t xml:space="preserve"> </w:t>
      </w:r>
      <w:r w:rsidRPr="00EA758A">
        <w:rPr>
          <w:rFonts w:ascii="Garamond" w:hAnsi="Garamond"/>
          <w:i/>
          <w:iCs/>
        </w:rPr>
        <w:t xml:space="preserve">Airlangga International Journal of Islamic Economics and Finance, </w:t>
      </w:r>
      <w:r w:rsidRPr="00EA758A">
        <w:rPr>
          <w:rFonts w:ascii="Garamond" w:hAnsi="Garamond"/>
        </w:rPr>
        <w:t>Vol. 3, Issue 1 (2020), 42</w:t>
      </w:r>
    </w:p>
  </w:footnote>
  <w:footnote w:id="12">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{"citationItems":[{"id":"ITEM-1","itemData":{"DOI":"10.18196/jai.190297","ISSN":"26223899","abstract":"Objective of the study was to explore how much Pekalongan residents understand and need Syaria insurance in Indonesia. The data collection methods were questionnaire and interview. The questionnaires were distributed randomly to 136 samples/ respondents. The interview was conducted to 10 informants in order to elaborate meaning, respondent’s understanding need and response on syaria insurance. The data analysis method was descriptive-qualitative analysis. The findings showed that most respondents had good level of understanding on syaria insurance. Some respondents stated that insurance was “important” while some others stated that it was “very important.” The respondents considered syaria insurance as investment, financial solution, financial security, business requirement, pension plan and future investment. However, the respondents had very basic understanding on syaria insurance. They associated syaria insurance with Islamic-based insurance and non usury (excessive interest). It implied that there is a market for syaria insurance in this city. It is expected that government and companies support development of syaria insurance in Indonesia.","author":[{"dropping-particle":"","family":"Ismanto","given":"Kuat","non-dropping-particle":"","parse-names":false,"suffix":""}],"container-title":"Journal of Accounting and Investment","id":"ITEM-1","issue":"2","issued":{"date-parts":[["2018"]]},"title":"Understanding on and Need for Syaria Insurance: A Case Study in Pekalongan, Central Java, Indonesia","type":"article-journal","volume":"19"},"uris":["http://www.mendeley.com/documents/?uuid=1bf62940-048f-4256-ab5d-300bbf308d5a"]}],"mendeley":{"formattedCitation":"Ismanto, “Understanding on and Need for Syaria Insurance: A Case Study in Pekalongan, Central Java, Indonesia.”","plainTextFormattedCitation":"Ismanto, “Understanding on and Need for Syaria Insurance: A Case Study in Pekalongan, Central Java, Indonesia.”","previouslyFormattedCitation":"Ismanto, “Understanding on and Need for Syaria Insurance: A Case Study in Pekalongan, Central Java, Indonesia.”"},"properties":{"noteIndex":12},"schema":"https://github.com/citation-style-language/schema/raw/master/csl-citation.json"}</w:instrText>
      </w:r>
      <w:r w:rsidRPr="00EA758A">
        <w:rPr>
          <w:rFonts w:ascii="Garamond" w:hAnsi="Garamond"/>
        </w:rPr>
        <w:fldChar w:fldCharType="separate"/>
      </w:r>
      <w:r w:rsidRPr="00EA758A">
        <w:rPr>
          <w:rFonts w:ascii="Garamond" w:hAnsi="Garamond"/>
          <w:noProof/>
        </w:rPr>
        <w:t>Ismanto, “Understanding on and Need for Syaria Insurance: A Case Study in Pekalongan, Central Java, Indonesia.”</w:t>
      </w:r>
      <w:r w:rsidRPr="00EA758A">
        <w:rPr>
          <w:rFonts w:ascii="Garamond" w:hAnsi="Garamond"/>
        </w:rPr>
        <w:fldChar w:fldCharType="end"/>
      </w:r>
    </w:p>
  </w:footnote>
  <w:footnote w:id="13">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{"citationItems":[{"id":"ITEM-1","itemData":{"author":[{"dropping-particle":"","family":"Poan","given":"Roy","non-dropping-particle":"","parse-names":false,"suffix":""},{"dropping-particle":"","family":"Merizka","given":"Valencya Engla","non-dropping-particle":"","parse-names":false,"suffix":""},{"dropping-particle":"","family":"Komalasari","given":"Farida","non-dropping-particle":"","parse-names":false,"suffix":""}],"container-title":"Journal of Islamic Marketing","id":"ITEM-1","issued":{"date-parts":[["2021"]]},"title":"The importance of trust factor in the intentions to purchase Islamic insurance (takaful) in Indonesia","type":"article-journal"},"uris":["http://www.mendeley.com/documents/?uuid=5c73299d-cfaa-44e1-a73d-539458824fc2"]}],"mendeley":{"formattedCitation":"Poan, Merizka, and Komalasari, “The Importance of Trust Factor in the Intentions to Purchase Islamic Insurance (Takaful) in Indonesia.”","plainTextFormattedCitation":"Poan, Merizka, and Komalasari, “The Importance of Trust Factor in the Intentions to Purchase Islamic Insurance (Takaful) in Indonesia.”","previouslyFormattedCitation":"Poan, Merizka, and Komalasari, “The Importance of Trust Factor in the Intentions to Purchase Islamic Insurance (Takaful) in Indonesia.”"},"properties":{"noteIndex":13},"schema":"https://github.com/citation-style-language/schema/raw/master/csl-citation.json"}</w:instrText>
      </w:r>
      <w:r w:rsidRPr="00EA758A">
        <w:rPr>
          <w:rFonts w:ascii="Garamond" w:hAnsi="Garamond"/>
        </w:rPr>
        <w:fldChar w:fldCharType="separate"/>
      </w:r>
      <w:r w:rsidRPr="00EA758A">
        <w:rPr>
          <w:rFonts w:ascii="Garamond" w:hAnsi="Garamond"/>
          <w:noProof/>
        </w:rPr>
        <w:t>Poan, Merizka, and Komalasari, “The Importance of Trust Factor in the Intentions to Purchase Islamic Insurance (Takaful) in Indonesia.”</w:t>
      </w:r>
      <w:r w:rsidRPr="00EA758A">
        <w:rPr>
          <w:rFonts w:ascii="Garamond" w:hAnsi="Garamond"/>
        </w:rPr>
        <w:fldChar w:fldCharType="end"/>
      </w:r>
    </w:p>
  </w:footnote>
  <w:footnote w:id="14">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rPr>
        <w:t xml:space="preserve"> </w:t>
      </w:r>
      <w:r w:rsidRPr="00EA758A">
        <w:rPr>
          <w:rStyle w:val="w8qarf"/>
          <w:rFonts w:ascii="Garamond" w:hAnsi="Garamond"/>
          <w:b/>
          <w:bCs/>
          <w:color w:val="202124"/>
          <w:sz w:val="21"/>
          <w:szCs w:val="21"/>
          <w:shd w:val="clear" w:color="auto" w:fill="FFFFFF"/>
        </w:rPr>
        <w:t> </w:t>
      </w:r>
      <w:r w:rsidR="00DC689F">
        <w:rPr>
          <w:rStyle w:val="w8qarf"/>
          <w:rFonts w:ascii="Garamond" w:hAnsi="Garamond"/>
          <w:b/>
          <w:bCs/>
          <w:color w:val="202124"/>
          <w:sz w:val="21"/>
          <w:szCs w:val="21"/>
          <w:shd w:val="clear" w:color="auto" w:fill="FFFFFF"/>
        </w:rPr>
        <w:tab/>
      </w:r>
      <w:hyperlink r:id="rId2" w:history="1">
        <w:r w:rsidRPr="00EA758A">
          <w:rPr>
            <w:rFonts w:ascii="Garamond" w:hAnsi="Garamond"/>
          </w:rPr>
          <w:t>Angus Stevenson</w:t>
        </w:r>
      </w:hyperlink>
      <w:r w:rsidRPr="00EA758A">
        <w:rPr>
          <w:rFonts w:ascii="Garamond" w:hAnsi="Garamond"/>
        </w:rPr>
        <w:t xml:space="preserve"> and </w:t>
      </w:r>
      <w:hyperlink r:id="rId3" w:history="1">
        <w:r w:rsidRPr="00EA758A">
          <w:rPr>
            <w:rFonts w:ascii="Garamond" w:hAnsi="Garamond"/>
          </w:rPr>
          <w:t>Maurice Waite</w:t>
        </w:r>
      </w:hyperlink>
      <w:r w:rsidRPr="00EA758A">
        <w:rPr>
          <w:rFonts w:ascii="Garamond" w:hAnsi="Garamond"/>
        </w:rPr>
        <w:t xml:space="preserve">, </w:t>
      </w:r>
      <w:r w:rsidRPr="00EA758A">
        <w:rPr>
          <w:rFonts w:ascii="Garamond" w:hAnsi="Garamond"/>
          <w:i/>
          <w:iCs/>
        </w:rPr>
        <w:t>Concise Oxford English Dictionary</w:t>
      </w:r>
      <w:r w:rsidRPr="00EA758A">
        <w:rPr>
          <w:rFonts w:ascii="Garamond" w:hAnsi="Garamond"/>
        </w:rPr>
        <w:t>, (</w:t>
      </w:r>
      <w:hyperlink r:id="rId4" w:history="1">
        <w:r w:rsidRPr="00EA758A">
          <w:rPr>
            <w:rFonts w:ascii="Garamond" w:hAnsi="Garamond"/>
          </w:rPr>
          <w:t>Oxford University Press</w:t>
        </w:r>
      </w:hyperlink>
      <w:r w:rsidRPr="00EA758A">
        <w:rPr>
          <w:rFonts w:ascii="Garamond" w:hAnsi="Garamond"/>
        </w:rPr>
        <w:t>, 2011)</w:t>
      </w:r>
      <w:r w:rsidRPr="00EA758A">
        <w:rPr>
          <w:rFonts w:ascii="Garamond" w:hAnsi="Garamond"/>
          <w:lang w:val="id-ID"/>
        </w:rPr>
        <w:t xml:space="preserve">, </w:t>
      </w:r>
    </w:p>
  </w:footnote>
  <w:footnote w:id="15">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t xml:space="preserve">Carl Sagan, </w:t>
      </w:r>
      <w:r w:rsidRPr="00EA758A">
        <w:rPr>
          <w:rFonts w:ascii="Garamond" w:hAnsi="Garamond"/>
          <w:i/>
          <w:iCs/>
        </w:rPr>
        <w:t>Understanding and Decision-Making</w:t>
      </w:r>
      <w:r w:rsidRPr="00EA758A">
        <w:rPr>
          <w:rFonts w:ascii="Garamond" w:hAnsi="Garamond"/>
        </w:rPr>
        <w:t>,  (2nd Edition) (United Kingdom: Joint Doctrine Publication, 2016), p. 14</w:t>
      </w:r>
    </w:p>
  </w:footnote>
  <w:footnote w:id="16">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fldChar w:fldCharType="begin" w:fldLock="1"/>
      </w:r>
      <w:r w:rsidRPr="00EA758A">
        <w:rPr>
          <w:rFonts w:ascii="Garamond" w:hAnsi="Garamond"/>
        </w:rPr>
        <w:instrText>ADDIN CSL_CITATION {"citationItems":[{"id":"ITEM-1","itemData":{"DOI":"10.4324/9780080551739-10","abstract":"The purpose of Joint Doctrine Publication (JDP) 04, Understanding and Decision-making is to provide context and guidance on understanding and decision-making for operations. It discusses how and why developing and maintaining understanding contributes to success and its contribution to effective decision-making.","author":[{"dropping-particle":"","family":"Oakland","given":"John S","non-dropping-particle":"","parse-names":false,"suffix":""}],"container-title":"Statistical Process Control","id":"ITEM-1","issued":{"date-parts":[["2020"]]},"number-of-pages":"77-96","title":"Variation: understanding and decision making","type":"book"},"uris":["http://www.mendeley.com/documents/?uuid=7be07739-fa58-4398-b8ad-9887d65061f3"]}],"mendeley":{"formattedCitation":"John S Oakland, &lt;i&gt;Variation: Understanding and Decision Making&lt;/i&gt;, &lt;i&gt;Statistical Process Control&lt;/i&gt;, 2020, https://doi.org/10.4324/9780080551739-10.","plainTextFormattedCitation":"John S Oakland, Variation: Understanding and Decision Making, Statistical Process Control, 2020, https://doi.org/10.4324/9780080551739-10.","previouslyFormattedCitation":"John S Oakland, &lt;i&gt;Variation: Understanding and Decision Making&lt;/i&gt;, &lt;i&gt;Statistical Process Control&lt;/i&gt;, 2020, https://doi.org/10.4324/9780080551739-10."},"properties":{"noteIndex":16},"schema":"https://github.com/citation-style-language/schema/raw/master/csl-citation.json"}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John S Oakland, </w:t>
      </w:r>
      <w:r w:rsidRPr="00EA758A">
        <w:rPr>
          <w:rFonts w:ascii="Garamond" w:hAnsi="Garamond"/>
          <w:i/>
          <w:noProof/>
        </w:rPr>
        <w:t>Variation: Understanding and Decision Making</w:t>
      </w:r>
      <w:r w:rsidRPr="00EA758A">
        <w:rPr>
          <w:rFonts w:ascii="Garamond" w:hAnsi="Garamond"/>
          <w:noProof/>
        </w:rPr>
        <w:t xml:space="preserve">, </w:t>
      </w:r>
      <w:r w:rsidRPr="00EA758A">
        <w:rPr>
          <w:rFonts w:ascii="Garamond" w:hAnsi="Garamond"/>
          <w:i/>
          <w:noProof/>
        </w:rPr>
        <w:t>Statistical Process Control</w:t>
      </w:r>
      <w:r w:rsidRPr="00EA758A">
        <w:rPr>
          <w:rFonts w:ascii="Garamond" w:hAnsi="Garamond"/>
          <w:noProof/>
        </w:rPr>
        <w:t>, 2020, https://doi.org/10.4324/9780080551739-10.</w:t>
      </w:r>
      <w:r w:rsidRPr="00EA758A">
        <w:rPr>
          <w:rFonts w:ascii="Garamond" w:hAnsi="Garamond"/>
        </w:rPr>
        <w:fldChar w:fldCharType="end"/>
      </w:r>
    </w:p>
  </w:footnote>
  <w:footnote w:id="17">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lang w:val="id-ID"/>
        </w:rPr>
        <w:t xml:space="preserve">Ibn Mandhūr, </w:t>
      </w:r>
      <w:r w:rsidRPr="00EA758A">
        <w:rPr>
          <w:rFonts w:ascii="Garamond" w:hAnsi="Garamond"/>
          <w:i/>
          <w:iCs/>
          <w:lang w:val="id-ID"/>
        </w:rPr>
        <w:t>Lisânul al-Arabi</w:t>
      </w:r>
      <w:r w:rsidRPr="00EA758A">
        <w:rPr>
          <w:rFonts w:ascii="Garamond" w:hAnsi="Garamond"/>
          <w:lang w:val="id-ID"/>
        </w:rPr>
        <w:t xml:space="preserve">, Dâr al-Ma’ârif, </w:t>
      </w:r>
      <w:r w:rsidRPr="00EA758A">
        <w:rPr>
          <w:rFonts w:ascii="Garamond" w:hAnsi="Garamond"/>
          <w:rtl/>
          <w:lang w:val="id-ID"/>
        </w:rPr>
        <w:t>11</w:t>
      </w:r>
      <w:r w:rsidRPr="00EA758A">
        <w:rPr>
          <w:rFonts w:ascii="Garamond" w:hAnsi="Garamond"/>
          <w:lang w:val="id-ID"/>
        </w:rPr>
        <w:t>/ 459</w:t>
      </w:r>
    </w:p>
  </w:footnote>
  <w:footnote w:id="18">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lang w:val="id-ID"/>
        </w:rPr>
        <w:t xml:space="preserve"> </w:t>
      </w:r>
      <w:r w:rsidRPr="00EA758A">
        <w:rPr>
          <w:rFonts w:ascii="Garamond" w:hAnsi="Garamond"/>
          <w:lang w:val="id-ID"/>
        </w:rPr>
        <w:tab/>
        <w:t xml:space="preserve">Marta Stoce Wiske, </w:t>
      </w:r>
      <w:r w:rsidRPr="00EA758A">
        <w:rPr>
          <w:rFonts w:ascii="Garamond" w:hAnsi="Garamond"/>
          <w:i/>
          <w:iCs/>
          <w:lang w:val="id-ID"/>
        </w:rPr>
        <w:t>Theaching  For Understandin</w:t>
      </w:r>
      <w:r w:rsidRPr="00EA758A">
        <w:rPr>
          <w:rFonts w:ascii="Garamond" w:hAnsi="Garamond"/>
          <w:lang w:val="id-ID"/>
        </w:rPr>
        <w:t>g, (San Fransico, Josse Bass, 1998),  40</w:t>
      </w:r>
    </w:p>
  </w:footnote>
  <w:footnote w:id="19">
    <w:p w:rsidR="00987639" w:rsidRPr="00EA758A" w:rsidRDefault="00987639" w:rsidP="00EA758A">
      <w:pPr>
        <w:pStyle w:val="FootnoteText"/>
        <w:tabs>
          <w:tab w:val="left" w:pos="284"/>
        </w:tabs>
        <w:ind w:left="284" w:hanging="284"/>
        <w:jc w:val="both"/>
        <w:rPr>
          <w:rFonts w:ascii="Garamond" w:hAnsi="Garamond"/>
          <w:rtl/>
          <w:lang w:val="id-ID"/>
        </w:rPr>
      </w:pPr>
      <w:r w:rsidRPr="00EA758A">
        <w:rPr>
          <w:rStyle w:val="FootnoteReference"/>
          <w:rFonts w:ascii="Garamond" w:hAnsi="Garamond"/>
        </w:rPr>
        <w:footnoteRef/>
      </w:r>
      <w:r w:rsidRPr="00EA758A">
        <w:rPr>
          <w:rFonts w:ascii="Garamond" w:hAnsi="Garamond"/>
          <w:lang w:val="id-ID"/>
        </w:rPr>
        <w:t xml:space="preserve"> </w:t>
      </w:r>
      <w:r w:rsidRPr="00EA758A">
        <w:rPr>
          <w:rFonts w:ascii="Garamond" w:hAnsi="Garamond"/>
          <w:lang w:val="id-ID"/>
        </w:rPr>
        <w:tab/>
        <w:t xml:space="preserve">Ibnu Taimiyyah, </w:t>
      </w:r>
      <w:r w:rsidRPr="00EA758A">
        <w:rPr>
          <w:rFonts w:ascii="Garamond" w:hAnsi="Garamond"/>
          <w:i/>
          <w:iCs/>
          <w:lang w:val="id-ID"/>
        </w:rPr>
        <w:t>Majmū’ al-Fatâwâ</w:t>
      </w:r>
      <w:r w:rsidRPr="00EA758A">
        <w:rPr>
          <w:rFonts w:ascii="Garamond" w:hAnsi="Garamond"/>
          <w:lang w:val="id-ID"/>
        </w:rPr>
        <w:t>,  28/ 80</w:t>
      </w:r>
    </w:p>
  </w:footnote>
  <w:footnote w:id="20">
    <w:p w:rsidR="00987639" w:rsidRPr="00DC689F" w:rsidRDefault="00987639" w:rsidP="00EA758A">
      <w:pPr>
        <w:pStyle w:val="FootnoteText"/>
        <w:tabs>
          <w:tab w:val="left" w:pos="284"/>
        </w:tabs>
        <w:ind w:left="284" w:hanging="284"/>
        <w:jc w:val="both"/>
        <w:rPr>
          <w:rFonts w:ascii="Garamond" w:hAnsi="Garamond"/>
        </w:rPr>
      </w:pPr>
      <w:r w:rsidRPr="00DC689F">
        <w:rPr>
          <w:rStyle w:val="FootnoteReference"/>
          <w:rFonts w:ascii="Garamond" w:hAnsi="Garamond"/>
        </w:rPr>
        <w:footnoteRef/>
      </w:r>
      <w:r w:rsidRPr="00DC689F">
        <w:rPr>
          <w:rFonts w:ascii="Garamond" w:hAnsi="Garamond"/>
        </w:rPr>
        <w:t xml:space="preserve"> </w:t>
      </w:r>
      <w:r w:rsidR="00DC689F" w:rsidRPr="00DC689F">
        <w:rPr>
          <w:rFonts w:ascii="Garamond" w:hAnsi="Garamond"/>
        </w:rPr>
        <w:tab/>
      </w:r>
      <w:r w:rsidRPr="00DC689F">
        <w:rPr>
          <w:rFonts w:ascii="Garamond" w:hAnsi="Garamond"/>
        </w:rPr>
        <w:fldChar w:fldCharType="begin" w:fldLock="1"/>
      </w:r>
      <w:r w:rsidRPr="00DC689F">
        <w:rPr>
          <w:rFonts w:ascii="Garamond" w:hAnsi="Garamond"/>
        </w:rPr>
        <w:instrText>ADDIN CSL_CITATION {"citationItems":[{"id":"ITEM-1","itemData":{"author":[{"dropping-particle":"","family":"Journal","given":"The","non-dropping-particle":"","parse-names":false,"suffix":""},{"dropping-particle":"","family":"Inquiry","given":"Business","non-dropping-particle":"","parse-names":false,"suffix":""},{"dropping-particle":"","family":"Issue","given":"Special","non-dropping-particle":"","parse-names":false,"suffix":""},{"dropping-particle":"","family":"Arabia","given":"Saudi","non-dropping-particle":"","parse-names":false,"suffix":""},{"dropping-particle":"","family":"Eshky","given":"Talal","non-dropping-particle":"","parse-names":false,"suffix":""},{"dropping-particle":"","family":"Arts","given":"Communication","non-dropping-particle":"","parse-names":false,"suffix":""},{"dropping-particle":"","family":"Arabia","given":"Saudi","non-dropping-particle":"","parse-names":false,"suffix":""}],"container-title":"The Journal of Business Inquiry","id":"ITEM-1","issue":"1","issued":{"date-parts":[["2014"]]},"page":"12-26","title":"Islam and Human Life: Beyond Ancient Needs","type":"article-journal","volume":"1"},"uris":["http://www.mendeley.com/documents/?uuid=3977f2b9-a66e-4fa5-8ae4-9b684dac571d"]}],"mendeley":{"formattedCitation":"The Journal et al., “Islam and Human Life: Beyond Ancient Needs,” &lt;i&gt;The Journal of Business Inquiry&lt;/i&gt; 1, no. 1 (2014): 12–26.","manualFormatting":"The Journal et al., “Islam and Human Life: Beyond Ancient Needs,” The Journal of Business Inquiry, Volume 10, No. 1 (2014): 12–26.","plainTextFormattedCitation":"The Journal et al., “Islam and Human Life: Beyond Ancient Needs,” The Journal of Business Inquiry 1, no. 1 (2014): 12–26.","previouslyFormattedCitation":"The Journal et al., “Islam and Human Life: Beyond Ancient Needs,” &lt;i&gt;The Journal of Business Inquiry&lt;/i&gt; 1, no. 1 (2014): 12–26."},"properties":{"noteIndex":20},"schema":"https://github.com/citation-style-language/schema/raw/master/csl-citation.json"}</w:instrText>
      </w:r>
      <w:r w:rsidRPr="00DC689F">
        <w:rPr>
          <w:rFonts w:ascii="Garamond" w:hAnsi="Garamond"/>
        </w:rPr>
        <w:fldChar w:fldCharType="separate"/>
      </w:r>
      <w:r w:rsidRPr="00DC689F">
        <w:rPr>
          <w:rFonts w:ascii="Garamond" w:hAnsi="Garamond"/>
          <w:noProof/>
        </w:rPr>
        <w:t>The Journal et al., “Islam and Human Life: Beyond Ancient Needs,” The Journal of Business Inquiry, Volume 10, No. 1 (2014): 12–26.</w:t>
      </w:r>
      <w:r w:rsidRPr="00DC689F">
        <w:rPr>
          <w:rFonts w:ascii="Garamond" w:hAnsi="Garamond"/>
        </w:rPr>
        <w:fldChar w:fldCharType="end"/>
      </w:r>
    </w:p>
  </w:footnote>
  <w:footnote w:id="21">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{"citationItems":[{"id":"ITEM-1","itemData":{"ISBN":"9960340112","abstract":"The book provides information on the evidence for the truth of Islam, some benefits of Islam, and general information on Islam.","author":[{"dropping-particle":"","family":"Darussalam Houston","given":"","non-dropping-particle":"","parse-names":false,"suffix":""}],"container-title":"Darussalam Houston","id":"ITEM-1","issued":{"date-parts":[["2008"]]},"number-of-pages":"80","title":"A Brief Illustrated Guide to Understanding Islam","type":"book","volume":"2"},"uris":["http://www.mendeley.com/documents/?uuid=ace35726-b519-460a-8612-9c28ebebcccd"]}],"mendeley":{"formattedCitation":"Darussalam Houston, &lt;i&gt;A Brief Illustrated Guide to Understanding Islam&lt;/i&gt;, &lt;i&gt;Darussalam Houston&lt;/i&gt;, vol. 2, 2008, http://scholar.google.com/scholar?start=630&amp;q=memorizing+Al+Quran&amp;hl=en&amp;as_sdt=0,5#2.","plainTextFormattedCitation":"Darussalam Houston, A Brief Illustrated Guide to Understanding Islam, Darussalam Houston, vol. 2, 2008, http://scholar.google.com/scholar?start=630&amp;q=memorizing+Al+Quran&amp;hl=en&amp;as_sdt=0,5#2.","previouslyFormattedCitation":"Darussalam Houston, &lt;i&gt;A Brief Illustrated Guide to Understanding Islam&lt;/i&gt;, &lt;i&gt;Darussalam Houston&lt;/i&gt;, vol. 2, 2008, http://scholar.google.com/scholar?start=630&amp;q=memorizing+Al+Quran&amp;hl=en&amp;as_sdt=0,5#2."},"properties":{"noteIndex":21},"schema":"https://github.com/citation-style-language/schema/raw/master/csl-citation.json"}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Darussalam Houston, </w:t>
      </w:r>
      <w:r w:rsidRPr="00EA758A">
        <w:rPr>
          <w:rFonts w:ascii="Garamond" w:hAnsi="Garamond"/>
          <w:i/>
          <w:noProof/>
        </w:rPr>
        <w:t>A Brief Illustrated Guide to Understanding Islam</w:t>
      </w:r>
      <w:r w:rsidRPr="00EA758A">
        <w:rPr>
          <w:rFonts w:ascii="Garamond" w:hAnsi="Garamond"/>
          <w:noProof/>
        </w:rPr>
        <w:t xml:space="preserve">, </w:t>
      </w:r>
      <w:r w:rsidRPr="00EA758A">
        <w:rPr>
          <w:rFonts w:ascii="Garamond" w:hAnsi="Garamond"/>
          <w:i/>
          <w:noProof/>
        </w:rPr>
        <w:t>Darussalam Houston</w:t>
      </w:r>
      <w:r w:rsidRPr="00EA758A">
        <w:rPr>
          <w:rFonts w:ascii="Garamond" w:hAnsi="Garamond"/>
          <w:noProof/>
        </w:rPr>
        <w:t>, vol. 2, 2008, http://scholar.google.com/scholar?start=630&amp;q=memorizing+Al+Quran&amp;hl=en&amp;as_sdt=0,5#2.</w:t>
      </w:r>
      <w:r w:rsidRPr="00EA758A">
        <w:rPr>
          <w:rFonts w:ascii="Garamond" w:hAnsi="Garamond"/>
        </w:rPr>
        <w:fldChar w:fldCharType="end"/>
      </w:r>
    </w:p>
  </w:footnote>
  <w:footnote w:id="22">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t xml:space="preserve">Carl Sagan, </w:t>
      </w:r>
      <w:r w:rsidRPr="00EA758A">
        <w:rPr>
          <w:rFonts w:ascii="Garamond" w:hAnsi="Garamond"/>
          <w:i/>
          <w:iCs/>
        </w:rPr>
        <w:t>Understanding and Decision-Making</w:t>
      </w:r>
      <w:r w:rsidRPr="00EA758A">
        <w:rPr>
          <w:rFonts w:ascii="Garamond" w:hAnsi="Garamond"/>
        </w:rPr>
        <w:t>,  (2nd Edition) (United Kingdom: Joint Doctrine Publication, 2016), p. 9</w:t>
      </w:r>
    </w:p>
  </w:footnote>
  <w:footnote w:id="23">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t xml:space="preserve">Carl Sagan, </w:t>
      </w:r>
      <w:r w:rsidRPr="00EA758A">
        <w:rPr>
          <w:rFonts w:ascii="Garamond" w:hAnsi="Garamond"/>
          <w:i/>
          <w:iCs/>
        </w:rPr>
        <w:t>Understanding and Decision-Making</w:t>
      </w:r>
      <w:r w:rsidRPr="00EA758A">
        <w:rPr>
          <w:rFonts w:ascii="Garamond" w:hAnsi="Garamond"/>
        </w:rPr>
        <w:t>,   p. 10</w:t>
      </w:r>
    </w:p>
  </w:footnote>
  <w:footnote w:id="24">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{"citationItems":[{"id":"ITEM-1","itemData":{"DOI":"10.1037/0022-3514.80.6.918","ISBN":"9780375425998","ISSN":"00223514","PMID":"11414374","abstract":"Two studies investigated the impact of group norms for maintaining consensus versus norms for critical thought on group decisions in a modification of the biased sampling paradigm (G. Stasser &amp; W. Titus, 1985). Both studies showed that critical norms improved the quality of decisions, whereas consensus norms did not. This effect appeared to be mediated by the perceived value of shared and unshared information: Consensus norm groups valued shared information more highly than critical groups did, and valence was a good predictor of decision outcome. In addition, the 2nd study showed that the group norm manipulation has no impact on individual decisions, consistent with the assumption that this is a group effect. Results suggest that the content of group norms is an important factor influencing the quality of group decision-making processes and that the content of group norms may be related to the group's proneness for groupthink.","author":[{"dropping-particle":"","family":"Postmes","given":"Tom","non-dropping-particle":"","parse-names":false,"suffix":""},{"dropping-particle":"","family":"Spears","given":"Russell","non-dropping-particle":"","parse-names":false,"suffix":""},{"dropping-particle":"","family":"Cihangir","given":"Sezgin","non-dropping-particle":"","parse-names":false,"suffix":""}],"container-title":"Journal of Personality and Social Psychology","id":"ITEM-1","issue":"6","issued":{"date-parts":[["2001"]]},"page":"918-930","title":"Quality of decision making and group norms","type":"article-journal","volume":"80"},"uris":["http://www.mendeley.com/documents/?uuid=e7a164d5-863f-41fc-9cb6-4a49e294e5d6"]}],"mendeley":{"formattedCitation":"Tom Postmes, Russell Spears, and Sezgin Cihangir, “Quality of Decision Making and Group Norms,” &lt;i&gt;Journal of Personality and Social Psychology&lt;/i&gt; 80, no. 6 (2001): 918–30, https://doi.org/10.1037/0022-3514.80.6.918.","plainTextFormattedCitation":"Tom Postmes, Russell Spears, and Sezgin Cihangir, “Quality of Decision Making and Group Norms,” Journal of Personality and Social Psychology 80, no. 6 (2001): 918–30, https://doi.org/10.1037/0022-3514.80.6.918.","previouslyFormattedCitation":"Tom Postmes, Russell Spears, and Sezgin Cihangir, “Quality of Decision Making and Group Norms,” &lt;i&gt;Journal of Personality and Social Psychology&lt;/i&gt; 80, no. 6 (2001): 918–30, https://doi.org/10.1037/0022-3514.80.6.918."},"properties":{"noteIndex":24},"schema":"https://github.com/citation-style-language/schema/raw/master/csl-citation.json"}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Tom Postmes, Russell Spears, and Sezgin Cihangir, “Quality of Decision Making and Group Norms,” </w:t>
      </w:r>
      <w:r w:rsidRPr="00EA758A">
        <w:rPr>
          <w:rFonts w:ascii="Garamond" w:hAnsi="Garamond"/>
          <w:i/>
          <w:noProof/>
        </w:rPr>
        <w:t>Journal of Personality and Social Psychology</w:t>
      </w:r>
      <w:r w:rsidRPr="00EA758A">
        <w:rPr>
          <w:rFonts w:ascii="Garamond" w:hAnsi="Garamond"/>
          <w:noProof/>
        </w:rPr>
        <w:t xml:space="preserve"> 80, no. 6 (2001): 918–30, https://doi.org/10.1037/0022-3514.80.6.918.</w:t>
      </w:r>
      <w:r w:rsidRPr="00EA758A">
        <w:rPr>
          <w:rFonts w:ascii="Garamond" w:hAnsi="Garamond"/>
        </w:rPr>
        <w:fldChar w:fldCharType="end"/>
      </w:r>
    </w:p>
  </w:footnote>
  <w:footnote w:id="25">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{"citationItems":[{"id":"ITEM-1","itemData":{"abstract":"The purpose of this study is to review some of the criticisms of the Bank's interest system. Issues related to whether bank interest including usury or not usury has been debated and is still being discussed to date by Islamic economists. But now there has been criticism from Western or Conventional Economists of the negative impact of the Bank's interest in the economy. The method used is a qualitative method using descriptive analysis and literature review. From these experiences, the Islamic Monetary System which is free from interest can be a solution to realize prosperity and guarantee economic injustice. this system is expected not only to increase the money in circulation but how to be able to improve the performance of the real sector in accordance with Islamic sharia. Because basically in the Islamic monetary system, it is not only aimed at material welfare but aims at moral well-being. There are at least five values of Islamic economic instruments that can be integrated into the economic system, namely zakat, waqf, social security, the justice system in resolving economic disputes and sharia financial institutions Keyword : criticism, interest system, Islamic monetary. JEL : A10, E03, E42, P43, P51","author":[{"dropping-particle":"","family":"Mutaqin","given":"","non-dropping-particle":"","parse-names":false,"suffix":""},{"dropping-particle":"","family":"Agustina","given":"Diana","non-dropping-particle":"","parse-names":false,"suffix":""}],"container-title":"MPRA Paper No. 95006","id":"ITEM-1","issue":"95006","issued":{"date-parts":[["2019"]]},"title":"Criticism of the Interest System in Conventional Banking and Islamic Monetary Solutions","type":"article-journal"},"uris":["http://www.mendeley.com/documents/?uuid=1fabb798-ff4f-4d01-aa6a-831263e21353"]}],"mendeley":{"formattedCitation":"Mutaqin and Diana Agustina, “Criticism of the Interest System in Conventional Banking and Islamic Monetary Solutions,” &lt;i&gt;MPRA Paper No. 95006&lt;/i&gt;, no. 95006 (2019).","plainTextFormattedCitation":"Mutaqin and Diana Agustina, “Criticism of the Interest System in Conventional Banking and Islamic Monetary Solutions,” MPRA Paper No. 95006, no. 95006 (2019).","previouslyFormattedCitation":"Mutaqin and Diana Agustina, “Criticism of the Interest System in Conventional Banking and Islamic Monetary Solutions,” &lt;i&gt;MPRA Paper No. 95006&lt;/i&gt;, no. 95006 (2019)."},"properties":{"noteIndex":25},"schema":"https://github.com/citation-style-language/schema/raw/master/csl-citation.json"}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Mutaqin and Diana Agustina, “Criticism of the Interest System in Conventional Banking and Islamic Monetary Solutions,” </w:t>
      </w:r>
      <w:r w:rsidRPr="00EA758A">
        <w:rPr>
          <w:rFonts w:ascii="Garamond" w:hAnsi="Garamond"/>
          <w:i/>
          <w:noProof/>
        </w:rPr>
        <w:t>MPRA Paper No. 95006</w:t>
      </w:r>
      <w:r w:rsidRPr="00EA758A">
        <w:rPr>
          <w:rFonts w:ascii="Garamond" w:hAnsi="Garamond"/>
          <w:noProof/>
        </w:rPr>
        <w:t>, no. 95006 (2019).</w:t>
      </w:r>
      <w:r w:rsidRPr="00EA758A">
        <w:rPr>
          <w:rFonts w:ascii="Garamond" w:hAnsi="Garamond"/>
        </w:rPr>
        <w:fldChar w:fldCharType="end"/>
      </w:r>
    </w:p>
  </w:footnote>
  <w:footnote w:id="26">
    <w:p w:rsidR="00987639" w:rsidRPr="00EA758A" w:rsidRDefault="00987639" w:rsidP="00EA758A">
      <w:pPr>
        <w:pStyle w:val="FootnoteText"/>
        <w:tabs>
          <w:tab w:val="left" w:pos="284"/>
        </w:tabs>
        <w:ind w:left="284" w:hanging="284"/>
        <w:jc w:val="both"/>
        <w:rPr>
          <w:rFonts w:ascii="Garamond" w:hAnsi="Garamond"/>
          <w:noProof/>
        </w:rPr>
      </w:pPr>
      <w:r w:rsidRPr="00EA758A">
        <w:rPr>
          <w:rStyle w:val="FootnoteReference"/>
          <w:rFonts w:ascii="Garamond" w:hAnsi="Garamond"/>
        </w:rPr>
        <w:footnoteRef/>
      </w:r>
      <w:r w:rsidRPr="00EA758A">
        <w:rPr>
          <w:rFonts w:ascii="Garamond" w:hAnsi="Garamond"/>
        </w:rPr>
        <w:t xml:space="preserve"> </w:t>
      </w:r>
      <w:r w:rsidR="00030001">
        <w:rPr>
          <w:rFonts w:ascii="Garamond" w:hAnsi="Garamond"/>
        </w:rPr>
        <w:t xml:space="preserve"> </w:t>
      </w:r>
      <w:r w:rsidR="00030001" w:rsidRPr="00030001">
        <w:rPr>
          <w:rFonts w:ascii="Garamond" w:hAnsi="Garamond"/>
          <w:noProof/>
        </w:rPr>
        <w:t>Balasubramanian, Parimala Fathima, S. Mohan, “Thinking and Decision Making - An Overview”, Indian Journal of Applied Research, Vol. 3, Issue 8 (2013)</w:t>
      </w:r>
    </w:p>
  </w:footnote>
  <w:footnote w:id="27">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lang w:val="id-ID"/>
        </w:rPr>
        <w:t xml:space="preserve"> </w:t>
      </w:r>
      <w:r w:rsidRPr="00EA758A">
        <w:rPr>
          <w:rFonts w:ascii="Garamond" w:hAnsi="Garamond"/>
          <w:lang w:val="id-ID"/>
        </w:rPr>
        <w:tab/>
      </w:r>
      <w:r w:rsidRPr="00EA758A">
        <w:rPr>
          <w:rFonts w:ascii="Garamond" w:hAnsi="Garamond"/>
        </w:rPr>
        <w:fldChar w:fldCharType="begin" w:fldLock="1"/>
      </w:r>
      <w:r w:rsidRPr="00EA758A">
        <w:rPr>
          <w:rFonts w:ascii="Garamond" w:hAnsi="Garamond"/>
          <w:lang w:val="id-ID"/>
        </w:rPr>
        <w:instrText>ADDIN CSL_CITATION {"citationItems":[{"id":"ITEM-1","itemData":{"DOI":"10.1051/shsconf/20207601037","abstract":"The number of consumers can be used as a measuring tool in determining the company's sales success. Repurchase intention reflects the needs of consumers in repeat purchasing patterns. Factors that can increase repurchase intention are knowledge of products and consumer involvement with products. Product knowledge can increase repurchase intention because with the information about the quality of the product can trigger repeat purchases. Also, product involvement can increase repurchase intention because the consumers can evaluate the products directly and decide to purchase another product that has met their needs This study aims to measure the effect of product knowledge on repurchase intention and the effect of product involvement on repurchase intention on Tupperware products for Surabaya market. The research is using a quantitative approach, and take a sample from housewives who reside in Surabaya. Data are collected through questionnaires distributed to 150 people. Only 102 questionnaires are valid. Then, the data are processed using SPSS. The results show that product knowledge affects repurchase intention and product involvement significantly affects repurchase intention in Tupperware products among housewives in Surabaya, Indonesia.","author":[{"dropping-particle":"","family":"Elsya","given":"Priscillia","non-dropping-particle":"","parse-names":false,"suffix":""},{"dropping-particle":"","family":"Indriyani","given":"Ratih","non-dropping-particle":"","parse-names":false,"suffix":""}],"container-title":"SHS Web of Conferences","id":"ITEM-1","issued":{"date-parts":[["2020"]]},"page":"01037","title":"The Impact of Product Knowledge and Product Involvement to Repurchase Intention for Tupperware Products among Housewives in Surabaya, Indonesia","type":"article-journal","volume":"76"},"uris":["http://www.mendeley.com/documents/?uuid=9b24469b-2bb0-4a66-a5e2-25e0d5d79d94"]}],"mendeley":{"formattedCitation":"Priscillia Elsya and Ratih Indriyani, “The Impact of Product Knowledge and Product Involvement to Repurchase Intention for Tupperware Products among Housewives in Surabaya, Indonesia,” &lt;i&gt;SHS Web of Conferences&lt;/i&gt; 76 (2020): 01037, https://doi.org/10.1051/shsconf/20207601037.","plainTextFormattedCitation":"Priscillia Elsya and Ratih Indriyani, “The Impact of Product Knowledge and Product Involvement to Repurchase Intention for Tupperware Products among Housewives in Surabaya, Indonesia,” SHS Web of Conferences 76 (2020): 01037, https://doi.org/10.1051/shsconf/20207601037.","previouslyFormattedCitation":"Priscillia Elsya and Ratih Indriyani, “The Impact of Product Knowledge and Product Involvement to Repurchase Intention for Tupperware Products among Housewives in Surabaya, Indonesia,” &lt;i&gt;SHS Web of Conferences&lt;/i&gt; 76 (2020): 01037, https://doi.org/10.1051/shsconf/20207601037."},"properties":{"noteIndex":27},"schema":"https://github.com/citation-style-language/schema/raw/master/csl-citation.json"}</w:instrText>
      </w:r>
      <w:r w:rsidRPr="00EA758A">
        <w:rPr>
          <w:rFonts w:ascii="Garamond" w:hAnsi="Garamond"/>
        </w:rPr>
        <w:fldChar w:fldCharType="separate"/>
      </w:r>
      <w:r w:rsidRPr="00EA758A">
        <w:rPr>
          <w:rFonts w:ascii="Garamond" w:hAnsi="Garamond"/>
          <w:noProof/>
          <w:lang w:val="id-ID"/>
        </w:rPr>
        <w:t xml:space="preserve">Priscillia Elsya and Ratih Indriyani, “The Impact of Product Knowledge and Product Involvement to Repurchase Intention for Tupperware Products among Housewives in Surabaya, Indonesia,” </w:t>
      </w:r>
      <w:r w:rsidRPr="00EA758A">
        <w:rPr>
          <w:rFonts w:ascii="Garamond" w:hAnsi="Garamond"/>
          <w:i/>
          <w:noProof/>
          <w:lang w:val="id-ID"/>
        </w:rPr>
        <w:t>SHS Web of Conferences</w:t>
      </w:r>
      <w:r w:rsidRPr="00EA758A">
        <w:rPr>
          <w:rFonts w:ascii="Garamond" w:hAnsi="Garamond"/>
          <w:noProof/>
          <w:lang w:val="id-ID"/>
        </w:rPr>
        <w:t xml:space="preserve"> 76 (2020): 01037, https://doi.org/10.1051/shsconf/20207601037.</w:t>
      </w:r>
      <w:r w:rsidRPr="00EA758A">
        <w:rPr>
          <w:rFonts w:ascii="Garamond" w:hAnsi="Garamond"/>
        </w:rPr>
        <w:fldChar w:fldCharType="end"/>
      </w:r>
    </w:p>
  </w:footnote>
  <w:footnote w:id="28">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10.21645/intermedia.2020.67","ISSN":"2149-3669","author":[{"dropping-particle":"","family":"Aydin","given":"Duygu","non-dropping-particle":"","parse-names":false,"suffix":""},{"dropping-particle":"","family":"Durhan","given":"Buket","non-dropping-particle":"","parse-names":false,"suffix":""}],"container-title":"Intermedia International e-journal","id":"ITEM-1","issue":"12","issued":{"date-parts":[["2020"]]},"page":"70-83","title":"The Role of Product Communication in Consumer Trust","type":"article-journal","volume":"7"},"uris":["http://www.mendeley.com/documents/?uuid=74c1d516-807d-48c5-8600-760cb7fad34d"]}],"mendeley":{"formattedCitation":"Duygu Aydin and Buket Durhan, “The Role of Product Communication in Consumer Trust,” &lt;i&gt;Intermedia International E-Journal&lt;/i&gt; 7, no. 12 (2020): 70–83, https://doi.org/10.21645/intermedia.2020.67.","plainTextFormattedCitation":"Duygu Aydin and Buket Durhan, “The Role of Product Communication in Consumer Trust,” Intermedia International E-Journal 7, no. 12 (2020): 70–83, https://doi.org/10.21645/intermedia.2020.67.","previouslyFormattedCitation":"Duygu Aydin and Buket Durhan, “The Role of Product Communication in Consumer Trust,” &lt;i&gt;Intermedia International E-Journal&lt;/i&gt; 7, no. 12 (2020): 70–83, https://doi.org/10.21645/intermedia.2020.67."},"properties":{"noteIndex":28},"schema":"https://github.com/citation-style-language/schema/raw/master/csl-citation.json"}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Duygu Aydin and Buket Durhan, “The Role of Product Communication in Consumer Trust,” </w:t>
      </w:r>
      <w:r w:rsidRPr="00EA758A">
        <w:rPr>
          <w:rFonts w:ascii="Garamond" w:hAnsi="Garamond"/>
          <w:i/>
          <w:noProof/>
        </w:rPr>
        <w:t>Intermedia International E-Journal</w:t>
      </w:r>
      <w:r w:rsidRPr="00EA758A">
        <w:rPr>
          <w:rFonts w:ascii="Garamond" w:hAnsi="Garamond"/>
          <w:noProof/>
        </w:rPr>
        <w:t xml:space="preserve"> 7, no. 12 (2020): 70–83, https://doi.org/10.21645/intermedia.2020.67.</w:t>
      </w:r>
      <w:r w:rsidRPr="00EA758A">
        <w:rPr>
          <w:rFonts w:ascii="Garamond" w:hAnsi="Garamond"/>
        </w:rPr>
        <w:fldChar w:fldCharType="end"/>
      </w:r>
    </w:p>
  </w:footnote>
  <w:footnote w:id="29">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{"citationItems":[{"id":"ITEM-1","itemData":{"DOI":"10.1109/ICCGI.2010.17","ISBN":"9780769541815","abstract":"Trust is as significant a factor for successful online interactions as it is in offline communities. Trust is an important factor to predict the behaviour of an entity and as a criterion for an entity selection. Most trust studies focused on trust establishment without identifying and considering the main trust definition components and trust principles. This paper explores trust in the offline and the online world to extract important trust definition components and trust principles. The trust definition and principles are presented, which form a basis that should be followed to establish trust online. © 2010 IEEE.","author":[{"dropping-particle":"","family":"Aljazzaf","given":"Zainab M.","non-dropping-particle":"","parse-names":false,"suffix":""},{"dropping-particle":"","family":"Perry","given":"Mark","non-dropping-particle":"","parse-names":false,"suffix":""},{"dropping-particle":"","family":"Capretz","given":"Miriam A.M.","non-dropping-particle":"","parse-names":false,"suffix":""}],"container-title":"Proceedings - 5th International Multi-Conference on Computing in the Global Information Technology, ICCGI 2010","id":"ITEM-1","issue":"April 2014","issued":{"date-parts":[["2010"]]},"page":"163-168","title":"Online trust: Definition and principles","type":"article-journal"},"uris":["http://www.mendeley.com/documents/?uuid=9aa78fac-b5ba-44f2-94d4-0f293a88115b"]}],"mendeley":{"formattedCitation":"Zainab M. Aljazzaf, Mark Perry, and Miriam A.M. Capretz, “Online Trust: Definition and Principles,” &lt;i&gt;Proceedings - 5th International Multi-Conference on Computing in the Global Information Technology, ICCGI 2010&lt;/i&gt;, no. April 2014 (2010): 163–68, https://doi.org/10.1109/ICCGI.2010.17.","plainTextFormattedCitation":"Zainab M. Aljazzaf, Mark Perry, and Miriam A.M. Capretz, “Online Trust: Definition and Principles,” Proceedings - 5th International Multi-Conference on Computing in the Global Information Technology, ICCGI 2010, no. April 2014 (2010): 163–68, https://doi.org/10.1109/ICCGI.2010.17.","previouslyFormattedCitation":"Zainab M. Aljazzaf, Mark Perry, and Miriam A.M. Capretz, “Online Trust: Definition and Principles,” &lt;i&gt;Proceedings - 5th International Multi-Conference on Computing in the Global Information Technology, ICCGI 2010&lt;/i&gt;, no. April 2014 (2010): 163–68, https://doi.org/10.1109/ICCGI.2010.17."},"properties":{"noteIndex":29},"schema":"https://github.com/citation-style-language/schema/raw/master/csl-citation.json"}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Zainab M. Aljazzaf, Mark Perry, and Miriam A.M. Capretz, “Online Trust: Definition and Principles,” </w:t>
      </w:r>
      <w:r w:rsidRPr="00EA758A">
        <w:rPr>
          <w:rFonts w:ascii="Garamond" w:hAnsi="Garamond"/>
          <w:i/>
          <w:noProof/>
        </w:rPr>
        <w:t>Proceedings - 5th International Multi-Conference on Computing in the Global Information Technology, ICCGI 2010</w:t>
      </w:r>
      <w:r w:rsidRPr="00EA758A">
        <w:rPr>
          <w:rFonts w:ascii="Garamond" w:hAnsi="Garamond"/>
          <w:noProof/>
        </w:rPr>
        <w:t>, no. April 2014 (2010): 163–68, https://doi.org/10.1109/ICCGI.2010.17.</w:t>
      </w:r>
      <w:r w:rsidRPr="00EA758A">
        <w:rPr>
          <w:rFonts w:ascii="Garamond" w:hAnsi="Garamond"/>
        </w:rPr>
        <w:fldChar w:fldCharType="end"/>
      </w:r>
    </w:p>
  </w:footnote>
  <w:footnote w:id="30">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{"citationItems":[{"id":"ITEM-1","itemData":{"DOI":"10.19030/iber.v2i7.3825","ISSN":"1535-0754","abstract":"Trust, whether it is interpersonal trust, organizational trust, or trust in exchange relationships, has drawn great attention from both business practitioners and scholars in recent years. Numerous studies have been done, but the meaning of trust seems to remain elusive. Few constructs have been defined in so many different ways resulting in much confusion. This research attempts to improve our understanding of the nature of trust through reviewing existing business literature on this construct. By comparing and contrasting different perspectives of defining trust, the paper argues that trust is not a calculated probability of the behavior of the party to be trusted, and neither is it ones willingness to risk vulnerability. Emphasizing the social or relational nature of trust, this paper defines trust as a choice, a decision to place ones confidence in others. Cognitive expectation (the calculated probability) and behavioral intention (the willingness to be vulnerable) are conceived as an antecedent and a consequence of trust respectively. Defined as such, the construct embraces trust at both personal level and the institutional level, including trust in organizational or exchange relationships; it is expected that this endeavor should contribute to our understanding of trust in both marketing and management fields.","author":[{"dropping-particle":"","family":"Li","given":"Fuan","non-dropping-particle":"","parse-names":false,"suffix":""},{"dropping-particle":"","family":"Betts","given":"Stephen C.","non-dropping-particle":"","parse-names":false,"suffix":""}],"container-title":"International Business &amp; Economics Research Journal (IBER)","id":"ITEM-1","issue":"7","issued":{"date-parts":[["2011"]]},"page":"103-108","title":"Trust: What It Is And What It Is Not","type":"article-journal","volume":"2"},"uris":["http://www.mendeley.com/documents/?uuid=01c2e1fb-1252-47cd-aa3e-2ca07cfd0432"]}],"mendeley":{"formattedCitation":"Fuan Li and Stephen C. Betts, “Trust: What It Is And What It Is Not,” &lt;i&gt;International Business &amp; Economics Research Journal (IBER)&lt;/i&gt; 2, no. 7 (2011): 103–8, https://doi.org/10.19030/iber.v2i7.3825.","plainTextFormattedCitation":"Fuan Li and Stephen C. Betts, “Trust: What It Is And What It Is Not,” International Business &amp; Economics Research Journal (IBER) 2, no. 7 (2011): 103–8, https://doi.org/10.19030/iber.v2i7.3825.","previouslyFormattedCitation":"Fuan Li and Stephen C. Betts, “Trust: What It Is And What It Is Not,” &lt;i&gt;International Business &amp; Economics Research Journal (IBER)&lt;/i&gt; 2, no. 7 (2011): 103–8, https://doi.org/10.19030/iber.v2i7.3825."},"properties":{"noteIndex":30},"schema":"https://github.com/citation-style-language/schema/raw/master/csl-citation.json"}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Fuan Li and Stephen C. Betts, “Trust: What It Is And What It Is Not,” </w:t>
      </w:r>
      <w:r w:rsidRPr="00EA758A">
        <w:rPr>
          <w:rFonts w:ascii="Garamond" w:hAnsi="Garamond"/>
          <w:i/>
          <w:noProof/>
        </w:rPr>
        <w:t>International Business &amp; Economics Research Journal (IBER)</w:t>
      </w:r>
      <w:r w:rsidRPr="00EA758A">
        <w:rPr>
          <w:rFonts w:ascii="Garamond" w:hAnsi="Garamond"/>
          <w:noProof/>
        </w:rPr>
        <w:t xml:space="preserve"> 2, no. 7 (2011): 103–8, https://doi.org/10.19030/iber.v2i7.3825.</w:t>
      </w:r>
      <w:r w:rsidRPr="00EA758A">
        <w:rPr>
          <w:rFonts w:ascii="Garamond" w:hAnsi="Garamond"/>
        </w:rPr>
        <w:fldChar w:fldCharType="end"/>
      </w:r>
    </w:p>
  </w:footnote>
  <w:footnote w:id="31">
    <w:p w:rsidR="00987639" w:rsidRPr="00EA758A" w:rsidRDefault="00987639" w:rsidP="00EA758A">
      <w:pPr>
        <w:pStyle w:val="FootnoteText"/>
        <w:tabs>
          <w:tab w:val="left" w:pos="284"/>
        </w:tabs>
        <w:ind w:left="284" w:hanging="284"/>
        <w:jc w:val="both"/>
        <w:rPr>
          <w:rFonts w:ascii="Garamond" w:hAnsi="Garamond"/>
          <w:lang w:val="id-I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{"citationItems":[{"id":"ITEM-1","itemData":{"DOI":"10.1093/sf/63.4.967","ISSN":"15347605","abstract":"Although trust is an underdeveloped concept in sociology, promising theoretical formulations are available in the recent work of Luhmann and Barber. This sociological version complements the psychological and attitudinal conceptualizations of experimental and survey researchers. Trust is seen to include both emotional and cognitive dimensions and to function as a deep assumption underwriting social order. Contemporary examples such as lying, family exchange, monetary attitudes, and litigation illustrate the centrality of trust as a sociological reality. © 1985, The University of North Carolina Press.","author":[{"dropping-particle":"","family":"Lewis","given":"J. David","non-dropping-particle":"","parse-names":false,"suffix":""},{"dropping-particle":"","family":"Weigert","given":"Andrew","non-dropping-particle":"","parse-names":false,"suffix":""}],"container-title":"Social Forces","id":"ITEM-1","issue":"4","issued":{"date-parts":[["1985"]]},"page":"967-985","title":"Trust as a social reality","type":"article-journal","volume":"63"},"uris":["http://www.mendeley.com/documents/?uuid=15f65b5d-8387-42f6-aca8-a1cdbe62094e"]}],"mendeley":{"formattedCitation":"J. David Lewis and Andrew Weigert, “Trust as a Social Reality,” &lt;i&gt;Social Forces&lt;/i&gt; 63, no. 4 (1985): 967–85, https://doi.org/10.1093/sf/63.4.967.","plainTextFormattedCitation":"J. David Lewis and Andrew Weigert, “Trust as a Social Reality,” Social Forces 63, no. 4 (1985): 967–85, https://doi.org/10.1093/sf/63.4.967.","previouslyFormattedCitation":"J. David Lewis and Andrew Weigert, “Trust as a Social Reality,” &lt;i&gt;Social Forces&lt;/i&gt; 63, no. 4 (1985): 967–85, https://doi.org/10.1093/sf/63.4.967."},"properties":{"noteIndex":31},"schema":"https://github.com/citation-style-language/schema/raw/master/csl-citation.json"}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J. David Lewis and Andrew Weigert, “Trust as a Social Reality,” </w:t>
      </w:r>
      <w:r w:rsidRPr="00EA758A">
        <w:rPr>
          <w:rFonts w:ascii="Garamond" w:hAnsi="Garamond"/>
          <w:i/>
          <w:noProof/>
        </w:rPr>
        <w:t>Social Forces</w:t>
      </w:r>
      <w:r w:rsidRPr="00EA758A">
        <w:rPr>
          <w:rFonts w:ascii="Garamond" w:hAnsi="Garamond"/>
          <w:noProof/>
        </w:rPr>
        <w:t xml:space="preserve"> 63, no. 4 (1985): 967–85, https://doi.org/10.1093/sf/63.4.967.</w:t>
      </w:r>
      <w:r w:rsidRPr="00EA758A">
        <w:rPr>
          <w:rFonts w:ascii="Garamond" w:hAnsi="Garamond"/>
        </w:rPr>
        <w:fldChar w:fldCharType="end"/>
      </w:r>
    </w:p>
  </w:footnote>
  <w:footnote w:id="32">
    <w:p w:rsidR="00987639" w:rsidRPr="00EA758A" w:rsidRDefault="00987639" w:rsidP="00EA758A">
      <w:pPr>
        <w:pStyle w:val="FootnoteText"/>
        <w:tabs>
          <w:tab w:val="left" w:pos="284"/>
        </w:tabs>
        <w:ind w:left="284" w:hanging="284"/>
        <w:jc w:val="both"/>
        <w:rPr>
          <w:rFonts w:ascii="Garamond" w:hAnsi="Garamond"/>
          <w:lang w:val="en-GB"/>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{"citationItems":[{"id":"ITEM-1","itemData":{"DOI":"10.1177/0007650316647950","ISSN":"15524205","abstract":"Public trust in business, defined as the degree to which the public—meaning society at large—trusts business in general, is largely understudied. This article suggests four domains of existing trust research from which scholars of public trust in business can draw. The authors then propose four main hypotheses, which aim to predict the determinants of public trust, and test these hypotheses using a factorial vignette methodology. These results will provide scholars with more direction as this article is, to the authors’ knowledge, one of the first empirical studies of public trust. Furthermore, the study will enable those companies interested in increasing public trust to understand better respective determinants of public trust.","author":[{"dropping-particle":"","family":"Pirson","given":"Michael","non-dropping-particle":"","parse-names":false,"suffix":""},{"dropping-particle":"","family":"Martin","given":"Kirsten","non-dropping-particle":"","parse-names":false,"suffix":""},{"dropping-particle":"","family":"Parmar","given":"Bidhan","non-dropping-particle":"","parse-names":false,"suffix":""}],"container-title":"Business and Society","id":"ITEM-1","issue":"1","issued":{"date-parts":[["2019"]]},"page":"132-166","title":"Public Trust in Business and Its Determinants","type":"article-journal","volume":"58"},"uris":["http://www.mendeley.com/documents/?uuid=6fe99c2e-d128-4e35-b88d-b049d79c05eb"]}],"mendeley":{"formattedCitation":"Michael Pirson, Kirsten Martin, and Bidhan Parmar, “Public Trust in Business and Its Determinants,” &lt;i&gt;Business and Society&lt;/i&gt; 58, no. 1 (2019): 132–66, https://doi.org/10.1177/0007650316647950.","plainTextFormattedCitation":"Michael Pirson, Kirsten Martin, and Bidhan Parmar, “Public Trust in Business and Its Determinants,” Business and Society 58, no. 1 (2019): 132–66, https://doi.org/10.1177/0007650316647950.","previouslyFormattedCitation":"Michael Pirson, Kirsten Martin, and Bidhan Parmar, “Public Trust in Business and Its Determinants,” &lt;i&gt;Business and Society&lt;/i&gt; 58, no. 1 (2019): 132–66, https://doi.org/10.1177/0007650316647950."},"properties":{"noteIndex":32},"schema":"https://github.com/citation-style-language/schema/raw/master/csl-citation.json"}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Michael Pirson, Kirsten Martin, and Bidhan Parmar, “Public Trust in Business and Its Determinants,” </w:t>
      </w:r>
      <w:r w:rsidRPr="00EA758A">
        <w:rPr>
          <w:rFonts w:ascii="Garamond" w:hAnsi="Garamond"/>
          <w:i/>
          <w:noProof/>
        </w:rPr>
        <w:t>Business and Society</w:t>
      </w:r>
      <w:r w:rsidRPr="00EA758A">
        <w:rPr>
          <w:rFonts w:ascii="Garamond" w:hAnsi="Garamond"/>
          <w:noProof/>
        </w:rPr>
        <w:t xml:space="preserve"> 58, no. 1 (2019): 132–66, https://doi.org/10.1177/0007650316647950.</w:t>
      </w:r>
      <w:r w:rsidRPr="00EA758A">
        <w:rPr>
          <w:rFonts w:ascii="Garamond" w:hAnsi="Garamond"/>
        </w:rPr>
        <w:fldChar w:fldCharType="end"/>
      </w:r>
    </w:p>
  </w:footnote>
  <w:footnote w:id="33">
    <w:p w:rsidR="00987639" w:rsidRPr="00EA758A" w:rsidRDefault="00987639" w:rsidP="00EA758A">
      <w:pPr>
        <w:pStyle w:val="FootnoteText"/>
        <w:tabs>
          <w:tab w:val="left" w:pos="284"/>
        </w:tabs>
        <w:ind w:left="284" w:hanging="284"/>
        <w:jc w:val="both"/>
        <w:rPr>
          <w:rFonts w:ascii="Garamond" w:hAnsi="Garamond"/>
          <w:lang w:val="en-GB"/>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{"citationItems":[{"id":"ITEM-1","itemData":{"DOI":"10.1108/AJAR-11-2020-0112","ISSN":"24434175","abstract":"Purpose: The purpose of this paper is to examine the influences of Shariah governance (SG) mechanisms on Islamic banks' performance and Shariah compliance quality in the context of Bangladesh. Design/methodology/approach: A semi-structured personal interview tactic was applied to accomplish the research objectives. The data were collected from the regulators, Shariah supervisory boards, Shariah department executives and Shariah experts from the Central Bank (Bangladesh Bank) and Islamic banks in Bangladesh. Findings: The study discovers that the quality of the Board of Directors (BODs), Shariah Supervisory Board (SSB), management and Shariah executives have both positive and negative influences on the Shariah compliance quality, image, goodwill and performance of Islamic banks' in Bangladesh. The compositions, formations and quality of SSB and Shariah officers positively influence the Islamic banks' fatwas, Shariah decisions, compliance quality and firm performance. The study also finds that prevailing banking pressure, current political situation, the willingness of BOD and management and social limitations impact Islamic banks' performance, Shariah compliance quality, image and goodwill. Research limitations/implications: Based on our findings, if the regulators, BODs and Islamic banks can manage effective and efficient executives, it will create a positive impact on Islamic banks' performance, image, goodwill and quality compliance. As the prevailing banking pressure, current political situation and social limitations hinder the functions and employment system of the Islamic banks as well as result the Islamic banks' image, performance, Shariah implementations and compliance. Thus, the theorist needs to consider these mechanisms in extending the agency, stakeholder and resource dependence theories. Originality/value: This research extends the literature concerning the influences of Islamic banks' SG mechanisms in Bangladesh. The study also argued not only the efficient and effective mechanisms but also the prevailing banking pressure, current political situation and social limitations impact on Islamic banks' performance and Shariah compliance quality.","author":[{"dropping-particle":"","family":"Alam","given":"Md Kausar","non-dropping-particle":"","parse-names":false,"suffix":""},{"dropping-particle":"","family":"Rahman","given":"Mohammad Mizanur","non-dropping-particle":"","parse-names":false,"suffix":""},{"dropping-particle":"","family":"Runy","given":"Mahfuza Kamal","non-dropping-particle":"","parse-names":false,"suffix":""},{"dropping-particle":"","family":"Adedeji","given":"Babatunji Samuel","non-dropping-particle":"","parse-names":false,"suffix":""},{"dropping-particle":"","family":"Hassan","given":"Md Farjin","non-dropping-particle":"","parse-names":false,"suffix":""}],"container-title":"Asian Journal of Accounting Research","id":"ITEM-1","issue":"1","issued":{"date-parts":[["2022"]]},"page":"2-16","title":"The influences of Shariah governance mechanisms on Islamic banks performance and Shariah compliance quality","type":"article-journal","volume":"7"},"uris":["http://www.mendeley.com/documents/?uuid=950b87bb-d68a-4bee-958c-7c90f57ec00d"]}],"mendeley":{"formattedCitation":"Md Kausar Alam et al., “The Influences of Shariah Governance Mechanisms on Islamic Banks Performance and Shariah Compliance Quality,” &lt;i&gt;Asian Journal of Accounting Research&lt;/i&gt; 7, no. 1 (2022): 2–16, https://doi.org/10.1108/AJAR-11-2020-0112.","plainTextFormattedCitation":"Md Kausar Alam et al., “The Influences of Shariah Governance Mechanisms on Islamic Banks Performance and Shariah Compliance Quality,” Asian Journal of Accounting Research 7, no. 1 (2022): 2–16, https://doi.org/10.1108/AJAR-11-2020-0112.","previouslyFormattedCitation":"Md Kausar Alam et al., “The Influences of Shariah Governance Mechanisms on Islamic Banks Performance and Shariah Compliance Quality,” &lt;i&gt;Asian Journal of Accounting Research&lt;/i&gt; 7, no. 1 (2022): 2–16, https://doi.org/10.1108/AJAR-11-2020-0112."},"properties":{"noteIndex":33},"schema":"https://github.com/citation-style-language/schema/raw/master/csl-citation.json"}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Md Kausar Alam et al., “The Influences of Shariah Governance Mechanisms on Islamic Banks Performance and Shariah Compliance Quality,” </w:t>
      </w:r>
      <w:r w:rsidRPr="00EA758A">
        <w:rPr>
          <w:rFonts w:ascii="Garamond" w:hAnsi="Garamond"/>
          <w:i/>
          <w:noProof/>
        </w:rPr>
        <w:t>Asian Journal of Accounting Research</w:t>
      </w:r>
      <w:r w:rsidRPr="00EA758A">
        <w:rPr>
          <w:rFonts w:ascii="Garamond" w:hAnsi="Garamond"/>
          <w:noProof/>
        </w:rPr>
        <w:t xml:space="preserve"> 7, no. 1 (2022): 2–16, https://doi.org/10.1108/AJAR-11-2020-0112.</w:t>
      </w:r>
      <w:r w:rsidRPr="00EA758A">
        <w:rPr>
          <w:rFonts w:ascii="Garamond" w:hAnsi="Garamond"/>
        </w:rPr>
        <w:fldChar w:fldCharType="end"/>
      </w:r>
    </w:p>
  </w:footnote>
  <w:footnote w:id="34">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{"citationItems":[{"id":"ITEM-1","itemData":{"author":[{"dropping-particle":"","family":"Alam","given":"Syed Shah","non-dropping-particle":"","parse-names":false,"suffix":""},{"dropping-particle":"","family":"Yasin","given":"Norjaya Mohd","non-dropping-particle":"","parse-names":false,"suffix":""}],"container-title":"Journal of theoretical and applied electronic commerce research","id":"ITEM-1","issue":"3","issued":{"date-parts":[["2010"]]},"title":"Wha tFactors Influence Online Brand Trust: Evidence From Online Tickets Buyers in Malaysia","type":"article-journal","volume":"5"},"uris":["http://www.mendeley.com/documents/?uuid=7495699b-d3f5-42ba-8b13-a755c189add4"]}],"mendeley":{"formattedCitation":"Syed Shah Alam and Norjaya Mohd Yasin, “Wha TFactors Influence Online Brand Trust: Evidence From Online Tickets Buyers in Malaysia,” &lt;i&gt;Journal of Theoretical and Applied Electronic Commerce Research&lt;/i&gt; 5, no. 3 (2010).","plainTextFormattedCitation":"Syed Shah Alam and Norjaya Mohd Yasin, “Wha TFactors Influence Online Brand Trust: Evidence From Online Tickets Buyers in Malaysia,” Journal of Theoretical and Applied Electronic Commerce Research 5, no. 3 (2010).","previouslyFormattedCitation":"Syed Shah Alam and Norjaya Mohd Yasin, “Wha TFactors Influence Online Brand Trust: Evidence From Online Tickets Buyers in Malaysia,” &lt;i&gt;Journal of Theoretical and Applied Electronic Commerce Research&lt;/i&gt; 5, no. 3 (2010)."},"properties":{"noteIndex":34},"schema":"https://github.com/citation-style-language/schema/raw/master/csl-citation.json"}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Syed Shah Alam and Norjaya Mohd Yasin, “Wha TFactors Influence Online Brand Trust: Evidence From Online Tickets Buyers in Malaysia,” </w:t>
      </w:r>
      <w:r w:rsidRPr="00EA758A">
        <w:rPr>
          <w:rFonts w:ascii="Garamond" w:hAnsi="Garamond"/>
          <w:i/>
          <w:noProof/>
        </w:rPr>
        <w:t>Journal of Theoretical and Applied Electronic Commerce Research</w:t>
      </w:r>
      <w:r w:rsidRPr="00EA758A">
        <w:rPr>
          <w:rFonts w:ascii="Garamond" w:hAnsi="Garamond"/>
          <w:noProof/>
        </w:rPr>
        <w:t xml:space="preserve"> 5, no. 3 (2010).</w:t>
      </w:r>
      <w:r w:rsidRPr="00EA758A">
        <w:rPr>
          <w:rFonts w:ascii="Garamond" w:hAnsi="Garamond"/>
        </w:rPr>
        <w:fldChar w:fldCharType="end"/>
      </w:r>
    </w:p>
  </w:footnote>
  <w:footnote w:id="35">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00DC689F">
        <w:rPr>
          <w:rFonts w:ascii="Garamond" w:hAnsi="Garamond"/>
        </w:rPr>
        <w:tab/>
      </w:r>
      <w:r w:rsidRPr="00EA758A">
        <w:rPr>
          <w:rFonts w:ascii="Garamond" w:hAnsi="Garamond"/>
        </w:rPr>
        <w:fldChar w:fldCharType="begin" w:fldLock="1"/>
      </w:r>
      <w:r w:rsidRPr="00EA758A">
        <w:rPr>
          <w:rFonts w:ascii="Garamond" w:hAnsi="Garamond"/>
        </w:rPr>
        <w:instrText>ADDIN CSL_CITATION {"citationItems":[{"id":"ITEM-1","itemData":{"DOI":"10.1016/j.mcm.2012.06.006","ISSN":"08957177","abstract":"The purpose of this study was to examine defined buying factors affecting trust building and service performance in financial management systems such as e-commerce. We conducted a study of 585 people in their 20-30s who had experience with e-commerce websites and purchased fashion products from Oct. 1. to 30. 2010. The findings are summarized as follows. First, exploratory factor analysis was conducted and defined buying factors in shopping malls on the internet were classified under five headers: purchase information, customer care, shipping policies, product assortment and pricing factors. In this process, four questions were removed. Confirmatory factor analysis confirmed defined buying factors for classification as the purchase information, customer care, shipping policies, product assortment and pricing factors. In this process, three questions were removed. Second, one of the correlation coefficients did not appear in the relationship between factors such as defined buying factors, building trust, and service performance factors. Therefore, discriminant validity between factors was met. Third, by examining the full model, there was a partial positive relationship among defined buying factors, building trust and service performance. In other words, factors such as customer care, delivery policies, and product assortment in defined buying factors affected trading confidence and this confidence was reinforced through the process of building trust. It showed that information service, shipping policies, product assortment and pricing factors in defined buying factors influenced customer satisfaction. Trading confidence positively affected the service performance, which has been strengthened through customer satisfaction. The study also showed that store patronage was significantly associated with repurchase intentions and word-of-mouth, which strengthened repurchase intentions. © 2012 Elsevier Ltd.","author":[{"dropping-particle":"","family":"Kim","given":"Kughee","non-dropping-particle":"","parse-names":false,"suffix":""},{"dropping-particle":"","family":"Hong","given":"Eunbee","non-dropping-particle":"","parse-names":false,"suffix":""},{"dropping-particle":"","family":"Rho","given":"Seungmin","non-dropping-particle":"","parse-names":false,"suffix":""}],"container-title":"Mathematical and Computer Modelling","id":"ITEM-1","issue":"1-2","issued":{"date-parts":[["2013"]]},"page":"38-48","publisher":"Elsevier Ltd","title":"The study of defined buying factors affecting trust building and service performance in financial management systems","type":"article-journal","volume":"58"},"uris":["http://www.mendeley.com/documents/?uuid=293d3111-cc2b-477d-abc2-6c9e4376f50f"]}],"mendeley":{"formattedCitation":"Kughee Kim, Eunbee Hong, and Seungmin Rho, “The Study of Defined Buying Factors Affecting Trust Building and Service Performance in Financial Management Systems,” &lt;i&gt;Mathematical and Computer Modelling&lt;/i&gt; 58, no. 1–2 (2013): 38–48, https://doi.org/10.1016/j.mcm.2012.06.006.","plainTextFormattedCitation":"Kughee Kim, Eunbee Hong, and Seungmin Rho, “The Study of Defined Buying Factors Affecting Trust Building and Service Performance in Financial Management Systems,” Mathematical and Computer Modelling 58, no. 1–2 (2013): 38–48, https://doi.org/10.1016/j.mcm.2012.06.006.","previouslyFormattedCitation":"Kughee Kim, Eunbee Hong, and Seungmin Rho, “The Study of Defined Buying Factors Affecting Trust Building and Service Performance in Financial Management Systems,” &lt;i&gt;Mathematical and Computer Modelling&lt;/i&gt; 58, no. 1–2 (2013): 38–48, https://doi.org/10.1016/j.mcm.2012.06.006."},"properties":{"noteIndex":35},"schema":"https://github.com/citation-style-language/schema/raw/master/csl-citation.json"}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Kughee Kim, Eunbee Hong, and Seungmin Rho, “The Study of Defined Buying Factors Affecting Trust Building and Service Performance in Financial Management Systems,” </w:t>
      </w:r>
      <w:r w:rsidRPr="00EA758A">
        <w:rPr>
          <w:rFonts w:ascii="Garamond" w:hAnsi="Garamond"/>
          <w:i/>
          <w:noProof/>
        </w:rPr>
        <w:t>Mathematical and Computer Modelling</w:t>
      </w:r>
      <w:r w:rsidRPr="00EA758A">
        <w:rPr>
          <w:rFonts w:ascii="Garamond" w:hAnsi="Garamond"/>
          <w:noProof/>
        </w:rPr>
        <w:t xml:space="preserve"> 58, no. 1–2 (2013): 38–48, https://doi.org/10.1016/j.mcm.2012.06.006.</w:t>
      </w:r>
      <w:r w:rsidRPr="00EA758A">
        <w:rPr>
          <w:rFonts w:ascii="Garamond" w:hAnsi="Garamond"/>
        </w:rPr>
        <w:fldChar w:fldCharType="end"/>
      </w:r>
    </w:p>
  </w:footnote>
  <w:footnote w:id="36">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fldChar w:fldCharType="begin" w:fldLock="1"/>
      </w:r>
      <w:r w:rsidRPr="00EA758A">
        <w:rPr>
          <w:rFonts w:ascii="Garamond" w:hAnsi="Garamond"/>
        </w:rPr>
        <w:instrText>ADDIN CSL_CITATION {"citationItems":[{"id":"ITEM-1","itemData":{"author":[{"dropping-particle":"","family":"McKnight","given":"D. Harrison","non-dropping-particle":"","parse-names":false,"suffix":""},{"dropping-particle":"","family":"Chervany","given":"Norman L.","non-dropping-particle":"","parse-names":false,"suffix":""}],"container-title":"International Journal of Electronic Commerce","id":"ITEM-1","issue":"2","issued":{"date-parts":[["2001"]]},"page":"35-59","title":"What Trust Means in E-Commerce Customer Relationships: An Interdisciplinary Conceptual Typology","type":"article-journal","volume":"6"},"uris":["http://www.mendeley.com/documents/?uuid=82f7d8ba-cda0-442a-b167-91f17d7f68ca"]}],"mendeley":{"formattedCitation":"D. Harrison McKnight and Norman L. Chervany, “What Trust Means in E-Commerce Customer Relationships: An Interdisciplinary Conceptual Typology,” &lt;i&gt;International Journal of Electronic Commerce&lt;/i&gt; 6, no. 2 (2001): 35–59.","plainTextFormattedCitation":"D. Harrison McKnight and Norman L. Chervany, “What Trust Means in E-Commerce Customer Relationships: An Interdisciplinary Conceptual Typology,” International Journal of Electronic Commerce 6, no. 2 (2001): 35–59."},"properties":{"noteIndex":36},"schema":"https://github.com/citation-style-language/schema/raw/master/csl-citation.json"}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D. Harrison McKnight and Norman L. Chervany, “What Trust Means in E-Commerce Customer Relationships: An Interdisciplinary Conceptual Typology,” </w:t>
      </w:r>
      <w:r w:rsidRPr="00EA758A">
        <w:rPr>
          <w:rFonts w:ascii="Garamond" w:hAnsi="Garamond"/>
          <w:i/>
          <w:noProof/>
        </w:rPr>
        <w:t>International Journal of Electronic Commerce</w:t>
      </w:r>
      <w:r w:rsidRPr="00EA758A">
        <w:rPr>
          <w:rFonts w:ascii="Garamond" w:hAnsi="Garamond"/>
          <w:noProof/>
        </w:rPr>
        <w:t xml:space="preserve"> 6, no. 2 (2001): 35–59.</w:t>
      </w:r>
      <w:r w:rsidRPr="00EA758A">
        <w:rPr>
          <w:rFonts w:ascii="Garamond" w:hAnsi="Garamond"/>
        </w:rPr>
        <w:fldChar w:fldCharType="end"/>
      </w:r>
    </w:p>
  </w:footnote>
  <w:footnote w:id="37">
    <w:p w:rsidR="00987639" w:rsidRPr="00EA758A" w:rsidRDefault="00987639" w:rsidP="00EA758A">
      <w:pPr>
        <w:pStyle w:val="FootnoteText"/>
        <w:tabs>
          <w:tab w:val="left" w:pos="284"/>
        </w:tabs>
        <w:ind w:left="284" w:hanging="284"/>
        <w:jc w:val="both"/>
        <w:rPr>
          <w:rFonts w:ascii="Garamond" w:hAnsi="Garamond"/>
        </w:rPr>
      </w:pPr>
      <w:r w:rsidRPr="00EA758A">
        <w:rPr>
          <w:rStyle w:val="FootnoteReference"/>
          <w:rFonts w:ascii="Garamond" w:hAnsi="Garamond"/>
        </w:rPr>
        <w:footnoteRef/>
      </w:r>
      <w:r w:rsidRPr="00EA758A">
        <w:rPr>
          <w:rFonts w:ascii="Garamond" w:hAnsi="Garamond"/>
        </w:rPr>
        <w:t xml:space="preserve"> </w:t>
      </w:r>
      <w:r w:rsidRPr="00EA758A">
        <w:rPr>
          <w:rFonts w:ascii="Garamond" w:hAnsi="Garamond"/>
        </w:rPr>
        <w:fldChar w:fldCharType="begin" w:fldLock="1"/>
      </w:r>
      <w:r w:rsidRPr="00EA758A">
        <w:rPr>
          <w:rFonts w:ascii="Garamond" w:hAnsi="Garamond"/>
        </w:rPr>
        <w:instrText>ADDIN CSL_CITATION {"citationItems":[{"id":"ITEM-1","itemData":{"DOI":"10.4018/IJEBR.2021070105","ISSN":"1548114X","abstract":"Over the last decade, banks have significantly invested in mobile banking. While mobile banking research focuses increasingly on adoption and behavioural intention, and post-adoption behaviours such as customer satisfaction have been given little attention. This paper draws on the information system success model to look into the antecedents of trust and satisfaction in mobile banking. It adopts the problematization and the systematic literature review approaches to problematize, organise, and integrate previously published literature related to trust in mobile banking in the post-adoption stage. The paper proposes a conceptual model with five factors that influence customer trust in mobile banking: system quality, information quality, services quality, structural insurance, and task characteristics. The relationships between the independent variables and satisfaction are mediated by trust. This paper is one of the first to discuss the Delone and Mclean model within a customer trust and satisfaction framework.","author":[{"dropping-particle":"","family":"Geebren","given":"Ahmed","non-dropping-particle":"","parse-names":false,"suffix":""},{"dropping-particle":"","family":"Jabbar","given":"Abdul","non-dropping-particle":"","parse-names":false,"suffix":""}],"container-title":"International Journal of e-Business Research","id":"ITEM-1","issue":"3","issued":{"date-parts":[["2021"]]},"page":"66-82","title":"Factors That Influence Customer Trust and Satisfaction in Mobile Banking: A Problematization Approach","type":"article-journal","volume":"17"},"uris":["http://www.mendeley.com/documents/?uuid=89eaee92-85cd-495a-9712-32e726ff11a3"]}],"mendeley":{"formattedCitation":"Ahmed Geebren and Abdul Jabbar, “Factors That Influence Customer Trust and Satisfaction in Mobile Banking: A Problematization Approach,” &lt;i&gt;International Journal of E-Business Research&lt;/i&gt; 17, no. 3 (2021): 66–82, https://doi.org/10.4018/IJEBR.2021070105.","plainTextFormattedCitation":"Ahmed Geebren and Abdul Jabbar, “Factors That Influence Customer Trust and Satisfaction in Mobile Banking: A Problematization Approach,” International Journal of E-Business Research 17, no. 3 (2021): 66–82, https://doi.org/10.4018/IJEBR.2021070105.","previouslyFormattedCitation":"Ahmed Geebren and Abdul Jabbar, “Factors That Influence Customer Trust and Satisfaction in Mobile Banking: A Problematization Approach,” &lt;i&gt;International Journal of E-Business Research&lt;/i&gt; 17, no. 3 (2021): 66–82, https://doi.org/10.4018/IJEBR.2021070105."},"properties":{"noteIndex":37},"schema":"https://github.com/citation-style-language/schema/raw/master/csl-citation.json"}</w:instrText>
      </w:r>
      <w:r w:rsidRPr="00EA758A">
        <w:rPr>
          <w:rFonts w:ascii="Garamond" w:hAnsi="Garamond"/>
        </w:rPr>
        <w:fldChar w:fldCharType="separate"/>
      </w:r>
      <w:r w:rsidRPr="00EA758A">
        <w:rPr>
          <w:rFonts w:ascii="Garamond" w:hAnsi="Garamond"/>
          <w:noProof/>
        </w:rPr>
        <w:t xml:space="preserve">Ahmed Geebren and Abdul Jabbar, “Factors That Influence Customer Trust and Satisfaction in Mobile Banking: A Problematization Approach,” </w:t>
      </w:r>
      <w:r w:rsidRPr="00EA758A">
        <w:rPr>
          <w:rFonts w:ascii="Garamond" w:hAnsi="Garamond"/>
          <w:i/>
          <w:noProof/>
        </w:rPr>
        <w:t>International Journal of E-Business Research</w:t>
      </w:r>
      <w:r w:rsidRPr="00EA758A">
        <w:rPr>
          <w:rFonts w:ascii="Garamond" w:hAnsi="Garamond"/>
          <w:noProof/>
        </w:rPr>
        <w:t xml:space="preserve"> 17, no. 3 (2021): 66–82, https://doi.org/10.4018/IJEBR.2021070105.</w:t>
      </w:r>
      <w:r w:rsidRPr="00EA758A">
        <w:rPr>
          <w:rFonts w:ascii="Garamond" w:hAnsi="Garamond"/>
        </w:rPr>
        <w:fldChar w:fldCharType="end"/>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F2215F9"/>
    <w:multiLevelType w:val="hybridMultilevel"/>
    <w:tmpl w:val="2BAE3C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3269C6"/>
    <w:multiLevelType w:val="hybridMultilevel"/>
    <w:tmpl w:val="0CF0AA04"/>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73DB5B3A"/>
    <w:multiLevelType w:val="hybridMultilevel"/>
    <w:tmpl w:val="F8AEBD76"/>
    <w:lvl w:ilvl="0" w:tplc="DAA453C4">
      <w:start w:val="1"/>
      <w:numFmt w:val="decimal"/>
      <w:lvlText w:val="%1."/>
      <w:lvlJc w:val="left"/>
      <w:pPr>
        <w:ind w:left="720" w:hanging="360"/>
      </w:pPr>
      <w:rPr>
        <w:rFonts w:hint="default"/>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6B30AE1"/>
    <w:multiLevelType w:val="hybridMultilevel"/>
    <w:tmpl w:val="0888A76A"/>
    <w:lvl w:ilvl="0" w:tplc="83BC5DDA">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1AB9"/>
    <w:rsid w:val="00000FEF"/>
    <w:rsid w:val="000033F1"/>
    <w:rsid w:val="000079F1"/>
    <w:rsid w:val="00016198"/>
    <w:rsid w:val="000175EA"/>
    <w:rsid w:val="00030001"/>
    <w:rsid w:val="000412FD"/>
    <w:rsid w:val="00041D03"/>
    <w:rsid w:val="00042642"/>
    <w:rsid w:val="000466D4"/>
    <w:rsid w:val="000515BF"/>
    <w:rsid w:val="00062AC0"/>
    <w:rsid w:val="00062D58"/>
    <w:rsid w:val="00063C6A"/>
    <w:rsid w:val="00067825"/>
    <w:rsid w:val="00073549"/>
    <w:rsid w:val="00075EBC"/>
    <w:rsid w:val="00080176"/>
    <w:rsid w:val="000B073E"/>
    <w:rsid w:val="000B0D2E"/>
    <w:rsid w:val="000B1B9E"/>
    <w:rsid w:val="000B3038"/>
    <w:rsid w:val="000C2094"/>
    <w:rsid w:val="000C2EE8"/>
    <w:rsid w:val="000C542A"/>
    <w:rsid w:val="000C7397"/>
    <w:rsid w:val="000D0D2B"/>
    <w:rsid w:val="000D1780"/>
    <w:rsid w:val="000D58BB"/>
    <w:rsid w:val="000E1948"/>
    <w:rsid w:val="000E6D37"/>
    <w:rsid w:val="000F58CC"/>
    <w:rsid w:val="0013316A"/>
    <w:rsid w:val="001374A6"/>
    <w:rsid w:val="00145493"/>
    <w:rsid w:val="00153E3D"/>
    <w:rsid w:val="0015488F"/>
    <w:rsid w:val="00165A83"/>
    <w:rsid w:val="00171591"/>
    <w:rsid w:val="001A11FF"/>
    <w:rsid w:val="001A30EF"/>
    <w:rsid w:val="001B50E0"/>
    <w:rsid w:val="001C27A6"/>
    <w:rsid w:val="001C324A"/>
    <w:rsid w:val="001E4D0A"/>
    <w:rsid w:val="001E4DDA"/>
    <w:rsid w:val="001E765F"/>
    <w:rsid w:val="001F145F"/>
    <w:rsid w:val="001F64EA"/>
    <w:rsid w:val="001F6D63"/>
    <w:rsid w:val="00210477"/>
    <w:rsid w:val="002214F3"/>
    <w:rsid w:val="00225533"/>
    <w:rsid w:val="00231A1E"/>
    <w:rsid w:val="00250278"/>
    <w:rsid w:val="00274729"/>
    <w:rsid w:val="00275D2F"/>
    <w:rsid w:val="00276D8D"/>
    <w:rsid w:val="00282E96"/>
    <w:rsid w:val="00285B67"/>
    <w:rsid w:val="0029507F"/>
    <w:rsid w:val="00295742"/>
    <w:rsid w:val="002A360A"/>
    <w:rsid w:val="002A4D07"/>
    <w:rsid w:val="002B02E0"/>
    <w:rsid w:val="002B1AB9"/>
    <w:rsid w:val="002C19EE"/>
    <w:rsid w:val="002D51CE"/>
    <w:rsid w:val="003011B7"/>
    <w:rsid w:val="00301684"/>
    <w:rsid w:val="0030514B"/>
    <w:rsid w:val="00310A10"/>
    <w:rsid w:val="003133AF"/>
    <w:rsid w:val="00316C7F"/>
    <w:rsid w:val="003206AD"/>
    <w:rsid w:val="00342806"/>
    <w:rsid w:val="003439CF"/>
    <w:rsid w:val="00347018"/>
    <w:rsid w:val="003609FE"/>
    <w:rsid w:val="00365C96"/>
    <w:rsid w:val="00382F26"/>
    <w:rsid w:val="003867BB"/>
    <w:rsid w:val="00393C54"/>
    <w:rsid w:val="00395C84"/>
    <w:rsid w:val="003A358D"/>
    <w:rsid w:val="003B0535"/>
    <w:rsid w:val="003B5343"/>
    <w:rsid w:val="003C0E52"/>
    <w:rsid w:val="003C0E7E"/>
    <w:rsid w:val="003C14EB"/>
    <w:rsid w:val="003E6037"/>
    <w:rsid w:val="003E7680"/>
    <w:rsid w:val="003F71C8"/>
    <w:rsid w:val="00412ADD"/>
    <w:rsid w:val="00413B07"/>
    <w:rsid w:val="004144AC"/>
    <w:rsid w:val="00424671"/>
    <w:rsid w:val="00425BEB"/>
    <w:rsid w:val="00426B3A"/>
    <w:rsid w:val="00435D78"/>
    <w:rsid w:val="00444D70"/>
    <w:rsid w:val="0045547C"/>
    <w:rsid w:val="004560EF"/>
    <w:rsid w:val="00486F78"/>
    <w:rsid w:val="004B5170"/>
    <w:rsid w:val="004F015E"/>
    <w:rsid w:val="005121B2"/>
    <w:rsid w:val="00512200"/>
    <w:rsid w:val="00521D03"/>
    <w:rsid w:val="00530523"/>
    <w:rsid w:val="005318BE"/>
    <w:rsid w:val="0054014B"/>
    <w:rsid w:val="005461D6"/>
    <w:rsid w:val="00552466"/>
    <w:rsid w:val="00565B42"/>
    <w:rsid w:val="00570252"/>
    <w:rsid w:val="005702C0"/>
    <w:rsid w:val="00580188"/>
    <w:rsid w:val="00587071"/>
    <w:rsid w:val="00597BB4"/>
    <w:rsid w:val="005A6CEF"/>
    <w:rsid w:val="005B2B78"/>
    <w:rsid w:val="005C4C93"/>
    <w:rsid w:val="005C6297"/>
    <w:rsid w:val="005C71D9"/>
    <w:rsid w:val="005D09D2"/>
    <w:rsid w:val="005F38B0"/>
    <w:rsid w:val="005F4B4A"/>
    <w:rsid w:val="0061055E"/>
    <w:rsid w:val="00626896"/>
    <w:rsid w:val="00632790"/>
    <w:rsid w:val="006411E7"/>
    <w:rsid w:val="00644B29"/>
    <w:rsid w:val="00645666"/>
    <w:rsid w:val="00646643"/>
    <w:rsid w:val="0065187F"/>
    <w:rsid w:val="00657D46"/>
    <w:rsid w:val="00663FB0"/>
    <w:rsid w:val="00681081"/>
    <w:rsid w:val="00683F2C"/>
    <w:rsid w:val="006A63F9"/>
    <w:rsid w:val="006B5786"/>
    <w:rsid w:val="006D42F0"/>
    <w:rsid w:val="006E1428"/>
    <w:rsid w:val="006F4C64"/>
    <w:rsid w:val="006F60F1"/>
    <w:rsid w:val="0075599F"/>
    <w:rsid w:val="00760014"/>
    <w:rsid w:val="00780858"/>
    <w:rsid w:val="00783D58"/>
    <w:rsid w:val="00796769"/>
    <w:rsid w:val="007E47EE"/>
    <w:rsid w:val="0080703A"/>
    <w:rsid w:val="00807900"/>
    <w:rsid w:val="00816057"/>
    <w:rsid w:val="008171E8"/>
    <w:rsid w:val="00831254"/>
    <w:rsid w:val="008433CE"/>
    <w:rsid w:val="0084635B"/>
    <w:rsid w:val="00883E46"/>
    <w:rsid w:val="0088652D"/>
    <w:rsid w:val="008B3534"/>
    <w:rsid w:val="008B7D5F"/>
    <w:rsid w:val="008C758F"/>
    <w:rsid w:val="008E2578"/>
    <w:rsid w:val="008F6684"/>
    <w:rsid w:val="008F6B30"/>
    <w:rsid w:val="00903A17"/>
    <w:rsid w:val="00927B19"/>
    <w:rsid w:val="00933886"/>
    <w:rsid w:val="0093752D"/>
    <w:rsid w:val="00946434"/>
    <w:rsid w:val="00964777"/>
    <w:rsid w:val="009652BB"/>
    <w:rsid w:val="00982A56"/>
    <w:rsid w:val="00987639"/>
    <w:rsid w:val="009A13B2"/>
    <w:rsid w:val="009D60AB"/>
    <w:rsid w:val="009E513B"/>
    <w:rsid w:val="009E59E5"/>
    <w:rsid w:val="009F5D9E"/>
    <w:rsid w:val="009F620D"/>
    <w:rsid w:val="00A25A05"/>
    <w:rsid w:val="00A271F6"/>
    <w:rsid w:val="00A31854"/>
    <w:rsid w:val="00A36DB6"/>
    <w:rsid w:val="00A402E5"/>
    <w:rsid w:val="00A463D6"/>
    <w:rsid w:val="00A505B0"/>
    <w:rsid w:val="00A530D9"/>
    <w:rsid w:val="00A634FF"/>
    <w:rsid w:val="00AB6DA7"/>
    <w:rsid w:val="00AC2949"/>
    <w:rsid w:val="00AC5C17"/>
    <w:rsid w:val="00AC696B"/>
    <w:rsid w:val="00AC6A48"/>
    <w:rsid w:val="00B449C2"/>
    <w:rsid w:val="00B47383"/>
    <w:rsid w:val="00B61147"/>
    <w:rsid w:val="00B62AB2"/>
    <w:rsid w:val="00B733AE"/>
    <w:rsid w:val="00B7576B"/>
    <w:rsid w:val="00B767BB"/>
    <w:rsid w:val="00B863BD"/>
    <w:rsid w:val="00B92A9B"/>
    <w:rsid w:val="00B944A3"/>
    <w:rsid w:val="00BA210A"/>
    <w:rsid w:val="00BA4008"/>
    <w:rsid w:val="00BB5C82"/>
    <w:rsid w:val="00BC2AED"/>
    <w:rsid w:val="00BD5E3C"/>
    <w:rsid w:val="00BE0864"/>
    <w:rsid w:val="00BE1E4E"/>
    <w:rsid w:val="00BE333D"/>
    <w:rsid w:val="00BF1B1D"/>
    <w:rsid w:val="00C06290"/>
    <w:rsid w:val="00C06654"/>
    <w:rsid w:val="00C2039A"/>
    <w:rsid w:val="00C21C52"/>
    <w:rsid w:val="00C24769"/>
    <w:rsid w:val="00C27F54"/>
    <w:rsid w:val="00C3271E"/>
    <w:rsid w:val="00C41CB9"/>
    <w:rsid w:val="00C42E0B"/>
    <w:rsid w:val="00C81B98"/>
    <w:rsid w:val="00C8212F"/>
    <w:rsid w:val="00C92CEE"/>
    <w:rsid w:val="00CB0E39"/>
    <w:rsid w:val="00CB2319"/>
    <w:rsid w:val="00CD2A15"/>
    <w:rsid w:val="00CE191F"/>
    <w:rsid w:val="00D01B70"/>
    <w:rsid w:val="00D07E64"/>
    <w:rsid w:val="00D13254"/>
    <w:rsid w:val="00D13617"/>
    <w:rsid w:val="00D164BC"/>
    <w:rsid w:val="00D1739C"/>
    <w:rsid w:val="00D254B5"/>
    <w:rsid w:val="00D27517"/>
    <w:rsid w:val="00D30405"/>
    <w:rsid w:val="00D348CE"/>
    <w:rsid w:val="00D434B1"/>
    <w:rsid w:val="00D534B8"/>
    <w:rsid w:val="00D62655"/>
    <w:rsid w:val="00D6620D"/>
    <w:rsid w:val="00D72C18"/>
    <w:rsid w:val="00D7629D"/>
    <w:rsid w:val="00D81EDE"/>
    <w:rsid w:val="00D83006"/>
    <w:rsid w:val="00D865FB"/>
    <w:rsid w:val="00D91EC1"/>
    <w:rsid w:val="00D95ECD"/>
    <w:rsid w:val="00DA2211"/>
    <w:rsid w:val="00DA2CF7"/>
    <w:rsid w:val="00DB13F1"/>
    <w:rsid w:val="00DB4F18"/>
    <w:rsid w:val="00DB7EB6"/>
    <w:rsid w:val="00DC689F"/>
    <w:rsid w:val="00DF0DB9"/>
    <w:rsid w:val="00E0578E"/>
    <w:rsid w:val="00E204F9"/>
    <w:rsid w:val="00E226EC"/>
    <w:rsid w:val="00E26292"/>
    <w:rsid w:val="00E26A95"/>
    <w:rsid w:val="00E43B13"/>
    <w:rsid w:val="00E45DCB"/>
    <w:rsid w:val="00E536BA"/>
    <w:rsid w:val="00E541F0"/>
    <w:rsid w:val="00E55166"/>
    <w:rsid w:val="00E64696"/>
    <w:rsid w:val="00E75006"/>
    <w:rsid w:val="00E82B3B"/>
    <w:rsid w:val="00E8414F"/>
    <w:rsid w:val="00EA442B"/>
    <w:rsid w:val="00EA758A"/>
    <w:rsid w:val="00ED05D9"/>
    <w:rsid w:val="00ED375E"/>
    <w:rsid w:val="00ED588F"/>
    <w:rsid w:val="00EE7AC9"/>
    <w:rsid w:val="00EE7D67"/>
    <w:rsid w:val="00EF2C34"/>
    <w:rsid w:val="00EF5611"/>
    <w:rsid w:val="00EF5A3E"/>
    <w:rsid w:val="00F0286F"/>
    <w:rsid w:val="00F03BD0"/>
    <w:rsid w:val="00F04A89"/>
    <w:rsid w:val="00F126ED"/>
    <w:rsid w:val="00F20A5E"/>
    <w:rsid w:val="00F25DB7"/>
    <w:rsid w:val="00F341A3"/>
    <w:rsid w:val="00F35AE5"/>
    <w:rsid w:val="00F47F78"/>
    <w:rsid w:val="00F63070"/>
    <w:rsid w:val="00F83429"/>
    <w:rsid w:val="00F84A5E"/>
    <w:rsid w:val="00FA455F"/>
    <w:rsid w:val="00FA7BBE"/>
    <w:rsid w:val="00FD29A9"/>
    <w:rsid w:val="00FD781B"/>
    <w:rsid w:val="00FE0F4F"/>
    <w:rsid w:val="00FF5A8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D41B524-6240-4CE8-8BD9-778C831E0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C6A48"/>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6A48"/>
    <w:rPr>
      <w:rFonts w:ascii="Times New Roman" w:eastAsia="Times New Roman" w:hAnsi="Times New Roman" w:cs="Times New Roman"/>
      <w:b/>
      <w:bCs/>
      <w:kern w:val="36"/>
      <w:sz w:val="48"/>
      <w:szCs w:val="48"/>
    </w:rPr>
  </w:style>
  <w:style w:type="paragraph" w:styleId="HTMLPreformatted">
    <w:name w:val="HTML Preformatted"/>
    <w:basedOn w:val="Normal"/>
    <w:link w:val="HTMLPreformattedChar"/>
    <w:uiPriority w:val="99"/>
    <w:unhideWhenUsed/>
    <w:rsid w:val="00E26A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E26A95"/>
    <w:rPr>
      <w:rFonts w:ascii="Courier New" w:eastAsia="Times New Roman" w:hAnsi="Courier New" w:cs="Courier New"/>
      <w:sz w:val="20"/>
      <w:szCs w:val="20"/>
    </w:rPr>
  </w:style>
  <w:style w:type="character" w:customStyle="1" w:styleId="y2iqfc">
    <w:name w:val="y2iqfc"/>
    <w:basedOn w:val="DefaultParagraphFont"/>
    <w:rsid w:val="00E26A95"/>
  </w:style>
  <w:style w:type="character" w:customStyle="1" w:styleId="fontstyle01">
    <w:name w:val="fontstyle01"/>
    <w:basedOn w:val="DefaultParagraphFont"/>
    <w:rsid w:val="00274729"/>
    <w:rPr>
      <w:rFonts w:ascii="Garamond" w:hAnsi="Garamond" w:hint="default"/>
      <w:b w:val="0"/>
      <w:bCs w:val="0"/>
      <w:i w:val="0"/>
      <w:iCs w:val="0"/>
      <w:color w:val="231F20"/>
      <w:sz w:val="20"/>
      <w:szCs w:val="20"/>
    </w:rPr>
  </w:style>
  <w:style w:type="paragraph" w:styleId="FootnoteText">
    <w:name w:val="footnote text"/>
    <w:basedOn w:val="Normal"/>
    <w:link w:val="FootnoteTextChar"/>
    <w:uiPriority w:val="99"/>
    <w:unhideWhenUsed/>
    <w:rsid w:val="001F145F"/>
    <w:pPr>
      <w:spacing w:after="0" w:line="240" w:lineRule="auto"/>
    </w:pPr>
    <w:rPr>
      <w:sz w:val="20"/>
      <w:szCs w:val="20"/>
    </w:rPr>
  </w:style>
  <w:style w:type="character" w:customStyle="1" w:styleId="FootnoteTextChar">
    <w:name w:val="Footnote Text Char"/>
    <w:basedOn w:val="DefaultParagraphFont"/>
    <w:link w:val="FootnoteText"/>
    <w:uiPriority w:val="99"/>
    <w:rsid w:val="001F145F"/>
    <w:rPr>
      <w:sz w:val="20"/>
      <w:szCs w:val="20"/>
    </w:rPr>
  </w:style>
  <w:style w:type="character" w:styleId="FootnoteReference">
    <w:name w:val="footnote reference"/>
    <w:basedOn w:val="DefaultParagraphFont"/>
    <w:uiPriority w:val="99"/>
    <w:unhideWhenUsed/>
    <w:rsid w:val="001F145F"/>
    <w:rPr>
      <w:vertAlign w:val="superscript"/>
    </w:rPr>
  </w:style>
  <w:style w:type="character" w:customStyle="1" w:styleId="w8qarf">
    <w:name w:val="w8qarf"/>
    <w:basedOn w:val="DefaultParagraphFont"/>
    <w:rsid w:val="00D91EC1"/>
  </w:style>
  <w:style w:type="character" w:styleId="Hyperlink">
    <w:name w:val="Hyperlink"/>
    <w:basedOn w:val="DefaultParagraphFont"/>
    <w:uiPriority w:val="99"/>
    <w:unhideWhenUsed/>
    <w:rsid w:val="001F64EA"/>
    <w:rPr>
      <w:color w:val="0563C1" w:themeColor="hyperlink"/>
      <w:u w:val="single"/>
    </w:rPr>
  </w:style>
  <w:style w:type="table" w:styleId="TableGrid">
    <w:name w:val="Table Grid"/>
    <w:basedOn w:val="TableNormal"/>
    <w:uiPriority w:val="59"/>
    <w:rsid w:val="00145493"/>
    <w:pPr>
      <w:spacing w:after="0" w:line="240" w:lineRule="auto"/>
    </w:pPr>
    <w:rPr>
      <w:rFonts w:eastAsia="Times New Roman" w:cs="Times New Roman"/>
      <w:lang w:val="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0286F"/>
    <w:pPr>
      <w:spacing w:after="0" w:line="240" w:lineRule="auto"/>
      <w:ind w:left="720"/>
      <w:contextualSpacing/>
      <w:jc w:val="both"/>
    </w:pPr>
    <w:rPr>
      <w:rFonts w:ascii="Times New Roman" w:eastAsia="Times New Roman" w:hAnsi="Times New Roman" w:cs="Times New Roman"/>
      <w:sz w:val="20"/>
      <w:szCs w:val="20"/>
      <w:lang w:val="en-GB"/>
    </w:rPr>
  </w:style>
  <w:style w:type="paragraph" w:customStyle="1" w:styleId="Wawasan12Penulis">
    <w:name w:val="Wawasan_1.2 Penulis"/>
    <w:basedOn w:val="Normal"/>
    <w:qFormat/>
    <w:rsid w:val="00F126ED"/>
    <w:pPr>
      <w:spacing w:after="0" w:line="240" w:lineRule="auto"/>
      <w:jc w:val="center"/>
    </w:pPr>
    <w:rPr>
      <w:rFonts w:ascii="Times New Roman" w:eastAsia="Times New Roman" w:hAnsi="Times New Roman" w:cs="Times New Roman"/>
      <w:b/>
      <w:bCs/>
      <w:sz w:val="24"/>
      <w:szCs w:val="24"/>
      <w:lang w:val="id-ID" w:eastAsia="id-ID"/>
    </w:rPr>
  </w:style>
  <w:style w:type="character" w:customStyle="1" w:styleId="rynqvb">
    <w:name w:val="rynqvb"/>
    <w:basedOn w:val="DefaultParagraphFont"/>
    <w:rsid w:val="00644B29"/>
  </w:style>
  <w:style w:type="paragraph" w:styleId="Header">
    <w:name w:val="header"/>
    <w:basedOn w:val="Normal"/>
    <w:link w:val="HeaderChar"/>
    <w:uiPriority w:val="99"/>
    <w:unhideWhenUsed/>
    <w:rsid w:val="00987639"/>
    <w:pPr>
      <w:tabs>
        <w:tab w:val="center" w:pos="4513"/>
        <w:tab w:val="right" w:pos="9026"/>
      </w:tabs>
      <w:spacing w:after="0" w:line="240" w:lineRule="auto"/>
    </w:pPr>
    <w:rPr>
      <w:rFonts w:ascii="Calibri" w:eastAsia="Times New Roman" w:hAnsi="Calibri" w:cs="Times New Roman"/>
      <w:sz w:val="20"/>
      <w:szCs w:val="20"/>
      <w:lang w:val="x-none" w:eastAsia="x-none"/>
    </w:rPr>
  </w:style>
  <w:style w:type="character" w:customStyle="1" w:styleId="HeaderChar">
    <w:name w:val="Header Char"/>
    <w:basedOn w:val="DefaultParagraphFont"/>
    <w:link w:val="Header"/>
    <w:uiPriority w:val="99"/>
    <w:rsid w:val="00987639"/>
    <w:rPr>
      <w:rFonts w:ascii="Calibri" w:eastAsia="Times New Roman" w:hAnsi="Calibri" w:cs="Times New Roman"/>
      <w:sz w:val="20"/>
      <w:szCs w:val="20"/>
      <w:lang w:val="x-none" w:eastAsia="x-none"/>
    </w:rPr>
  </w:style>
  <w:style w:type="paragraph" w:styleId="Footer">
    <w:name w:val="footer"/>
    <w:basedOn w:val="Normal"/>
    <w:link w:val="FooterChar"/>
    <w:uiPriority w:val="99"/>
    <w:unhideWhenUsed/>
    <w:rsid w:val="00EA758A"/>
    <w:pPr>
      <w:tabs>
        <w:tab w:val="center" w:pos="4680"/>
        <w:tab w:val="right" w:pos="9360"/>
      </w:tabs>
      <w:spacing w:after="0" w:line="240" w:lineRule="auto"/>
    </w:pPr>
  </w:style>
  <w:style w:type="character" w:customStyle="1" w:styleId="FooterChar">
    <w:name w:val="Footer Char"/>
    <w:basedOn w:val="DefaultParagraphFont"/>
    <w:link w:val="Footer"/>
    <w:uiPriority w:val="99"/>
    <w:rsid w:val="00EA75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3231030">
      <w:bodyDiv w:val="1"/>
      <w:marLeft w:val="0"/>
      <w:marRight w:val="0"/>
      <w:marTop w:val="0"/>
      <w:marBottom w:val="0"/>
      <w:divBdr>
        <w:top w:val="none" w:sz="0" w:space="0" w:color="auto"/>
        <w:left w:val="none" w:sz="0" w:space="0" w:color="auto"/>
        <w:bottom w:val="none" w:sz="0" w:space="0" w:color="auto"/>
        <w:right w:val="none" w:sz="0" w:space="0" w:color="auto"/>
      </w:divBdr>
    </w:div>
    <w:div w:id="168254038">
      <w:bodyDiv w:val="1"/>
      <w:marLeft w:val="0"/>
      <w:marRight w:val="0"/>
      <w:marTop w:val="0"/>
      <w:marBottom w:val="0"/>
      <w:divBdr>
        <w:top w:val="none" w:sz="0" w:space="0" w:color="auto"/>
        <w:left w:val="none" w:sz="0" w:space="0" w:color="auto"/>
        <w:bottom w:val="none" w:sz="0" w:space="0" w:color="auto"/>
        <w:right w:val="none" w:sz="0" w:space="0" w:color="auto"/>
      </w:divBdr>
    </w:div>
    <w:div w:id="196478348">
      <w:bodyDiv w:val="1"/>
      <w:marLeft w:val="0"/>
      <w:marRight w:val="0"/>
      <w:marTop w:val="0"/>
      <w:marBottom w:val="0"/>
      <w:divBdr>
        <w:top w:val="none" w:sz="0" w:space="0" w:color="auto"/>
        <w:left w:val="none" w:sz="0" w:space="0" w:color="auto"/>
        <w:bottom w:val="none" w:sz="0" w:space="0" w:color="auto"/>
        <w:right w:val="none" w:sz="0" w:space="0" w:color="auto"/>
      </w:divBdr>
    </w:div>
    <w:div w:id="209073511">
      <w:bodyDiv w:val="1"/>
      <w:marLeft w:val="0"/>
      <w:marRight w:val="0"/>
      <w:marTop w:val="0"/>
      <w:marBottom w:val="0"/>
      <w:divBdr>
        <w:top w:val="none" w:sz="0" w:space="0" w:color="auto"/>
        <w:left w:val="none" w:sz="0" w:space="0" w:color="auto"/>
        <w:bottom w:val="none" w:sz="0" w:space="0" w:color="auto"/>
        <w:right w:val="none" w:sz="0" w:space="0" w:color="auto"/>
      </w:divBdr>
    </w:div>
    <w:div w:id="273638268">
      <w:bodyDiv w:val="1"/>
      <w:marLeft w:val="0"/>
      <w:marRight w:val="0"/>
      <w:marTop w:val="0"/>
      <w:marBottom w:val="0"/>
      <w:divBdr>
        <w:top w:val="none" w:sz="0" w:space="0" w:color="auto"/>
        <w:left w:val="none" w:sz="0" w:space="0" w:color="auto"/>
        <w:bottom w:val="none" w:sz="0" w:space="0" w:color="auto"/>
        <w:right w:val="none" w:sz="0" w:space="0" w:color="auto"/>
      </w:divBdr>
    </w:div>
    <w:div w:id="330448398">
      <w:bodyDiv w:val="1"/>
      <w:marLeft w:val="0"/>
      <w:marRight w:val="0"/>
      <w:marTop w:val="0"/>
      <w:marBottom w:val="0"/>
      <w:divBdr>
        <w:top w:val="none" w:sz="0" w:space="0" w:color="auto"/>
        <w:left w:val="none" w:sz="0" w:space="0" w:color="auto"/>
        <w:bottom w:val="none" w:sz="0" w:space="0" w:color="auto"/>
        <w:right w:val="none" w:sz="0" w:space="0" w:color="auto"/>
      </w:divBdr>
    </w:div>
    <w:div w:id="369232002">
      <w:bodyDiv w:val="1"/>
      <w:marLeft w:val="0"/>
      <w:marRight w:val="0"/>
      <w:marTop w:val="0"/>
      <w:marBottom w:val="0"/>
      <w:divBdr>
        <w:top w:val="none" w:sz="0" w:space="0" w:color="auto"/>
        <w:left w:val="none" w:sz="0" w:space="0" w:color="auto"/>
        <w:bottom w:val="none" w:sz="0" w:space="0" w:color="auto"/>
        <w:right w:val="none" w:sz="0" w:space="0" w:color="auto"/>
      </w:divBdr>
    </w:div>
    <w:div w:id="374231423">
      <w:bodyDiv w:val="1"/>
      <w:marLeft w:val="0"/>
      <w:marRight w:val="0"/>
      <w:marTop w:val="0"/>
      <w:marBottom w:val="0"/>
      <w:divBdr>
        <w:top w:val="none" w:sz="0" w:space="0" w:color="auto"/>
        <w:left w:val="none" w:sz="0" w:space="0" w:color="auto"/>
        <w:bottom w:val="none" w:sz="0" w:space="0" w:color="auto"/>
        <w:right w:val="none" w:sz="0" w:space="0" w:color="auto"/>
      </w:divBdr>
    </w:div>
    <w:div w:id="402223226">
      <w:bodyDiv w:val="1"/>
      <w:marLeft w:val="0"/>
      <w:marRight w:val="0"/>
      <w:marTop w:val="0"/>
      <w:marBottom w:val="0"/>
      <w:divBdr>
        <w:top w:val="none" w:sz="0" w:space="0" w:color="auto"/>
        <w:left w:val="none" w:sz="0" w:space="0" w:color="auto"/>
        <w:bottom w:val="none" w:sz="0" w:space="0" w:color="auto"/>
        <w:right w:val="none" w:sz="0" w:space="0" w:color="auto"/>
      </w:divBdr>
    </w:div>
    <w:div w:id="546375486">
      <w:bodyDiv w:val="1"/>
      <w:marLeft w:val="0"/>
      <w:marRight w:val="0"/>
      <w:marTop w:val="0"/>
      <w:marBottom w:val="0"/>
      <w:divBdr>
        <w:top w:val="none" w:sz="0" w:space="0" w:color="auto"/>
        <w:left w:val="none" w:sz="0" w:space="0" w:color="auto"/>
        <w:bottom w:val="none" w:sz="0" w:space="0" w:color="auto"/>
        <w:right w:val="none" w:sz="0" w:space="0" w:color="auto"/>
      </w:divBdr>
    </w:div>
    <w:div w:id="567688838">
      <w:bodyDiv w:val="1"/>
      <w:marLeft w:val="0"/>
      <w:marRight w:val="0"/>
      <w:marTop w:val="0"/>
      <w:marBottom w:val="0"/>
      <w:divBdr>
        <w:top w:val="none" w:sz="0" w:space="0" w:color="auto"/>
        <w:left w:val="none" w:sz="0" w:space="0" w:color="auto"/>
        <w:bottom w:val="none" w:sz="0" w:space="0" w:color="auto"/>
        <w:right w:val="none" w:sz="0" w:space="0" w:color="auto"/>
      </w:divBdr>
    </w:div>
    <w:div w:id="759253428">
      <w:bodyDiv w:val="1"/>
      <w:marLeft w:val="0"/>
      <w:marRight w:val="0"/>
      <w:marTop w:val="0"/>
      <w:marBottom w:val="0"/>
      <w:divBdr>
        <w:top w:val="none" w:sz="0" w:space="0" w:color="auto"/>
        <w:left w:val="none" w:sz="0" w:space="0" w:color="auto"/>
        <w:bottom w:val="none" w:sz="0" w:space="0" w:color="auto"/>
        <w:right w:val="none" w:sz="0" w:space="0" w:color="auto"/>
      </w:divBdr>
    </w:div>
    <w:div w:id="950627110">
      <w:bodyDiv w:val="1"/>
      <w:marLeft w:val="0"/>
      <w:marRight w:val="0"/>
      <w:marTop w:val="0"/>
      <w:marBottom w:val="0"/>
      <w:divBdr>
        <w:top w:val="none" w:sz="0" w:space="0" w:color="auto"/>
        <w:left w:val="none" w:sz="0" w:space="0" w:color="auto"/>
        <w:bottom w:val="none" w:sz="0" w:space="0" w:color="auto"/>
        <w:right w:val="none" w:sz="0" w:space="0" w:color="auto"/>
      </w:divBdr>
    </w:div>
    <w:div w:id="975451848">
      <w:bodyDiv w:val="1"/>
      <w:marLeft w:val="0"/>
      <w:marRight w:val="0"/>
      <w:marTop w:val="0"/>
      <w:marBottom w:val="0"/>
      <w:divBdr>
        <w:top w:val="none" w:sz="0" w:space="0" w:color="auto"/>
        <w:left w:val="none" w:sz="0" w:space="0" w:color="auto"/>
        <w:bottom w:val="none" w:sz="0" w:space="0" w:color="auto"/>
        <w:right w:val="none" w:sz="0" w:space="0" w:color="auto"/>
      </w:divBdr>
    </w:div>
    <w:div w:id="1068842280">
      <w:bodyDiv w:val="1"/>
      <w:marLeft w:val="0"/>
      <w:marRight w:val="0"/>
      <w:marTop w:val="0"/>
      <w:marBottom w:val="0"/>
      <w:divBdr>
        <w:top w:val="none" w:sz="0" w:space="0" w:color="auto"/>
        <w:left w:val="none" w:sz="0" w:space="0" w:color="auto"/>
        <w:bottom w:val="none" w:sz="0" w:space="0" w:color="auto"/>
        <w:right w:val="none" w:sz="0" w:space="0" w:color="auto"/>
      </w:divBdr>
    </w:div>
    <w:div w:id="1116867940">
      <w:bodyDiv w:val="1"/>
      <w:marLeft w:val="0"/>
      <w:marRight w:val="0"/>
      <w:marTop w:val="0"/>
      <w:marBottom w:val="0"/>
      <w:divBdr>
        <w:top w:val="none" w:sz="0" w:space="0" w:color="auto"/>
        <w:left w:val="none" w:sz="0" w:space="0" w:color="auto"/>
        <w:bottom w:val="none" w:sz="0" w:space="0" w:color="auto"/>
        <w:right w:val="none" w:sz="0" w:space="0" w:color="auto"/>
      </w:divBdr>
    </w:div>
    <w:div w:id="1235627777">
      <w:bodyDiv w:val="1"/>
      <w:marLeft w:val="0"/>
      <w:marRight w:val="0"/>
      <w:marTop w:val="0"/>
      <w:marBottom w:val="0"/>
      <w:divBdr>
        <w:top w:val="none" w:sz="0" w:space="0" w:color="auto"/>
        <w:left w:val="none" w:sz="0" w:space="0" w:color="auto"/>
        <w:bottom w:val="none" w:sz="0" w:space="0" w:color="auto"/>
        <w:right w:val="none" w:sz="0" w:space="0" w:color="auto"/>
      </w:divBdr>
      <w:divsChild>
        <w:div w:id="1486243456">
          <w:marLeft w:val="0"/>
          <w:marRight w:val="0"/>
          <w:marTop w:val="0"/>
          <w:marBottom w:val="0"/>
          <w:divBdr>
            <w:top w:val="none" w:sz="0" w:space="0" w:color="auto"/>
            <w:left w:val="none" w:sz="0" w:space="0" w:color="auto"/>
            <w:bottom w:val="none" w:sz="0" w:space="0" w:color="auto"/>
            <w:right w:val="none" w:sz="0" w:space="0" w:color="auto"/>
          </w:divBdr>
        </w:div>
        <w:div w:id="2079477804">
          <w:marLeft w:val="0"/>
          <w:marRight w:val="0"/>
          <w:marTop w:val="0"/>
          <w:marBottom w:val="0"/>
          <w:divBdr>
            <w:top w:val="none" w:sz="0" w:space="0" w:color="auto"/>
            <w:left w:val="none" w:sz="0" w:space="0" w:color="auto"/>
            <w:bottom w:val="none" w:sz="0" w:space="0" w:color="auto"/>
            <w:right w:val="none" w:sz="0" w:space="0" w:color="auto"/>
          </w:divBdr>
          <w:divsChild>
            <w:div w:id="976957550">
              <w:marLeft w:val="0"/>
              <w:marRight w:val="165"/>
              <w:marTop w:val="150"/>
              <w:marBottom w:val="0"/>
              <w:divBdr>
                <w:top w:val="none" w:sz="0" w:space="0" w:color="auto"/>
                <w:left w:val="none" w:sz="0" w:space="0" w:color="auto"/>
                <w:bottom w:val="none" w:sz="0" w:space="0" w:color="auto"/>
                <w:right w:val="none" w:sz="0" w:space="0" w:color="auto"/>
              </w:divBdr>
              <w:divsChild>
                <w:div w:id="193931575">
                  <w:marLeft w:val="0"/>
                  <w:marRight w:val="0"/>
                  <w:marTop w:val="0"/>
                  <w:marBottom w:val="0"/>
                  <w:divBdr>
                    <w:top w:val="none" w:sz="0" w:space="0" w:color="auto"/>
                    <w:left w:val="none" w:sz="0" w:space="0" w:color="auto"/>
                    <w:bottom w:val="none" w:sz="0" w:space="0" w:color="auto"/>
                    <w:right w:val="none" w:sz="0" w:space="0" w:color="auto"/>
                  </w:divBdr>
                  <w:divsChild>
                    <w:div w:id="1117455414">
                      <w:marLeft w:val="-165"/>
                      <w:marRight w:val="-16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70495599">
      <w:bodyDiv w:val="1"/>
      <w:marLeft w:val="0"/>
      <w:marRight w:val="0"/>
      <w:marTop w:val="0"/>
      <w:marBottom w:val="0"/>
      <w:divBdr>
        <w:top w:val="none" w:sz="0" w:space="0" w:color="auto"/>
        <w:left w:val="none" w:sz="0" w:space="0" w:color="auto"/>
        <w:bottom w:val="none" w:sz="0" w:space="0" w:color="auto"/>
        <w:right w:val="none" w:sz="0" w:space="0" w:color="auto"/>
      </w:divBdr>
    </w:div>
    <w:div w:id="1372341862">
      <w:bodyDiv w:val="1"/>
      <w:marLeft w:val="0"/>
      <w:marRight w:val="0"/>
      <w:marTop w:val="0"/>
      <w:marBottom w:val="0"/>
      <w:divBdr>
        <w:top w:val="none" w:sz="0" w:space="0" w:color="auto"/>
        <w:left w:val="none" w:sz="0" w:space="0" w:color="auto"/>
        <w:bottom w:val="none" w:sz="0" w:space="0" w:color="auto"/>
        <w:right w:val="none" w:sz="0" w:space="0" w:color="auto"/>
      </w:divBdr>
    </w:div>
    <w:div w:id="1390373349">
      <w:bodyDiv w:val="1"/>
      <w:marLeft w:val="0"/>
      <w:marRight w:val="0"/>
      <w:marTop w:val="0"/>
      <w:marBottom w:val="0"/>
      <w:divBdr>
        <w:top w:val="none" w:sz="0" w:space="0" w:color="auto"/>
        <w:left w:val="none" w:sz="0" w:space="0" w:color="auto"/>
        <w:bottom w:val="none" w:sz="0" w:space="0" w:color="auto"/>
        <w:right w:val="none" w:sz="0" w:space="0" w:color="auto"/>
      </w:divBdr>
    </w:div>
    <w:div w:id="1428771804">
      <w:bodyDiv w:val="1"/>
      <w:marLeft w:val="0"/>
      <w:marRight w:val="0"/>
      <w:marTop w:val="0"/>
      <w:marBottom w:val="0"/>
      <w:divBdr>
        <w:top w:val="none" w:sz="0" w:space="0" w:color="auto"/>
        <w:left w:val="none" w:sz="0" w:space="0" w:color="auto"/>
        <w:bottom w:val="none" w:sz="0" w:space="0" w:color="auto"/>
        <w:right w:val="none" w:sz="0" w:space="0" w:color="auto"/>
      </w:divBdr>
    </w:div>
    <w:div w:id="1615331702">
      <w:bodyDiv w:val="1"/>
      <w:marLeft w:val="0"/>
      <w:marRight w:val="0"/>
      <w:marTop w:val="0"/>
      <w:marBottom w:val="0"/>
      <w:divBdr>
        <w:top w:val="none" w:sz="0" w:space="0" w:color="auto"/>
        <w:left w:val="none" w:sz="0" w:space="0" w:color="auto"/>
        <w:bottom w:val="none" w:sz="0" w:space="0" w:color="auto"/>
        <w:right w:val="none" w:sz="0" w:space="0" w:color="auto"/>
      </w:divBdr>
    </w:div>
    <w:div w:id="1696616082">
      <w:bodyDiv w:val="1"/>
      <w:marLeft w:val="0"/>
      <w:marRight w:val="0"/>
      <w:marTop w:val="0"/>
      <w:marBottom w:val="0"/>
      <w:divBdr>
        <w:top w:val="none" w:sz="0" w:space="0" w:color="auto"/>
        <w:left w:val="none" w:sz="0" w:space="0" w:color="auto"/>
        <w:bottom w:val="none" w:sz="0" w:space="0" w:color="auto"/>
        <w:right w:val="none" w:sz="0" w:space="0" w:color="auto"/>
      </w:divBdr>
    </w:div>
    <w:div w:id="1773667337">
      <w:bodyDiv w:val="1"/>
      <w:marLeft w:val="0"/>
      <w:marRight w:val="0"/>
      <w:marTop w:val="0"/>
      <w:marBottom w:val="0"/>
      <w:divBdr>
        <w:top w:val="none" w:sz="0" w:space="0" w:color="auto"/>
        <w:left w:val="none" w:sz="0" w:space="0" w:color="auto"/>
        <w:bottom w:val="none" w:sz="0" w:space="0" w:color="auto"/>
        <w:right w:val="none" w:sz="0" w:space="0" w:color="auto"/>
      </w:divBdr>
    </w:div>
    <w:div w:id="1831829112">
      <w:bodyDiv w:val="1"/>
      <w:marLeft w:val="0"/>
      <w:marRight w:val="0"/>
      <w:marTop w:val="0"/>
      <w:marBottom w:val="0"/>
      <w:divBdr>
        <w:top w:val="none" w:sz="0" w:space="0" w:color="auto"/>
        <w:left w:val="none" w:sz="0" w:space="0" w:color="auto"/>
        <w:bottom w:val="none" w:sz="0" w:space="0" w:color="auto"/>
        <w:right w:val="none" w:sz="0" w:space="0" w:color="auto"/>
      </w:divBdr>
    </w:div>
    <w:div w:id="1914774111">
      <w:bodyDiv w:val="1"/>
      <w:marLeft w:val="0"/>
      <w:marRight w:val="0"/>
      <w:marTop w:val="0"/>
      <w:marBottom w:val="0"/>
      <w:divBdr>
        <w:top w:val="none" w:sz="0" w:space="0" w:color="auto"/>
        <w:left w:val="none" w:sz="0" w:space="0" w:color="auto"/>
        <w:bottom w:val="none" w:sz="0" w:space="0" w:color="auto"/>
        <w:right w:val="none" w:sz="0" w:space="0" w:color="auto"/>
      </w:divBdr>
    </w:div>
    <w:div w:id="1927420124">
      <w:bodyDiv w:val="1"/>
      <w:marLeft w:val="0"/>
      <w:marRight w:val="0"/>
      <w:marTop w:val="0"/>
      <w:marBottom w:val="0"/>
      <w:divBdr>
        <w:top w:val="none" w:sz="0" w:space="0" w:color="auto"/>
        <w:left w:val="none" w:sz="0" w:space="0" w:color="auto"/>
        <w:bottom w:val="none" w:sz="0" w:space="0" w:color="auto"/>
        <w:right w:val="none" w:sz="0" w:space="0" w:color="auto"/>
      </w:divBdr>
    </w:div>
    <w:div w:id="1951358491">
      <w:bodyDiv w:val="1"/>
      <w:marLeft w:val="0"/>
      <w:marRight w:val="0"/>
      <w:marTop w:val="0"/>
      <w:marBottom w:val="0"/>
      <w:divBdr>
        <w:top w:val="none" w:sz="0" w:space="0" w:color="auto"/>
        <w:left w:val="none" w:sz="0" w:space="0" w:color="auto"/>
        <w:bottom w:val="none" w:sz="0" w:space="0" w:color="auto"/>
        <w:right w:val="none" w:sz="0" w:space="0" w:color="auto"/>
      </w:divBdr>
    </w:div>
    <w:div w:id="1955284262">
      <w:bodyDiv w:val="1"/>
      <w:marLeft w:val="0"/>
      <w:marRight w:val="0"/>
      <w:marTop w:val="0"/>
      <w:marBottom w:val="0"/>
      <w:divBdr>
        <w:top w:val="none" w:sz="0" w:space="0" w:color="auto"/>
        <w:left w:val="none" w:sz="0" w:space="0" w:color="auto"/>
        <w:bottom w:val="none" w:sz="0" w:space="0" w:color="auto"/>
        <w:right w:val="none" w:sz="0" w:space="0" w:color="auto"/>
      </w:divBdr>
    </w:div>
    <w:div w:id="1962684853">
      <w:bodyDiv w:val="1"/>
      <w:marLeft w:val="0"/>
      <w:marRight w:val="0"/>
      <w:marTop w:val="0"/>
      <w:marBottom w:val="0"/>
      <w:divBdr>
        <w:top w:val="none" w:sz="0" w:space="0" w:color="auto"/>
        <w:left w:val="none" w:sz="0" w:space="0" w:color="auto"/>
        <w:bottom w:val="none" w:sz="0" w:space="0" w:color="auto"/>
        <w:right w:val="none" w:sz="0" w:space="0" w:color="auto"/>
      </w:divBdr>
    </w:div>
    <w:div w:id="2055301352">
      <w:bodyDiv w:val="1"/>
      <w:marLeft w:val="0"/>
      <w:marRight w:val="0"/>
      <w:marTop w:val="0"/>
      <w:marBottom w:val="0"/>
      <w:divBdr>
        <w:top w:val="none" w:sz="0" w:space="0" w:color="auto"/>
        <w:left w:val="none" w:sz="0" w:space="0" w:color="auto"/>
        <w:bottom w:val="none" w:sz="0" w:space="0" w:color="auto"/>
        <w:right w:val="none" w:sz="0" w:space="0" w:color="auto"/>
      </w:divBdr>
    </w:div>
    <w:div w:id="2074548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urhanuddin@syariah.uin-malang.ac.id"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png"/></Relationships>
</file>

<file path=word/_rels/footnotes.xml.rels><?xml version="1.0" encoding="UTF-8" standalone="yes"?>
<Relationships xmlns="http://schemas.openxmlformats.org/package/2006/relationships"><Relationship Id="rId3" Type="http://schemas.openxmlformats.org/officeDocument/2006/relationships/hyperlink" Target="https://www.google.com/search?q=Maurice+Waite&amp;stick=H4sIAAAAAAAAAOPgE-LVT9c3NEyPr6gqyCo2VeLSz9U3MK3MSkkv1FLOKLfST87PyUlNLsnMz9MvL8osKUnNiy_PL8outkpNySzJL1rEyuubWFqUmZyqEJ6YWZK6g5VxFzsTByMARQOXOloAAAA&amp;sa=X&amp;ved=2ahUKEwjgt463sZH4AhVQILcAHXwCBHAQmxMoAnoECE8QBA" TargetMode="External"/><Relationship Id="rId2" Type="http://schemas.openxmlformats.org/officeDocument/2006/relationships/hyperlink" Target="https://www.google.com/search?q=concise+oxford+english+dictionary:+book+%26+cd-rom+set+angus+stevenson&amp;stick=H4sIAAAAAAAAAB3LQQrCMBAAQCoUe1APvmBR8CBIWsGDPfuPUpM1TRt3Szba6nN8hfg60eMcJlss58qqorDV-OxbOaxmP-77o21zr7frZiiVZu9RR8ekhuBiRKoGDp2UaFzk8EpPmkk7QeDxwsEAkvVOGjDuv-rwKOHM3MEGtNkFvoJghJrsTUAi3pGE6Z0mn-kkS770j_jFkwAAAA&amp;sa=X&amp;ved=2ahUKEwjgt463sZH4AhVQILcAHXwCBHAQmxMoAXoECE8QAw" TargetMode="External"/><Relationship Id="rId1" Type="http://schemas.openxmlformats.org/officeDocument/2006/relationships/hyperlink" Target="https://bisnis.tempo.co/read/1578831/wapres-maruf-amin-pertumbuhan-industri-asuransi-syariah-rendah" TargetMode="External"/><Relationship Id="rId4" Type="http://schemas.openxmlformats.org/officeDocument/2006/relationships/hyperlink" Target="http://en.wikipedia.org/wiki/Oxford_University_Pre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A673DEC-65AF-4B4B-8EFE-B7B14FAC1B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4775</Words>
  <Characters>27221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 240-G7</dc:creator>
  <cp:keywords/>
  <dc:description/>
  <cp:lastModifiedBy>ASUS</cp:lastModifiedBy>
  <cp:revision>2</cp:revision>
  <cp:lastPrinted>2022-07-15T01:34:00Z</cp:lastPrinted>
  <dcterms:created xsi:type="dcterms:W3CDTF">2023-04-13T02:47:00Z</dcterms:created>
  <dcterms:modified xsi:type="dcterms:W3CDTF">2023-04-13T02:47:00Z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10th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8th edition</vt:lpwstr>
  </property>
  <property fmtid="{D5CDD505-2E9C-101B-9397-08002B2CF9AE}" pid="22" name="Mendeley Document_1">
    <vt:lpwstr>True</vt:lpwstr>
  </property>
  <property fmtid="{D5CDD505-2E9C-101B-9397-08002B2CF9AE}" pid="23" name="Mendeley Unique User Id_1">
    <vt:lpwstr>cc0325c4-6e49-38c0-a4b2-afee54c7a0c5</vt:lpwstr>
  </property>
  <property fmtid="{D5CDD505-2E9C-101B-9397-08002B2CF9AE}" pid="24" name="Mendeley Citation Style_1">
    <vt:lpwstr>http://www.zotero.org/styles/chicago-fullnote-bibliography</vt:lpwstr>
  </property>
</Properties>
</file>