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A68FD" w:rsidRPr="001038BB" w:rsidRDefault="00132CA1" w:rsidP="00065C87">
      <w:pPr>
        <w:spacing w:after="0" w:line="240" w:lineRule="auto"/>
        <w:jc w:val="center"/>
        <w:rPr>
          <w:rFonts w:ascii="Book Antiqua" w:hAnsi="Book Antiqua" w:cs="Times New Roman"/>
          <w:b/>
          <w:sz w:val="24"/>
          <w:szCs w:val="24"/>
          <w:lang w:eastAsia="en-ID"/>
        </w:rPr>
      </w:pPr>
      <w:r w:rsidRPr="00132CA1">
        <w:rPr>
          <w:rFonts w:ascii="Book Antiqua" w:hAnsi="Book Antiqua" w:cs="Times New Roman"/>
          <w:b/>
          <w:bCs/>
          <w:sz w:val="24"/>
          <w:szCs w:val="24"/>
          <w:lang w:eastAsia="en-ID"/>
        </w:rPr>
        <w:t>THE VIEWS OF ISLAMIC SCHOLARS ON THE APPLICATION OF THE NADZAR SYSTEM AS A MEDIUM FOR OBTAINING PROFITS IN FINANCING AL-QARDH CONTRACTS IN ISLAMIC MICROFINANCE INSTITUTIONS (LKMS) IN PASURUAN REGENCY</w:t>
      </w:r>
    </w:p>
    <w:p w:rsidR="00A04A41" w:rsidRPr="001038BB" w:rsidRDefault="00A04A41" w:rsidP="00065C87">
      <w:pPr>
        <w:spacing w:after="0" w:line="240" w:lineRule="auto"/>
        <w:jc w:val="center"/>
        <w:rPr>
          <w:rFonts w:ascii="Book Antiqua" w:hAnsi="Book Antiqua" w:cs="Times New Roman"/>
          <w:b/>
          <w:sz w:val="24"/>
          <w:szCs w:val="24"/>
          <w:lang w:eastAsia="en-ID"/>
        </w:rPr>
      </w:pPr>
    </w:p>
    <w:p w:rsidR="00A04A41" w:rsidRPr="001038BB" w:rsidRDefault="00A04A41" w:rsidP="00065C87">
      <w:pPr>
        <w:spacing w:after="0" w:line="240" w:lineRule="auto"/>
        <w:jc w:val="center"/>
        <w:rPr>
          <w:rFonts w:ascii="Book Antiqua" w:hAnsi="Book Antiqua" w:cs="Times New Roman"/>
          <w:b/>
          <w:sz w:val="24"/>
          <w:szCs w:val="24"/>
          <w:lang w:eastAsia="en-ID"/>
        </w:rPr>
      </w:pPr>
      <w:r w:rsidRPr="001038BB">
        <w:rPr>
          <w:rFonts w:ascii="Book Antiqua" w:hAnsi="Book Antiqua" w:cs="Times New Roman"/>
          <w:b/>
          <w:sz w:val="24"/>
          <w:szCs w:val="24"/>
          <w:lang w:eastAsia="en-ID"/>
        </w:rPr>
        <w:t>Parmujianto</w:t>
      </w:r>
    </w:p>
    <w:p w:rsidR="00A04A41" w:rsidRPr="001038BB" w:rsidRDefault="00132CA1" w:rsidP="00065C87">
      <w:pPr>
        <w:spacing w:after="0" w:line="240" w:lineRule="auto"/>
        <w:jc w:val="center"/>
        <w:rPr>
          <w:rFonts w:ascii="Book Antiqua" w:hAnsi="Book Antiqua" w:cs="Times New Roman"/>
          <w:b/>
          <w:sz w:val="24"/>
          <w:szCs w:val="24"/>
          <w:lang w:eastAsia="en-ID"/>
        </w:rPr>
      </w:pPr>
      <w:r w:rsidRPr="00132CA1">
        <w:rPr>
          <w:rFonts w:ascii="Book Antiqua" w:hAnsi="Book Antiqua" w:cs="Times New Roman"/>
          <w:b/>
          <w:sz w:val="24"/>
          <w:szCs w:val="24"/>
          <w:lang w:eastAsia="en-ID"/>
        </w:rPr>
        <w:t>Shari'ah Economic Law, STAI AL-Yasini Pasuruan, Indonesia</w:t>
      </w:r>
    </w:p>
    <w:p w:rsidR="005337C9" w:rsidRPr="001038BB" w:rsidRDefault="005337C9" w:rsidP="00065C87">
      <w:pPr>
        <w:spacing w:after="0" w:line="240" w:lineRule="auto"/>
        <w:jc w:val="center"/>
        <w:rPr>
          <w:rFonts w:ascii="Book Antiqua" w:hAnsi="Book Antiqua" w:cs="Times New Roman"/>
          <w:b/>
          <w:sz w:val="24"/>
          <w:szCs w:val="24"/>
          <w:lang w:eastAsia="en-ID"/>
        </w:rPr>
      </w:pPr>
      <w:r w:rsidRPr="001038BB">
        <w:rPr>
          <w:rFonts w:ascii="Book Antiqua" w:hAnsi="Book Antiqua" w:cs="Times New Roman"/>
          <w:b/>
          <w:sz w:val="24"/>
          <w:szCs w:val="24"/>
          <w:lang w:eastAsia="en-ID"/>
        </w:rPr>
        <w:t>Email: parmujianto 008@gmail.com</w:t>
      </w:r>
    </w:p>
    <w:p w:rsidR="00E31B70" w:rsidRPr="001038BB" w:rsidRDefault="00E31B70" w:rsidP="00E31B70">
      <w:pPr>
        <w:pStyle w:val="Heading1"/>
        <w:rPr>
          <w:rFonts w:ascii="Book Antiqua" w:hAnsi="Book Antiqua"/>
        </w:rPr>
      </w:pPr>
    </w:p>
    <w:p w:rsidR="00A04A41" w:rsidRPr="001038BB" w:rsidRDefault="00A04A41" w:rsidP="001B714F">
      <w:pPr>
        <w:tabs>
          <w:tab w:val="left" w:pos="1620"/>
        </w:tabs>
        <w:spacing w:after="0"/>
        <w:rPr>
          <w:rFonts w:ascii="Book Antiqua" w:hAnsi="Book Antiqua" w:cs="Times New Roman"/>
          <w:b/>
          <w:bCs/>
          <w:i/>
          <w:sz w:val="24"/>
          <w:szCs w:val="24"/>
        </w:rPr>
      </w:pPr>
      <w:r w:rsidRPr="001038BB">
        <w:rPr>
          <w:rFonts w:ascii="Book Antiqua" w:hAnsi="Book Antiqua" w:cs="Times New Roman"/>
          <w:b/>
          <w:bCs/>
          <w:i/>
          <w:sz w:val="24"/>
          <w:szCs w:val="24"/>
        </w:rPr>
        <w:t>Abstr</w:t>
      </w:r>
      <w:r w:rsidR="00972BA7">
        <w:rPr>
          <w:rFonts w:ascii="Book Antiqua" w:hAnsi="Book Antiqua" w:cs="Times New Roman"/>
          <w:b/>
          <w:bCs/>
          <w:i/>
          <w:sz w:val="24"/>
          <w:szCs w:val="24"/>
        </w:rPr>
        <w:t>act</w:t>
      </w:r>
    </w:p>
    <w:p w:rsidR="0050514F" w:rsidRDefault="00C30B52" w:rsidP="0050514F">
      <w:pPr>
        <w:spacing w:after="0"/>
        <w:ind w:firstLine="720"/>
        <w:jc w:val="both"/>
        <w:rPr>
          <w:rFonts w:ascii="Book Antiqua" w:hAnsi="Book Antiqua" w:cs="Times New Roman"/>
          <w:i/>
          <w:iCs/>
          <w:sz w:val="24"/>
          <w:szCs w:val="24"/>
        </w:rPr>
      </w:pPr>
      <w:r w:rsidRPr="00C30B52">
        <w:rPr>
          <w:rFonts w:ascii="Book Antiqua" w:hAnsi="Book Antiqua" w:cs="Times New Roman"/>
          <w:i/>
          <w:iCs/>
          <w:sz w:val="24"/>
          <w:szCs w:val="24"/>
        </w:rPr>
        <w:t>Pasuruan is a region where LKMS-BMT institutions have grown and developed rapidly. Each district has several LKMS-BMTs, whether they are pesantren-based, associated with community organizations, or part of other Islamic economic movements. This rapid development is driven not only by the professionalism and competence of the managers, as required by the government through the Ministry of Cooperatives, but also by the role and support of religious leaders and pesantren institutions as branding pillars.</w:t>
      </w:r>
    </w:p>
    <w:p w:rsidR="00C30B52" w:rsidRPr="00C30B52" w:rsidRDefault="00C30B52" w:rsidP="0050514F">
      <w:pPr>
        <w:spacing w:after="0"/>
        <w:ind w:firstLine="720"/>
        <w:jc w:val="both"/>
        <w:rPr>
          <w:rFonts w:ascii="Book Antiqua" w:hAnsi="Book Antiqua" w:cs="Times New Roman"/>
          <w:i/>
          <w:iCs/>
          <w:sz w:val="24"/>
          <w:szCs w:val="24"/>
        </w:rPr>
      </w:pPr>
      <w:r w:rsidRPr="00C30B52">
        <w:rPr>
          <w:rFonts w:ascii="Book Antiqua" w:hAnsi="Book Antiqua" w:cs="Times New Roman"/>
          <w:i/>
          <w:iCs/>
          <w:sz w:val="24"/>
          <w:szCs w:val="24"/>
        </w:rPr>
        <w:t>This study uses a qualitative descriptive analysis approach, reviewing literature and conducting interviews with members (customers) of LKMS-BMTs in Pasuruan that implement al-Qardh financing using the nadzar system. This aims to provide insights into</w:t>
      </w:r>
      <w:r w:rsidRPr="00C30B52">
        <w:rPr>
          <w:rFonts w:ascii="Book Antiqua" w:hAnsi="Book Antiqua" w:cs="Times New Roman"/>
          <w:i/>
          <w:iCs/>
          <w:sz w:val="24"/>
          <w:szCs w:val="24"/>
          <w:lang w:val="id-ID"/>
        </w:rPr>
        <w:t xml:space="preserve"> </w:t>
      </w:r>
      <w:r w:rsidRPr="00C30B52">
        <w:rPr>
          <w:rFonts w:ascii="Book Antiqua" w:hAnsi="Book Antiqua" w:cs="Times New Roman"/>
          <w:i/>
          <w:iCs/>
          <w:sz w:val="24"/>
          <w:szCs w:val="24"/>
        </w:rPr>
        <w:t>the</w:t>
      </w:r>
      <w:r w:rsidRPr="00C30B52">
        <w:rPr>
          <w:rFonts w:ascii="Book Antiqua" w:hAnsi="Book Antiqua" w:cs="Times New Roman"/>
          <w:i/>
          <w:iCs/>
          <w:sz w:val="24"/>
          <w:szCs w:val="24"/>
          <w:lang w:val="id-ID"/>
        </w:rPr>
        <w:t xml:space="preserve"> </w:t>
      </w:r>
      <w:r w:rsidRPr="00C30B52">
        <w:rPr>
          <w:rFonts w:ascii="Book Antiqua" w:hAnsi="Book Antiqua" w:cs="Times New Roman"/>
          <w:i/>
          <w:iCs/>
          <w:sz w:val="24"/>
          <w:szCs w:val="24"/>
        </w:rPr>
        <w:t>flexibility and comfort of the nadzar</w:t>
      </w:r>
      <w:r w:rsidRPr="00C30B52">
        <w:rPr>
          <w:rFonts w:ascii="Book Antiqua" w:hAnsi="Book Antiqua" w:cs="Times New Roman"/>
          <w:i/>
          <w:iCs/>
          <w:sz w:val="24"/>
          <w:szCs w:val="24"/>
          <w:lang w:val="id-ID"/>
        </w:rPr>
        <w:t xml:space="preserve"> </w:t>
      </w:r>
      <w:r w:rsidRPr="00C30B52">
        <w:rPr>
          <w:rFonts w:ascii="Book Antiqua" w:hAnsi="Book Antiqua" w:cs="Times New Roman"/>
          <w:i/>
          <w:iCs/>
          <w:sz w:val="24"/>
          <w:szCs w:val="24"/>
        </w:rPr>
        <w:t>system.</w:t>
      </w:r>
    </w:p>
    <w:p w:rsidR="001B714F" w:rsidRPr="00C30B52" w:rsidRDefault="00C30B52" w:rsidP="0050514F">
      <w:pPr>
        <w:spacing w:after="0"/>
        <w:ind w:firstLine="720"/>
        <w:jc w:val="both"/>
        <w:rPr>
          <w:rFonts w:ascii="Book Antiqua" w:hAnsi="Book Antiqua" w:cs="Times New Roman"/>
          <w:i/>
          <w:iCs/>
          <w:sz w:val="24"/>
          <w:szCs w:val="24"/>
        </w:rPr>
      </w:pPr>
      <w:r w:rsidRPr="00C30B52">
        <w:rPr>
          <w:rFonts w:ascii="Book Antiqua" w:hAnsi="Book Antiqua" w:cs="Times New Roman"/>
          <w:i/>
          <w:iCs/>
          <w:sz w:val="24"/>
          <w:szCs w:val="24"/>
        </w:rPr>
        <w:t>The findings show that pesantren scholars view the additional profits gained from the al-Qardh financing under the nadzar system as compliant with sharia principles. This system offers a solution for obtaining benefits while avoiding sharia non-compliance (interest, gambling, or uncertainty). Furthermore, the scholars regard this system as permissible and aligned with Islamic principles, as it serves as a solution to avoid harmful riba practices.</w:t>
      </w:r>
      <w:r w:rsidRPr="00C30B52">
        <w:rPr>
          <w:rFonts w:ascii="Book Antiqua" w:hAnsi="Book Antiqua" w:cs="Times New Roman"/>
          <w:i/>
          <w:iCs/>
          <w:sz w:val="24"/>
          <w:szCs w:val="24"/>
          <w:lang w:val="id-ID"/>
        </w:rPr>
        <w:t xml:space="preserve"> </w:t>
      </w:r>
      <w:r w:rsidRPr="00C30B52">
        <w:rPr>
          <w:rFonts w:ascii="Book Antiqua" w:hAnsi="Book Antiqua" w:cs="Times New Roman"/>
          <w:i/>
          <w:iCs/>
          <w:sz w:val="24"/>
          <w:szCs w:val="24"/>
        </w:rPr>
        <w:t>From an economic perspective, the application of this system in LKMS-BMTs demonstrates that it maintains positive trust among members, as it is seen as very helpful during financial difficulties. It is also regarded as a reliable preference when making sound decisions amid the prevalence of business practices disguising themselves as sharia-compliant.</w:t>
      </w:r>
    </w:p>
    <w:p w:rsidR="004D6465" w:rsidRPr="001038BB" w:rsidRDefault="00C30B52" w:rsidP="00972BA7">
      <w:pPr>
        <w:spacing w:before="240"/>
        <w:rPr>
          <w:rFonts w:ascii="Book Antiqua" w:hAnsi="Book Antiqua" w:cs="Times New Roman"/>
          <w:sz w:val="24"/>
          <w:szCs w:val="24"/>
        </w:rPr>
      </w:pPr>
      <w:r w:rsidRPr="00C30B52">
        <w:rPr>
          <w:rFonts w:ascii="Book Antiqua" w:hAnsi="Book Antiqua" w:cs="Times New Roman"/>
          <w:b/>
          <w:bCs/>
          <w:i/>
          <w:sz w:val="24"/>
          <w:szCs w:val="24"/>
        </w:rPr>
        <w:t>Keywords</w:t>
      </w:r>
      <w:r w:rsidRPr="00C30B52">
        <w:rPr>
          <w:rFonts w:ascii="Book Antiqua" w:hAnsi="Book Antiqua" w:cs="Times New Roman"/>
          <w:b/>
          <w:bCs/>
          <w:i/>
          <w:sz w:val="24"/>
          <w:szCs w:val="24"/>
          <w:lang w:val="id-ID"/>
        </w:rPr>
        <w:t xml:space="preserve">: </w:t>
      </w:r>
      <w:r w:rsidRPr="00C30B52">
        <w:rPr>
          <w:rFonts w:ascii="Book Antiqua" w:hAnsi="Book Antiqua" w:cs="Times New Roman"/>
          <w:i/>
          <w:sz w:val="24"/>
          <w:szCs w:val="24"/>
        </w:rPr>
        <w:t>Scholars (kiai), al-Qardh, Nadzar System, LKMS-BMT</w:t>
      </w:r>
      <w:r w:rsidRPr="00C30B52">
        <w:rPr>
          <w:rFonts w:ascii="Book Antiqua" w:hAnsi="Book Antiqua" w:cs="Times New Roman"/>
          <w:b/>
          <w:bCs/>
          <w:i/>
          <w:sz w:val="24"/>
          <w:szCs w:val="24"/>
        </w:rPr>
        <w:t xml:space="preserve"> </w:t>
      </w:r>
      <w:r w:rsidR="004D6465" w:rsidRPr="001038BB">
        <w:rPr>
          <w:rFonts w:ascii="Book Antiqua" w:hAnsi="Book Antiqua" w:cs="Times New Roman"/>
          <w:sz w:val="24"/>
          <w:szCs w:val="24"/>
        </w:rPr>
        <w:br w:type="page"/>
      </w:r>
    </w:p>
    <w:p w:rsidR="007356EB" w:rsidRPr="001038BB" w:rsidRDefault="00C30B52" w:rsidP="001B714F">
      <w:pPr>
        <w:pStyle w:val="Heading2"/>
        <w:numPr>
          <w:ilvl w:val="0"/>
          <w:numId w:val="0"/>
        </w:numPr>
        <w:spacing w:before="0" w:after="0" w:line="240" w:lineRule="auto"/>
        <w:rPr>
          <w:rFonts w:ascii="Book Antiqua" w:hAnsi="Book Antiqua"/>
        </w:rPr>
      </w:pPr>
      <w:r>
        <w:rPr>
          <w:rFonts w:ascii="Book Antiqua" w:hAnsi="Book Antiqua"/>
        </w:rPr>
        <w:lastRenderedPageBreak/>
        <w:t xml:space="preserve">Introduction </w:t>
      </w:r>
    </w:p>
    <w:p w:rsidR="00C30B52" w:rsidRPr="00C30B52" w:rsidRDefault="00C30B52" w:rsidP="00C30B52">
      <w:pPr>
        <w:pStyle w:val="ListParagraph"/>
        <w:autoSpaceDE w:val="0"/>
        <w:autoSpaceDN w:val="0"/>
        <w:adjustRightInd w:val="0"/>
        <w:spacing w:after="0" w:line="240" w:lineRule="auto"/>
        <w:ind w:left="0" w:firstLine="547"/>
        <w:jc w:val="both"/>
        <w:rPr>
          <w:rFonts w:ascii="Book Antiqua" w:hAnsi="Book Antiqua" w:cs="Times New Roman"/>
          <w:sz w:val="24"/>
          <w:szCs w:val="24"/>
        </w:rPr>
      </w:pPr>
      <w:r w:rsidRPr="00C30B52">
        <w:rPr>
          <w:rFonts w:ascii="Book Antiqua" w:hAnsi="Book Antiqua" w:cs="Times New Roman"/>
          <w:sz w:val="24"/>
          <w:szCs w:val="24"/>
        </w:rPr>
        <w:t>The development of Islamic economics and Islamic Microfinance Institutions (LKMS) in Indonesia has experienced significant growth. This growth positively impacts the community, such as improving economic conditions following the COVID-19 pandemic. However, this improvement is not matched by adequate job availability, as many skilled workers remain unemployed due to massive layoffs in various industries. These layoffs stem from businesses' inability to sustain high operational costs. Despite this challenge, a unique phenomenon accompanies the rise of Islamic economics and LKMS in Indonesia.</w:t>
      </w:r>
      <w:r w:rsidRPr="00C30B52">
        <w:rPr>
          <w:rFonts w:ascii="Book Antiqua" w:hAnsi="Book Antiqua" w:cs="Times New Roman"/>
          <w:sz w:val="24"/>
          <w:szCs w:val="24"/>
          <w:vertAlign w:val="superscript"/>
        </w:rPr>
        <w:footnoteReference w:id="1"/>
      </w:r>
    </w:p>
    <w:p w:rsidR="00C30B52" w:rsidRPr="00C30B52" w:rsidRDefault="00C30B52" w:rsidP="00C30B52">
      <w:pPr>
        <w:autoSpaceDE w:val="0"/>
        <w:autoSpaceDN w:val="0"/>
        <w:adjustRightInd w:val="0"/>
        <w:spacing w:after="0" w:line="240" w:lineRule="auto"/>
        <w:ind w:firstLine="461"/>
        <w:jc w:val="both"/>
        <w:rPr>
          <w:rFonts w:ascii="Book Antiqua" w:hAnsi="Book Antiqua" w:cs="Times New Roman"/>
          <w:sz w:val="24"/>
          <w:szCs w:val="24"/>
        </w:rPr>
      </w:pPr>
      <w:r w:rsidRPr="00C30B52">
        <w:rPr>
          <w:rFonts w:ascii="Book Antiqua" w:hAnsi="Book Antiqua" w:cs="Times New Roman"/>
          <w:sz w:val="24"/>
          <w:szCs w:val="24"/>
        </w:rPr>
        <w:t>Islamic Microfinance Institutions, both nationally and internationally, exemplify how Islamic economic systems adapt to conventional economies long dominant globally and in Indonesia. The rapid growth of LKMS-BMT demonstrates the public's recognition of the importance of transacting under sharia principles.</w:t>
      </w:r>
      <w:r w:rsidRPr="00C30B52">
        <w:rPr>
          <w:rFonts w:ascii="Book Antiqua" w:hAnsi="Book Antiqua" w:cs="Times New Roman"/>
          <w:sz w:val="24"/>
          <w:szCs w:val="24"/>
          <w:vertAlign w:val="superscript"/>
        </w:rPr>
        <w:footnoteReference w:id="2"/>
      </w:r>
    </w:p>
    <w:p w:rsidR="00C30B52" w:rsidRPr="00C30B52" w:rsidRDefault="00C30B52" w:rsidP="00C30B52">
      <w:pPr>
        <w:autoSpaceDE w:val="0"/>
        <w:autoSpaceDN w:val="0"/>
        <w:adjustRightInd w:val="0"/>
        <w:spacing w:after="0" w:line="240" w:lineRule="auto"/>
        <w:ind w:firstLine="461"/>
        <w:jc w:val="both"/>
        <w:rPr>
          <w:rFonts w:ascii="Book Antiqua" w:hAnsi="Book Antiqua" w:cs="Times New Roman"/>
          <w:sz w:val="24"/>
          <w:szCs w:val="24"/>
        </w:rPr>
      </w:pPr>
      <w:r w:rsidRPr="00C30B52">
        <w:rPr>
          <w:rFonts w:ascii="Book Antiqua" w:hAnsi="Book Antiqua" w:cs="Times New Roman"/>
          <w:sz w:val="24"/>
          <w:szCs w:val="24"/>
        </w:rPr>
        <w:t>In Pasuruan Regency, East Java, LKMS-BMTs (Baitul Maal wat Tamwil) have expanded significantly. Every sub-district hosts multiple institutions—ranging from pesantren-based organizations and community groups to various Islamic economic movements. This growth is not only attributed to the professionalism and competence of institution managers, as required by government standards through the Ministry of Cooperatives, but also to the pivotal role and support of ulama and pesantren institutions. These religious leaders and pesantren act as the branding for these financial institutions.</w:t>
      </w:r>
    </w:p>
    <w:p w:rsidR="00C30B52" w:rsidRPr="00C30B52" w:rsidRDefault="00C30B52" w:rsidP="00C30B52">
      <w:pPr>
        <w:autoSpaceDE w:val="0"/>
        <w:autoSpaceDN w:val="0"/>
        <w:adjustRightInd w:val="0"/>
        <w:spacing w:after="0" w:line="240" w:lineRule="auto"/>
        <w:ind w:firstLine="461"/>
        <w:jc w:val="both"/>
        <w:rPr>
          <w:rFonts w:ascii="Book Antiqua" w:hAnsi="Book Antiqua" w:cs="Times New Roman"/>
          <w:sz w:val="24"/>
          <w:szCs w:val="24"/>
        </w:rPr>
      </w:pPr>
      <w:r w:rsidRPr="00C30B52">
        <w:rPr>
          <w:rFonts w:ascii="Book Antiqua" w:hAnsi="Book Antiqua" w:cs="Times New Roman"/>
          <w:i/>
          <w:iCs/>
          <w:sz w:val="24"/>
          <w:szCs w:val="24"/>
        </w:rPr>
        <w:t>Baitul Maal wat Tamwil</w:t>
      </w:r>
      <w:r w:rsidRPr="00C30B52">
        <w:rPr>
          <w:rFonts w:ascii="Book Antiqua" w:hAnsi="Book Antiqua" w:cs="Times New Roman"/>
          <w:sz w:val="24"/>
          <w:szCs w:val="24"/>
        </w:rPr>
        <w:t xml:space="preserve"> (BMT), now renamed to Sharia Savings and Financing Cooperative (Koperasi Simpan Pinjam Pembiayaan Syariah or KSPPS), aligns with the Ministerial Regulation of Cooperatives and Small and Medium Enterprises No. 16/per/M.KUMK/IX/2015. As a non-bank Islamic financial institution with cooperative legal status, it can be established by individuals under the supervision of the Ministry of Cooperatives and SMEs. This type of non-bank Islamic Microfinance Institution (Lembaga Keuangan Mikro Syariah or LKMS) is represented by entities such as BMT.</w:t>
      </w:r>
      <w:r w:rsidRPr="00C30B52">
        <w:rPr>
          <w:rFonts w:ascii="Book Antiqua" w:hAnsi="Book Antiqua" w:cs="Times New Roman"/>
          <w:sz w:val="24"/>
          <w:szCs w:val="24"/>
          <w:lang w:val="id-ID"/>
        </w:rPr>
        <w:t xml:space="preserve"> </w:t>
      </w:r>
      <w:r w:rsidRPr="00C30B52">
        <w:rPr>
          <w:rFonts w:ascii="Book Antiqua" w:hAnsi="Book Antiqua" w:cs="Times New Roman"/>
          <w:sz w:val="24"/>
          <w:szCs w:val="24"/>
        </w:rPr>
        <w:t>BMT provides various Islamic financial services, including member savings, loans, and financing. These financial activities must comply with applicable regulations, such as cooperative laws, the fatwas of the National Sharia Board of the Indonesian Ulema Council (DSN MUI), ministerial regulations, cooperative statutes, and other relevant legal provisions.</w:t>
      </w:r>
      <w:r w:rsidRPr="00C30B52">
        <w:rPr>
          <w:rFonts w:ascii="Book Antiqua" w:hAnsi="Book Antiqua" w:cs="Times New Roman"/>
          <w:sz w:val="24"/>
          <w:szCs w:val="24"/>
          <w:lang w:val="id-ID"/>
        </w:rPr>
        <w:t xml:space="preserve"> </w:t>
      </w:r>
      <w:r w:rsidRPr="00C30B52">
        <w:rPr>
          <w:rFonts w:ascii="Book Antiqua" w:hAnsi="Book Antiqua" w:cs="Times New Roman"/>
          <w:sz w:val="24"/>
          <w:szCs w:val="24"/>
        </w:rPr>
        <w:t xml:space="preserve">The characteristics of BMT differ from other institutions like Sharia Cooperatives (Koperasi Syariah or KOPSYAH), Islamic Microfinance Institutions (LKMS), and other financial entities. The term </w:t>
      </w:r>
      <w:r w:rsidRPr="00C30B52">
        <w:rPr>
          <w:rFonts w:ascii="Book Antiqua" w:hAnsi="Book Antiqua" w:cs="Times New Roman"/>
          <w:i/>
          <w:iCs/>
          <w:sz w:val="24"/>
          <w:szCs w:val="24"/>
        </w:rPr>
        <w:t>Baitul Maal wa</w:t>
      </w:r>
      <w:r w:rsidRPr="00C30B52">
        <w:rPr>
          <w:rFonts w:ascii="Book Antiqua" w:hAnsi="Book Antiqua" w:cs="Times New Roman"/>
          <w:sz w:val="24"/>
          <w:szCs w:val="24"/>
        </w:rPr>
        <w:t xml:space="preserve"> </w:t>
      </w:r>
      <w:r w:rsidRPr="00C30B52">
        <w:rPr>
          <w:rFonts w:ascii="Book Antiqua" w:hAnsi="Book Antiqua" w:cs="Times New Roman"/>
          <w:i/>
          <w:iCs/>
          <w:sz w:val="24"/>
          <w:szCs w:val="24"/>
        </w:rPr>
        <w:t>at-Tamwil</w:t>
      </w:r>
      <w:r w:rsidRPr="00C30B52">
        <w:rPr>
          <w:rFonts w:ascii="Book Antiqua" w:hAnsi="Book Antiqua" w:cs="Times New Roman"/>
          <w:sz w:val="24"/>
          <w:szCs w:val="24"/>
        </w:rPr>
        <w:t xml:space="preserve"> reflects this unique identity: </w:t>
      </w:r>
      <w:r w:rsidRPr="00C30B52">
        <w:rPr>
          <w:rFonts w:ascii="Book Antiqua" w:hAnsi="Book Antiqua" w:cs="Times New Roman"/>
          <w:i/>
          <w:iCs/>
          <w:sz w:val="24"/>
          <w:szCs w:val="24"/>
        </w:rPr>
        <w:t>Baitul Maal</w:t>
      </w:r>
      <w:r w:rsidRPr="00C30B52">
        <w:rPr>
          <w:rFonts w:ascii="Book Antiqua" w:hAnsi="Book Antiqua" w:cs="Times New Roman"/>
          <w:sz w:val="24"/>
          <w:szCs w:val="24"/>
        </w:rPr>
        <w:t>, meaning "house of wealth," focuses on socio-economic activities, while at-Tamwil represents the business functions that form the core of BMT’s operations.</w:t>
      </w:r>
    </w:p>
    <w:p w:rsidR="00C30B52" w:rsidRPr="00C30B52" w:rsidRDefault="00C30B52" w:rsidP="00C30B52">
      <w:pPr>
        <w:pStyle w:val="ListParagraph"/>
        <w:spacing w:after="0"/>
        <w:ind w:left="0" w:firstLine="706"/>
        <w:jc w:val="both"/>
        <w:rPr>
          <w:rFonts w:ascii="Book Antiqua" w:hAnsi="Book Antiqua" w:cs="Times New Roman"/>
          <w:sz w:val="24"/>
          <w:szCs w:val="24"/>
        </w:rPr>
      </w:pPr>
      <w:r w:rsidRPr="00C30B52">
        <w:rPr>
          <w:rFonts w:ascii="Book Antiqua" w:hAnsi="Book Antiqua" w:cs="Times New Roman"/>
          <w:sz w:val="24"/>
          <w:szCs w:val="24"/>
        </w:rPr>
        <w:t>Among the Baitul Maal wa Tamwil (BMT) cooperatives operating in Pasuruan Regency are LKMS/KSPPS-BMT Maslahah Sidogiri, LKMS/KSPPS CMD Podokaton, Malabar Sharia Consumer Cooperative, and KSPPS DMU Podokaton Jatim. These four BMTs are categorized as non-bank financial institutions but do not possess the legal status of an Islamic Financial Institution (LKS). Instead, they fall under the supervision of the Ministry of Cooperatives and Small and Medium Enterprises.</w:t>
      </w:r>
      <w:r w:rsidRPr="00C30B52">
        <w:rPr>
          <w:rFonts w:ascii="Book Antiqua" w:hAnsi="Book Antiqua" w:cs="Times New Roman"/>
          <w:sz w:val="24"/>
          <w:szCs w:val="24"/>
          <w:lang w:val="id-ID"/>
        </w:rPr>
        <w:t xml:space="preserve"> </w:t>
      </w:r>
      <w:r w:rsidRPr="00C30B52">
        <w:rPr>
          <w:rFonts w:ascii="Book Antiqua" w:hAnsi="Book Antiqua" w:cs="Times New Roman"/>
          <w:sz w:val="24"/>
          <w:szCs w:val="24"/>
        </w:rPr>
        <w:t xml:space="preserve">BMTs have a unique dual function. As </w:t>
      </w:r>
      <w:r w:rsidRPr="00C30B52">
        <w:rPr>
          <w:rFonts w:ascii="Book Antiqua" w:hAnsi="Book Antiqua" w:cs="Times New Roman"/>
          <w:i/>
          <w:iCs/>
          <w:sz w:val="24"/>
          <w:szCs w:val="24"/>
        </w:rPr>
        <w:t>Baitul Maal</w:t>
      </w:r>
      <w:r w:rsidRPr="00C30B52">
        <w:rPr>
          <w:rFonts w:ascii="Book Antiqua" w:hAnsi="Book Antiqua" w:cs="Times New Roman"/>
          <w:sz w:val="24"/>
          <w:szCs w:val="24"/>
        </w:rPr>
        <w:t xml:space="preserve">, they manage </w:t>
      </w:r>
      <w:r w:rsidRPr="00C30B52">
        <w:rPr>
          <w:rFonts w:ascii="Book Antiqua" w:hAnsi="Book Antiqua" w:cs="Times New Roman"/>
          <w:i/>
          <w:iCs/>
          <w:sz w:val="24"/>
          <w:szCs w:val="24"/>
        </w:rPr>
        <w:t>zakat</w:t>
      </w:r>
      <w:r w:rsidRPr="00C30B52">
        <w:rPr>
          <w:rFonts w:ascii="Book Antiqua" w:hAnsi="Book Antiqua" w:cs="Times New Roman"/>
          <w:sz w:val="24"/>
          <w:szCs w:val="24"/>
        </w:rPr>
        <w:t xml:space="preserve">, </w:t>
      </w:r>
      <w:r w:rsidRPr="00C30B52">
        <w:rPr>
          <w:rFonts w:ascii="Book Antiqua" w:hAnsi="Book Antiqua" w:cs="Times New Roman"/>
          <w:i/>
          <w:iCs/>
          <w:sz w:val="24"/>
          <w:szCs w:val="24"/>
        </w:rPr>
        <w:t>infaq</w:t>
      </w:r>
      <w:r w:rsidRPr="00C30B52">
        <w:rPr>
          <w:rFonts w:ascii="Book Antiqua" w:hAnsi="Book Antiqua" w:cs="Times New Roman"/>
          <w:sz w:val="24"/>
          <w:szCs w:val="24"/>
        </w:rPr>
        <w:t xml:space="preserve">, and </w:t>
      </w:r>
      <w:r w:rsidRPr="00C30B52">
        <w:rPr>
          <w:rFonts w:ascii="Book Antiqua" w:hAnsi="Book Antiqua" w:cs="Times New Roman"/>
          <w:i/>
          <w:iCs/>
          <w:sz w:val="24"/>
          <w:szCs w:val="24"/>
        </w:rPr>
        <w:t>shadaqah</w:t>
      </w:r>
      <w:r w:rsidRPr="00C30B52">
        <w:rPr>
          <w:rFonts w:ascii="Book Antiqua" w:hAnsi="Book Antiqua" w:cs="Times New Roman"/>
          <w:sz w:val="24"/>
          <w:szCs w:val="24"/>
        </w:rPr>
        <w:t xml:space="preserve"> through the collection and distribution of individual </w:t>
      </w:r>
      <w:r w:rsidRPr="00C30B52">
        <w:rPr>
          <w:rFonts w:ascii="Book Antiqua" w:hAnsi="Book Antiqua" w:cs="Times New Roman"/>
          <w:i/>
          <w:iCs/>
          <w:sz w:val="24"/>
          <w:szCs w:val="24"/>
        </w:rPr>
        <w:t>zakat</w:t>
      </w:r>
      <w:r w:rsidRPr="00C30B52">
        <w:rPr>
          <w:rFonts w:ascii="Book Antiqua" w:hAnsi="Book Antiqua" w:cs="Times New Roman"/>
          <w:sz w:val="24"/>
          <w:szCs w:val="24"/>
        </w:rPr>
        <w:t xml:space="preserve"> or business </w:t>
      </w:r>
      <w:r w:rsidRPr="00C30B52">
        <w:rPr>
          <w:rFonts w:ascii="Book Antiqua" w:hAnsi="Book Antiqua" w:cs="Times New Roman"/>
          <w:i/>
          <w:iCs/>
          <w:sz w:val="24"/>
          <w:szCs w:val="24"/>
        </w:rPr>
        <w:t>zakat tijarah</w:t>
      </w:r>
      <w:r w:rsidRPr="00C30B52">
        <w:rPr>
          <w:rFonts w:ascii="Book Antiqua" w:hAnsi="Book Antiqua" w:cs="Times New Roman"/>
          <w:sz w:val="24"/>
          <w:szCs w:val="24"/>
        </w:rPr>
        <w:t xml:space="preserve">. As </w:t>
      </w:r>
      <w:r w:rsidRPr="00C30B52">
        <w:rPr>
          <w:rFonts w:ascii="Book Antiqua" w:hAnsi="Book Antiqua" w:cs="Times New Roman"/>
          <w:i/>
          <w:iCs/>
          <w:sz w:val="24"/>
          <w:szCs w:val="24"/>
        </w:rPr>
        <w:t>Baitul Tamwil</w:t>
      </w:r>
      <w:r w:rsidRPr="00C30B52">
        <w:rPr>
          <w:rFonts w:ascii="Book Antiqua" w:hAnsi="Book Antiqua" w:cs="Times New Roman"/>
          <w:sz w:val="24"/>
          <w:szCs w:val="24"/>
        </w:rPr>
        <w:t>, they focus on mobilizing and managing funds from members, by members, and for members, in accordance with Law No. 25 of 1992.</w:t>
      </w:r>
      <w:r w:rsidRPr="00C30B52">
        <w:rPr>
          <w:rFonts w:ascii="Book Antiqua" w:hAnsi="Book Antiqua" w:cs="Times New Roman"/>
          <w:sz w:val="24"/>
          <w:szCs w:val="24"/>
          <w:lang w:val="id-ID"/>
        </w:rPr>
        <w:t xml:space="preserve"> </w:t>
      </w:r>
      <w:r w:rsidRPr="00C30B52">
        <w:rPr>
          <w:rFonts w:ascii="Book Antiqua" w:hAnsi="Book Antiqua" w:cs="Times New Roman"/>
          <w:sz w:val="24"/>
          <w:szCs w:val="24"/>
        </w:rPr>
        <w:t xml:space="preserve">In addition to their social role of distributing social funds, BMTs provide </w:t>
      </w:r>
      <w:r w:rsidRPr="00C30B52">
        <w:rPr>
          <w:rFonts w:ascii="Book Antiqua" w:hAnsi="Book Antiqua" w:cs="Times New Roman"/>
          <w:i/>
          <w:iCs/>
          <w:sz w:val="24"/>
          <w:szCs w:val="24"/>
        </w:rPr>
        <w:t>qard</w:t>
      </w:r>
      <w:r w:rsidRPr="00C30B52">
        <w:rPr>
          <w:rFonts w:ascii="Book Antiqua" w:hAnsi="Book Antiqua" w:cs="Times New Roman"/>
          <w:sz w:val="24"/>
          <w:szCs w:val="24"/>
        </w:rPr>
        <w:t xml:space="preserve"> financing and </w:t>
      </w:r>
      <w:r w:rsidRPr="00C30B52">
        <w:rPr>
          <w:rFonts w:ascii="Book Antiqua" w:hAnsi="Book Antiqua" w:cs="Times New Roman"/>
          <w:i/>
          <w:iCs/>
          <w:sz w:val="24"/>
          <w:szCs w:val="24"/>
        </w:rPr>
        <w:t>al-Qardhul Hasan</w:t>
      </w:r>
      <w:r w:rsidRPr="00C30B52">
        <w:rPr>
          <w:rFonts w:ascii="Book Antiqua" w:hAnsi="Book Antiqua" w:cs="Times New Roman"/>
          <w:sz w:val="24"/>
          <w:szCs w:val="24"/>
        </w:rPr>
        <w:t xml:space="preserve"> to selected and eligible members.</w:t>
      </w:r>
      <w:r w:rsidRPr="00C30B52">
        <w:rPr>
          <w:rFonts w:ascii="Book Antiqua" w:hAnsi="Book Antiqua" w:cs="Times New Roman"/>
          <w:sz w:val="24"/>
          <w:szCs w:val="24"/>
          <w:vertAlign w:val="superscript"/>
        </w:rPr>
        <w:footnoteReference w:id="3"/>
      </w:r>
    </w:p>
    <w:p w:rsidR="00C30B52" w:rsidRPr="00C30B52" w:rsidRDefault="00C30B52" w:rsidP="00C30B52">
      <w:pPr>
        <w:pStyle w:val="ListParagraph"/>
        <w:spacing w:after="0"/>
        <w:ind w:left="0" w:firstLine="706"/>
        <w:jc w:val="both"/>
        <w:rPr>
          <w:rFonts w:ascii="Book Antiqua" w:hAnsi="Book Antiqua" w:cs="Times New Roman"/>
          <w:sz w:val="24"/>
          <w:szCs w:val="24"/>
        </w:rPr>
      </w:pPr>
      <w:r w:rsidRPr="00C30B52">
        <w:rPr>
          <w:rFonts w:ascii="Book Antiqua" w:hAnsi="Book Antiqua" w:cs="Times New Roman"/>
          <w:sz w:val="24"/>
          <w:szCs w:val="24"/>
        </w:rPr>
        <w:t>LKMS KSPPS BMT Maslahah, LKMS/KSPPS CMD Podokaton, Malabar Sharia Consumer Cooperative, and KSPPS DMU Podokaton Jatim are categorized as non-bank financial institutions based in Islamic boarding schools (</w:t>
      </w:r>
      <w:r w:rsidRPr="00C30B52">
        <w:rPr>
          <w:rFonts w:ascii="Book Antiqua" w:hAnsi="Book Antiqua" w:cs="Times New Roman"/>
          <w:i/>
          <w:iCs/>
          <w:sz w:val="24"/>
          <w:szCs w:val="24"/>
        </w:rPr>
        <w:t>pesantren</w:t>
      </w:r>
      <w:r w:rsidRPr="00C30B52">
        <w:rPr>
          <w:rFonts w:ascii="Book Antiqua" w:hAnsi="Book Antiqua" w:cs="Times New Roman"/>
          <w:sz w:val="24"/>
          <w:szCs w:val="24"/>
        </w:rPr>
        <w:t xml:space="preserve">). These BMTs provide loans for business capital and multipurpose needs using the </w:t>
      </w:r>
      <w:r w:rsidRPr="00C30B52">
        <w:rPr>
          <w:rFonts w:ascii="Book Antiqua" w:hAnsi="Book Antiqua" w:cs="Times New Roman"/>
          <w:i/>
          <w:iCs/>
          <w:sz w:val="24"/>
          <w:szCs w:val="24"/>
        </w:rPr>
        <w:t>al-Qardh</w:t>
      </w:r>
      <w:r w:rsidRPr="00C30B52">
        <w:rPr>
          <w:rFonts w:ascii="Book Antiqua" w:hAnsi="Book Antiqua" w:cs="Times New Roman"/>
          <w:sz w:val="24"/>
          <w:szCs w:val="24"/>
        </w:rPr>
        <w:t xml:space="preserve"> contract with a </w:t>
      </w:r>
      <w:r w:rsidRPr="00C30B52">
        <w:rPr>
          <w:rFonts w:ascii="Book Antiqua" w:hAnsi="Book Antiqua" w:cs="Times New Roman"/>
          <w:i/>
          <w:iCs/>
          <w:sz w:val="24"/>
          <w:szCs w:val="24"/>
        </w:rPr>
        <w:t>nadzar</w:t>
      </w:r>
      <w:r w:rsidRPr="00C30B52">
        <w:rPr>
          <w:rFonts w:ascii="Book Antiqua" w:hAnsi="Book Antiqua" w:cs="Times New Roman"/>
          <w:sz w:val="24"/>
          <w:szCs w:val="24"/>
        </w:rPr>
        <w:t xml:space="preserve"> system as one of their flagship products.</w:t>
      </w:r>
      <w:r w:rsidRPr="00C30B52">
        <w:rPr>
          <w:rFonts w:ascii="Book Antiqua" w:hAnsi="Book Antiqua" w:cs="Times New Roman"/>
          <w:sz w:val="24"/>
          <w:szCs w:val="24"/>
          <w:lang w:val="id-ID"/>
        </w:rPr>
        <w:t xml:space="preserve"> </w:t>
      </w:r>
      <w:r w:rsidRPr="00C30B52">
        <w:rPr>
          <w:rFonts w:ascii="Book Antiqua" w:hAnsi="Book Antiqua" w:cs="Times New Roman"/>
          <w:sz w:val="24"/>
          <w:szCs w:val="24"/>
        </w:rPr>
        <w:t>As a result, BMT/KSPPS institutions can enhance their members' business performance by increasing business income, profits, and assets.</w:t>
      </w:r>
      <w:r w:rsidRPr="00C30B52">
        <w:rPr>
          <w:rFonts w:ascii="Book Antiqua" w:hAnsi="Book Antiqua" w:cs="Times New Roman"/>
          <w:sz w:val="24"/>
          <w:szCs w:val="24"/>
          <w:vertAlign w:val="superscript"/>
        </w:rPr>
        <w:footnoteReference w:id="4"/>
      </w:r>
      <w:r w:rsidRPr="00C30B52">
        <w:rPr>
          <w:rFonts w:ascii="Book Antiqua" w:hAnsi="Book Antiqua" w:cs="Times New Roman"/>
          <w:sz w:val="24"/>
          <w:szCs w:val="24"/>
        </w:rPr>
        <w:t xml:space="preserve"> Evidence shows that financing members who use the </w:t>
      </w:r>
      <w:r w:rsidRPr="00C30B52">
        <w:rPr>
          <w:rFonts w:ascii="Book Antiqua" w:hAnsi="Book Antiqua" w:cs="Times New Roman"/>
          <w:i/>
          <w:iCs/>
          <w:sz w:val="24"/>
          <w:szCs w:val="24"/>
        </w:rPr>
        <w:t>al-Qardh</w:t>
      </w:r>
      <w:r w:rsidRPr="00C30B52">
        <w:rPr>
          <w:rFonts w:ascii="Book Antiqua" w:hAnsi="Book Antiqua" w:cs="Times New Roman"/>
          <w:sz w:val="24"/>
          <w:szCs w:val="24"/>
        </w:rPr>
        <w:t xml:space="preserve"> contract exhibit high loyalty, reflected in their comfort, trust, and peace of mind in conducting business. This has significantly contributed to the growth and revenue of LKMS-BMT.</w:t>
      </w:r>
    </w:p>
    <w:p w:rsidR="00C30B52" w:rsidRPr="00C30B52" w:rsidRDefault="00C30B52" w:rsidP="00C30B52">
      <w:pPr>
        <w:pStyle w:val="ListParagraph"/>
        <w:spacing w:after="0"/>
        <w:ind w:left="0" w:firstLine="706"/>
        <w:jc w:val="both"/>
        <w:rPr>
          <w:rFonts w:ascii="Book Antiqua" w:hAnsi="Book Antiqua" w:cs="Times New Roman"/>
          <w:sz w:val="24"/>
          <w:szCs w:val="24"/>
        </w:rPr>
      </w:pPr>
      <w:r w:rsidRPr="00C30B52">
        <w:rPr>
          <w:rFonts w:ascii="Book Antiqua" w:hAnsi="Book Antiqua" w:cs="Times New Roman"/>
          <w:sz w:val="24"/>
          <w:szCs w:val="24"/>
        </w:rPr>
        <w:t xml:space="preserve">In practice, beyond the standard products and contracts commonly applied by various institutions, LKMS-BMTs, particularly in Pasuruan Regency, strive to innovate and develop contracts to better serve their members. LKMS-BMT offers financing products using the </w:t>
      </w:r>
      <w:r w:rsidRPr="00C30B52">
        <w:rPr>
          <w:rFonts w:ascii="Book Antiqua" w:hAnsi="Book Antiqua" w:cs="Times New Roman"/>
          <w:i/>
          <w:iCs/>
          <w:sz w:val="24"/>
          <w:szCs w:val="24"/>
        </w:rPr>
        <w:t>al-Qardh</w:t>
      </w:r>
      <w:r w:rsidRPr="00C30B52">
        <w:rPr>
          <w:rFonts w:ascii="Book Antiqua" w:hAnsi="Book Antiqua" w:cs="Times New Roman"/>
          <w:sz w:val="24"/>
          <w:szCs w:val="24"/>
        </w:rPr>
        <w:t xml:space="preserve"> contract, which provides significant convenience for members in conducting financial transactions.</w:t>
      </w:r>
      <w:r w:rsidRPr="00C30B52">
        <w:rPr>
          <w:rFonts w:ascii="Book Antiqua" w:hAnsi="Book Antiqua" w:cs="Times New Roman"/>
          <w:sz w:val="24"/>
          <w:szCs w:val="24"/>
          <w:lang w:val="id-ID"/>
        </w:rPr>
        <w:t xml:space="preserve"> </w:t>
      </w:r>
      <w:r w:rsidRPr="00C30B52">
        <w:rPr>
          <w:rFonts w:ascii="Book Antiqua" w:hAnsi="Book Antiqua" w:cs="Times New Roman"/>
          <w:i/>
          <w:iCs/>
          <w:sz w:val="24"/>
          <w:szCs w:val="24"/>
        </w:rPr>
        <w:t>Al-Qardh</w:t>
      </w:r>
      <w:r w:rsidRPr="00C30B52">
        <w:rPr>
          <w:rFonts w:ascii="Book Antiqua" w:hAnsi="Book Antiqua" w:cs="Times New Roman"/>
          <w:sz w:val="24"/>
          <w:szCs w:val="24"/>
        </w:rPr>
        <w:t xml:space="preserve"> serves as a complementary product that has proven both reliable and trustworthy. It is ideal for members needing immediate short-term funding, such as emergency business capital, or for those requiring quick financing but are unable to withdraw their own funds due to certain constraints. For such needs, financing through the </w:t>
      </w:r>
      <w:r w:rsidRPr="00C30B52">
        <w:rPr>
          <w:rFonts w:ascii="Book Antiqua" w:hAnsi="Book Antiqua" w:cs="Times New Roman"/>
          <w:i/>
          <w:iCs/>
          <w:sz w:val="24"/>
          <w:szCs w:val="24"/>
        </w:rPr>
        <w:t>al-Qardh</w:t>
      </w:r>
      <w:r w:rsidRPr="00C30B52">
        <w:rPr>
          <w:rFonts w:ascii="Book Antiqua" w:hAnsi="Book Antiqua" w:cs="Times New Roman"/>
          <w:sz w:val="24"/>
          <w:szCs w:val="24"/>
        </w:rPr>
        <w:t xml:space="preserve"> contract is the most suitable option.</w:t>
      </w:r>
      <w:r w:rsidRPr="00C30B52">
        <w:rPr>
          <w:rFonts w:ascii="Book Antiqua" w:hAnsi="Book Antiqua" w:cs="Times New Roman"/>
          <w:sz w:val="24"/>
          <w:szCs w:val="24"/>
          <w:lang w:val="id-ID"/>
        </w:rPr>
        <w:t xml:space="preserve"> </w:t>
      </w:r>
      <w:r w:rsidRPr="00C30B52">
        <w:rPr>
          <w:rFonts w:ascii="Book Antiqua" w:hAnsi="Book Antiqua" w:cs="Times New Roman"/>
          <w:sz w:val="24"/>
          <w:szCs w:val="24"/>
        </w:rPr>
        <w:t xml:space="preserve">Additionally, </w:t>
      </w:r>
      <w:r w:rsidRPr="00C30B52">
        <w:rPr>
          <w:rFonts w:ascii="Book Antiqua" w:hAnsi="Book Antiqua" w:cs="Times New Roman"/>
          <w:i/>
          <w:iCs/>
          <w:sz w:val="24"/>
          <w:szCs w:val="24"/>
        </w:rPr>
        <w:t>al-Qardh</w:t>
      </w:r>
      <w:r w:rsidRPr="00C30B52">
        <w:rPr>
          <w:rFonts w:ascii="Book Antiqua" w:hAnsi="Book Antiqua" w:cs="Times New Roman"/>
          <w:sz w:val="24"/>
          <w:szCs w:val="24"/>
        </w:rPr>
        <w:t xml:space="preserve"> functions as a social product to support members’ businesses or assist in social sectors. Members repay the principal loan promptly, equal to the amount they borrowed.</w:t>
      </w:r>
      <w:r w:rsidRPr="00C30B52">
        <w:rPr>
          <w:rFonts w:ascii="Book Antiqua" w:hAnsi="Book Antiqua" w:cs="Times New Roman"/>
          <w:sz w:val="24"/>
          <w:szCs w:val="24"/>
          <w:vertAlign w:val="superscript"/>
        </w:rPr>
        <w:footnoteReference w:id="5"/>
      </w:r>
    </w:p>
    <w:p w:rsidR="00C30B52" w:rsidRPr="00C30B52" w:rsidRDefault="00C30B52" w:rsidP="00C30B52">
      <w:pPr>
        <w:spacing w:after="0" w:line="240" w:lineRule="auto"/>
        <w:ind w:firstLine="720"/>
        <w:jc w:val="both"/>
        <w:rPr>
          <w:rFonts w:ascii="Book Antiqua" w:hAnsi="Book Antiqua" w:cs="Times New Roman"/>
          <w:sz w:val="24"/>
          <w:szCs w:val="24"/>
        </w:rPr>
      </w:pPr>
      <w:r w:rsidRPr="00C30B52">
        <w:rPr>
          <w:rFonts w:ascii="Book Antiqua" w:hAnsi="Book Antiqua" w:cs="Times New Roman"/>
          <w:i/>
          <w:iCs/>
          <w:sz w:val="24"/>
          <w:szCs w:val="24"/>
        </w:rPr>
        <w:t>Al-Qardh</w:t>
      </w:r>
      <w:r w:rsidRPr="00C30B52">
        <w:rPr>
          <w:rFonts w:ascii="Book Antiqua" w:hAnsi="Book Antiqua" w:cs="Times New Roman"/>
          <w:sz w:val="24"/>
          <w:szCs w:val="24"/>
        </w:rPr>
        <w:t xml:space="preserve"> and </w:t>
      </w:r>
      <w:r w:rsidRPr="00C30B52">
        <w:rPr>
          <w:rFonts w:ascii="Book Antiqua" w:hAnsi="Book Antiqua" w:cs="Times New Roman"/>
          <w:i/>
          <w:iCs/>
          <w:sz w:val="24"/>
          <w:szCs w:val="24"/>
        </w:rPr>
        <w:t>al-Qardhul</w:t>
      </w:r>
      <w:r w:rsidRPr="00C30B52">
        <w:rPr>
          <w:rFonts w:ascii="Book Antiqua" w:hAnsi="Book Antiqua" w:cs="Times New Roman"/>
          <w:sz w:val="24"/>
          <w:szCs w:val="24"/>
        </w:rPr>
        <w:t xml:space="preserve"> Hasan are the only loan contracts free from interest. More specifically, al-Qardhul Hasan is a benevolent loan that is non-commercial and purely social in nature.</w:t>
      </w:r>
      <w:r w:rsidRPr="00C30B52">
        <w:rPr>
          <w:rFonts w:ascii="Book Antiqua" w:hAnsi="Book Antiqua" w:cs="Times New Roman"/>
          <w:sz w:val="24"/>
          <w:szCs w:val="24"/>
          <w:vertAlign w:val="superscript"/>
        </w:rPr>
        <w:footnoteReference w:id="6"/>
      </w:r>
      <w:r w:rsidRPr="00C30B52">
        <w:rPr>
          <w:rFonts w:ascii="Book Antiqua" w:hAnsi="Book Antiqua" w:cs="Times New Roman"/>
          <w:sz w:val="24"/>
          <w:szCs w:val="24"/>
        </w:rPr>
        <w:t xml:space="preserve"> The funds for these loans are sourced from social funds such as zakat, infaq, sedekah, donations (hibah), cash endowments (wakaf uang), or even from the capital of LKMS-BMT itself.</w:t>
      </w:r>
      <w:r w:rsidRPr="00C30B52">
        <w:rPr>
          <w:rFonts w:ascii="Book Antiqua" w:hAnsi="Book Antiqua" w:cs="Times New Roman"/>
          <w:sz w:val="24"/>
          <w:szCs w:val="24"/>
          <w:lang w:val="id-ID"/>
        </w:rPr>
        <w:t xml:space="preserve"> </w:t>
      </w:r>
      <w:r w:rsidRPr="00C30B52">
        <w:rPr>
          <w:rFonts w:ascii="Book Antiqua" w:hAnsi="Book Antiqua" w:cs="Times New Roman"/>
          <w:sz w:val="24"/>
          <w:szCs w:val="24"/>
        </w:rPr>
        <w:t xml:space="preserve">The </w:t>
      </w:r>
      <w:r w:rsidRPr="00C30B52">
        <w:rPr>
          <w:rFonts w:ascii="Book Antiqua" w:hAnsi="Book Antiqua" w:cs="Times New Roman"/>
          <w:i/>
          <w:iCs/>
          <w:sz w:val="24"/>
          <w:szCs w:val="24"/>
        </w:rPr>
        <w:t>al-Qardh</w:t>
      </w:r>
      <w:r w:rsidRPr="00C30B52">
        <w:rPr>
          <w:rFonts w:ascii="Book Antiqua" w:hAnsi="Book Antiqua" w:cs="Times New Roman"/>
          <w:sz w:val="24"/>
          <w:szCs w:val="24"/>
        </w:rPr>
        <w:t xml:space="preserve"> contract is regulated under Bank Indonesia Regulation No. 7/46/PBI/2015, which defines it as a loan agreement without compensation, requiring the borrower to repay the principal amount either in full or in installments within a specified period.</w:t>
      </w:r>
      <w:r w:rsidRPr="00C30B52">
        <w:rPr>
          <w:rFonts w:ascii="Book Antiqua" w:hAnsi="Book Antiqua" w:cs="Times New Roman"/>
          <w:sz w:val="24"/>
          <w:szCs w:val="24"/>
          <w:lang w:val="id-ID"/>
        </w:rPr>
        <w:t xml:space="preserve"> </w:t>
      </w:r>
      <w:r w:rsidRPr="00C30B52">
        <w:rPr>
          <w:rFonts w:ascii="Book Antiqua" w:hAnsi="Book Antiqua" w:cs="Times New Roman"/>
          <w:sz w:val="24"/>
          <w:szCs w:val="24"/>
        </w:rPr>
        <w:t xml:space="preserve">For LKMS-BMT, the </w:t>
      </w:r>
      <w:r w:rsidRPr="00C30B52">
        <w:rPr>
          <w:rFonts w:ascii="Book Antiqua" w:hAnsi="Book Antiqua" w:cs="Times New Roman"/>
          <w:i/>
          <w:iCs/>
          <w:sz w:val="24"/>
          <w:szCs w:val="24"/>
        </w:rPr>
        <w:t xml:space="preserve">al-Qardh </w:t>
      </w:r>
      <w:r w:rsidRPr="00C30B52">
        <w:rPr>
          <w:rFonts w:ascii="Book Antiqua" w:hAnsi="Book Antiqua" w:cs="Times New Roman"/>
          <w:sz w:val="24"/>
          <w:szCs w:val="24"/>
        </w:rPr>
        <w:t xml:space="preserve">contract is implemented by lending funds to meet the short-term needs of its members, particularly for urgent liquidity purposes. Members needing funds for their small businesses or those seeking to secure a hajj quota immediately can benefit from the </w:t>
      </w:r>
      <w:r w:rsidRPr="00C30B52">
        <w:rPr>
          <w:rFonts w:ascii="Book Antiqua" w:hAnsi="Book Antiqua" w:cs="Times New Roman"/>
          <w:i/>
          <w:iCs/>
          <w:sz w:val="24"/>
          <w:szCs w:val="24"/>
        </w:rPr>
        <w:t>al-Qardh</w:t>
      </w:r>
      <w:r w:rsidRPr="00C30B52">
        <w:rPr>
          <w:rFonts w:ascii="Book Antiqua" w:hAnsi="Book Antiqua" w:cs="Times New Roman"/>
          <w:sz w:val="24"/>
          <w:szCs w:val="24"/>
        </w:rPr>
        <w:t xml:space="preserve"> contract as the appropriate financing scheme for such needs.</w:t>
      </w:r>
    </w:p>
    <w:p w:rsidR="00C30B52" w:rsidRPr="00C30B52" w:rsidRDefault="00C30B52" w:rsidP="00C30B52">
      <w:pPr>
        <w:spacing w:after="0" w:line="240" w:lineRule="auto"/>
        <w:ind w:firstLine="720"/>
        <w:jc w:val="both"/>
        <w:rPr>
          <w:rFonts w:ascii="Book Antiqua" w:hAnsi="Book Antiqua" w:cs="Times New Roman"/>
          <w:sz w:val="24"/>
          <w:szCs w:val="24"/>
        </w:rPr>
      </w:pPr>
      <w:r w:rsidRPr="00C30B52">
        <w:rPr>
          <w:rFonts w:ascii="Book Antiqua" w:hAnsi="Book Antiqua" w:cs="Times New Roman"/>
          <w:sz w:val="24"/>
          <w:szCs w:val="24"/>
        </w:rPr>
        <w:t xml:space="preserve">In practice, the repayment of the principal loan under the </w:t>
      </w:r>
      <w:r w:rsidRPr="00C30B52">
        <w:rPr>
          <w:rFonts w:ascii="Book Antiqua" w:hAnsi="Book Antiqua" w:cs="Times New Roman"/>
          <w:i/>
          <w:iCs/>
          <w:sz w:val="24"/>
          <w:szCs w:val="24"/>
        </w:rPr>
        <w:t>al-Qardh</w:t>
      </w:r>
      <w:r w:rsidRPr="00C30B52">
        <w:rPr>
          <w:rFonts w:ascii="Book Antiqua" w:hAnsi="Book Antiqua" w:cs="Times New Roman"/>
          <w:sz w:val="24"/>
          <w:szCs w:val="24"/>
        </w:rPr>
        <w:t xml:space="preserve"> contract is often accompanied by a small contribution or donation from the profits earned by members, which is allocated to the income of the KSPPS-BMT. This contribution is declared voluntarily by the members at the beginning, prior to the </w:t>
      </w:r>
      <w:r w:rsidRPr="00C30B52">
        <w:rPr>
          <w:rFonts w:ascii="Book Antiqua" w:hAnsi="Book Antiqua" w:cs="Times New Roman"/>
          <w:i/>
          <w:iCs/>
          <w:sz w:val="24"/>
          <w:szCs w:val="24"/>
        </w:rPr>
        <w:t>al-Qardh</w:t>
      </w:r>
      <w:r w:rsidRPr="00C30B52">
        <w:rPr>
          <w:rFonts w:ascii="Book Antiqua" w:hAnsi="Book Antiqua" w:cs="Times New Roman"/>
          <w:sz w:val="24"/>
          <w:szCs w:val="24"/>
        </w:rPr>
        <w:t xml:space="preserve"> loan agreement, with the intention or commitment (nadzar) to provide a certain benefit to the LKMS-BMT.</w:t>
      </w:r>
      <w:r w:rsidRPr="00C30B52">
        <w:rPr>
          <w:rFonts w:ascii="Book Antiqua" w:hAnsi="Book Antiqua" w:cs="Times New Roman"/>
          <w:sz w:val="24"/>
          <w:szCs w:val="24"/>
          <w:lang w:val="id-ID"/>
        </w:rPr>
        <w:t xml:space="preserve"> </w:t>
      </w:r>
      <w:r w:rsidRPr="00C30B52">
        <w:rPr>
          <w:rFonts w:ascii="Book Antiqua" w:hAnsi="Book Antiqua" w:cs="Times New Roman"/>
          <w:sz w:val="24"/>
          <w:szCs w:val="24"/>
        </w:rPr>
        <w:t>Members are committed to fulfilling their pledge by honoring the nadzar they have stated, whether verbally or in writing.</w:t>
      </w:r>
    </w:p>
    <w:p w:rsidR="00C30B52" w:rsidRPr="00C30B52" w:rsidRDefault="00C30B52" w:rsidP="00C30B52">
      <w:pPr>
        <w:spacing w:after="0" w:line="240" w:lineRule="auto"/>
        <w:ind w:firstLine="720"/>
        <w:jc w:val="both"/>
        <w:rPr>
          <w:rFonts w:ascii="Book Antiqua" w:hAnsi="Book Antiqua" w:cs="Times New Roman"/>
          <w:sz w:val="24"/>
          <w:szCs w:val="24"/>
        </w:rPr>
      </w:pPr>
      <w:r w:rsidRPr="00C30B52">
        <w:rPr>
          <w:rFonts w:ascii="Book Antiqua" w:hAnsi="Book Antiqua" w:cs="Times New Roman"/>
          <w:sz w:val="24"/>
          <w:szCs w:val="24"/>
        </w:rPr>
        <w:t xml:space="preserve">In the practice of nadzar in </w:t>
      </w:r>
      <w:r w:rsidRPr="00C30B52">
        <w:rPr>
          <w:rFonts w:ascii="Book Antiqua" w:hAnsi="Book Antiqua" w:cs="Times New Roman"/>
          <w:i/>
          <w:iCs/>
          <w:sz w:val="24"/>
          <w:szCs w:val="24"/>
        </w:rPr>
        <w:t>al-Qardh</w:t>
      </w:r>
      <w:r w:rsidRPr="00C30B52">
        <w:rPr>
          <w:rFonts w:ascii="Book Antiqua" w:hAnsi="Book Antiqua" w:cs="Times New Roman"/>
          <w:sz w:val="24"/>
          <w:szCs w:val="24"/>
        </w:rPr>
        <w:t xml:space="preserve"> financing, members voluntarily, and even proactively, request the inclusion of a nadzar-based agreement as a demonstration of their seriousness and prudence. This approach allows members to feel that they are contributing to the income of LKMS-BMT.</w:t>
      </w:r>
      <w:r w:rsidRPr="00C30B52">
        <w:rPr>
          <w:rFonts w:ascii="Book Antiqua" w:hAnsi="Book Antiqua" w:cs="Times New Roman"/>
          <w:sz w:val="24"/>
          <w:szCs w:val="24"/>
          <w:lang w:val="id-ID"/>
        </w:rPr>
        <w:t xml:space="preserve"> </w:t>
      </w:r>
      <w:r w:rsidRPr="00C30B52">
        <w:rPr>
          <w:rFonts w:ascii="Book Antiqua" w:hAnsi="Book Antiqua" w:cs="Times New Roman"/>
          <w:sz w:val="24"/>
          <w:szCs w:val="24"/>
        </w:rPr>
        <w:t>Members allocate a small portion of their business income as a profit-sharing contribution to LKMS-BMT. The amount is relatively minimal compared to the daily or weekly interest rates imposed by conventional banks or loan sharks, which often charge exorbitantly high and oppressive interest rates.</w:t>
      </w:r>
    </w:p>
    <w:p w:rsidR="00C30B52" w:rsidRPr="00C30B52" w:rsidRDefault="00C30B52" w:rsidP="00C30B52">
      <w:pPr>
        <w:spacing w:after="0" w:line="240" w:lineRule="auto"/>
        <w:ind w:firstLine="720"/>
        <w:jc w:val="both"/>
        <w:rPr>
          <w:rFonts w:ascii="Book Antiqua" w:hAnsi="Book Antiqua" w:cs="Times New Roman"/>
          <w:sz w:val="24"/>
          <w:szCs w:val="24"/>
        </w:rPr>
      </w:pPr>
      <w:r w:rsidRPr="00C30B52">
        <w:rPr>
          <w:rFonts w:ascii="Book Antiqua" w:hAnsi="Book Antiqua" w:cs="Times New Roman"/>
          <w:sz w:val="24"/>
          <w:szCs w:val="24"/>
        </w:rPr>
        <w:t>The nadzar in question refers to a self-imposed obligation by a member to perform or abstain from a certain act with the intention of honoring and drawing closer to Allah SWT. Essentially, it is a vow made to Allah SWT to either carry out or refrain from an action.</w:t>
      </w:r>
      <w:r w:rsidRPr="00C30B52">
        <w:rPr>
          <w:rFonts w:ascii="Book Antiqua" w:hAnsi="Book Antiqua" w:cs="Times New Roman"/>
          <w:sz w:val="24"/>
          <w:szCs w:val="24"/>
          <w:vertAlign w:val="superscript"/>
        </w:rPr>
        <w:footnoteReference w:id="7"/>
      </w:r>
      <w:r w:rsidRPr="00C30B52">
        <w:rPr>
          <w:rFonts w:ascii="Book Antiqua" w:hAnsi="Book Antiqua" w:cs="Times New Roman"/>
          <w:sz w:val="24"/>
          <w:szCs w:val="24"/>
          <w:lang w:val="id-ID"/>
        </w:rPr>
        <w:t xml:space="preserve"> </w:t>
      </w:r>
      <w:r w:rsidRPr="00C30B52">
        <w:rPr>
          <w:rFonts w:ascii="Book Antiqua" w:hAnsi="Book Antiqua" w:cs="Times New Roman"/>
          <w:sz w:val="24"/>
          <w:szCs w:val="24"/>
        </w:rPr>
        <w:t xml:space="preserve">The surplus over the principal loan in an </w:t>
      </w:r>
      <w:r w:rsidRPr="00C30B52">
        <w:rPr>
          <w:rFonts w:ascii="Book Antiqua" w:hAnsi="Book Antiqua" w:cs="Times New Roman"/>
          <w:i/>
          <w:iCs/>
          <w:sz w:val="24"/>
          <w:szCs w:val="24"/>
        </w:rPr>
        <w:t>al-Qardh</w:t>
      </w:r>
      <w:r w:rsidRPr="00C30B52">
        <w:rPr>
          <w:rFonts w:ascii="Book Antiqua" w:hAnsi="Book Antiqua" w:cs="Times New Roman"/>
          <w:sz w:val="24"/>
          <w:szCs w:val="24"/>
        </w:rPr>
        <w:t xml:space="preserve"> contract is not predetermined by the parties involved but adheres to prevailing customs and is given voluntarily based on the </w:t>
      </w:r>
      <w:r w:rsidRPr="00C30B52">
        <w:rPr>
          <w:rFonts w:ascii="Book Antiqua" w:hAnsi="Book Antiqua" w:cs="Times New Roman"/>
          <w:i/>
          <w:iCs/>
          <w:sz w:val="24"/>
          <w:szCs w:val="24"/>
        </w:rPr>
        <w:t>al-Qardh</w:t>
      </w:r>
      <w:r w:rsidRPr="00C30B52">
        <w:rPr>
          <w:rFonts w:ascii="Book Antiqua" w:hAnsi="Book Antiqua" w:cs="Times New Roman"/>
          <w:sz w:val="24"/>
          <w:szCs w:val="24"/>
        </w:rPr>
        <w:t xml:space="preserve"> loan. This practice is not prohibited. Similarly, gifts given by the Muqtaridh (debtor) to the Muqridh (creditor) are permissible. However, if the surplus is not stipulated as a condition, it does not fall under the category of Ribā (usury).</w:t>
      </w:r>
      <w:r w:rsidRPr="00C30B52">
        <w:rPr>
          <w:rFonts w:ascii="Book Antiqua" w:hAnsi="Book Antiqua" w:cs="Times New Roman"/>
          <w:sz w:val="24"/>
          <w:szCs w:val="24"/>
          <w:vertAlign w:val="superscript"/>
        </w:rPr>
        <w:footnoteReference w:id="8"/>
      </w:r>
    </w:p>
    <w:p w:rsidR="00C30B52" w:rsidRDefault="00C30B52" w:rsidP="00C30B52">
      <w:pPr>
        <w:spacing w:after="0" w:line="240" w:lineRule="auto"/>
        <w:ind w:firstLine="720"/>
        <w:jc w:val="both"/>
        <w:rPr>
          <w:rFonts w:ascii="Book Antiqua" w:hAnsi="Book Antiqua" w:cs="Times New Roman"/>
          <w:sz w:val="24"/>
          <w:szCs w:val="24"/>
        </w:rPr>
      </w:pPr>
      <w:r w:rsidRPr="00C30B52">
        <w:rPr>
          <w:rFonts w:ascii="Book Antiqua" w:hAnsi="Book Antiqua" w:cs="Times New Roman"/>
          <w:sz w:val="24"/>
          <w:szCs w:val="24"/>
        </w:rPr>
        <w:t xml:space="preserve">Before the implementation of nadzar practices, there were challenges in the perception of sharia business transactions applied by LKMS-BMT. Some </w:t>
      </w:r>
      <w:r w:rsidRPr="00C30B52">
        <w:rPr>
          <w:rFonts w:ascii="Book Antiqua" w:hAnsi="Book Antiqua" w:cs="Times New Roman"/>
          <w:i/>
          <w:iCs/>
          <w:sz w:val="24"/>
          <w:szCs w:val="24"/>
        </w:rPr>
        <w:t>pesantren</w:t>
      </w:r>
      <w:r w:rsidRPr="00C30B52">
        <w:rPr>
          <w:rFonts w:ascii="Book Antiqua" w:hAnsi="Book Antiqua" w:cs="Times New Roman"/>
          <w:sz w:val="24"/>
          <w:szCs w:val="24"/>
        </w:rPr>
        <w:t xml:space="preserve"> scholars viewed these transactions as less practical and insufficient in addressing the needs of members, particularly in terms of obtaining funds quickly, accurately, and conveniently. This concern arose given that the majority of KSPPS BMT Maslahah's members (clients) are drawn from religiously inclined groups, including kiai, ustadz, santri, and the broader devout community.</w:t>
      </w:r>
    </w:p>
    <w:p w:rsidR="00C30B52" w:rsidRPr="00C30B52" w:rsidRDefault="00C30B52" w:rsidP="00C30B52">
      <w:pPr>
        <w:pStyle w:val="NoSpacing"/>
        <w:ind w:firstLine="907"/>
        <w:jc w:val="both"/>
        <w:rPr>
          <w:rFonts w:ascii="Book Antiqua" w:hAnsi="Book Antiqua" w:cs="Times New Roman"/>
          <w:sz w:val="24"/>
          <w:szCs w:val="24"/>
        </w:rPr>
      </w:pPr>
      <w:r w:rsidRPr="00C30B52">
        <w:rPr>
          <w:rFonts w:ascii="Book Antiqua" w:hAnsi="Book Antiqua" w:cs="Times New Roman"/>
          <w:sz w:val="24"/>
          <w:szCs w:val="24"/>
        </w:rPr>
        <w:t xml:space="preserve">Following the implementation of nadzar practices in several LKMS-BMT institutions, particularly in Pasuruan Regency, debates have arisen among pesantren scholars (kiai) regarding the system as a means of generating profit in </w:t>
      </w:r>
      <w:r w:rsidRPr="00C30B52">
        <w:rPr>
          <w:rFonts w:ascii="Book Antiqua" w:hAnsi="Book Antiqua" w:cs="Times New Roman"/>
          <w:i/>
          <w:iCs/>
          <w:sz w:val="24"/>
          <w:szCs w:val="24"/>
        </w:rPr>
        <w:t>al-Qardh</w:t>
      </w:r>
      <w:r w:rsidRPr="00C30B52">
        <w:rPr>
          <w:rFonts w:ascii="Book Antiqua" w:hAnsi="Book Antiqua" w:cs="Times New Roman"/>
          <w:sz w:val="24"/>
          <w:szCs w:val="24"/>
        </w:rPr>
        <w:t xml:space="preserve"> financing.</w:t>
      </w:r>
      <w:r w:rsidRPr="00C30B52">
        <w:rPr>
          <w:rFonts w:ascii="Book Antiqua" w:hAnsi="Book Antiqua" w:cs="Times New Roman"/>
          <w:sz w:val="24"/>
          <w:szCs w:val="24"/>
          <w:lang w:val="id-ID"/>
        </w:rPr>
        <w:t xml:space="preserve"> </w:t>
      </w:r>
      <w:r w:rsidRPr="00C30B52">
        <w:rPr>
          <w:rFonts w:ascii="Book Antiqua" w:hAnsi="Book Antiqua" w:cs="Times New Roman"/>
          <w:sz w:val="24"/>
          <w:szCs w:val="24"/>
        </w:rPr>
        <w:t>In addition to shaping the ideological framework of sharia business transactions, pesantren scholars (kiai) also play a key role in supporting the success of LKMS-BMT, especially in Pasuruan Regency.</w:t>
      </w:r>
    </w:p>
    <w:p w:rsidR="00C30B52" w:rsidRPr="00C30B52" w:rsidRDefault="00C30B52" w:rsidP="00C30B52">
      <w:pPr>
        <w:pStyle w:val="NoSpacing"/>
        <w:ind w:firstLine="907"/>
        <w:jc w:val="both"/>
        <w:rPr>
          <w:rFonts w:ascii="Book Antiqua" w:hAnsi="Book Antiqua" w:cs="Times New Roman"/>
          <w:sz w:val="24"/>
          <w:szCs w:val="24"/>
        </w:rPr>
      </w:pPr>
      <w:r w:rsidRPr="00C30B52">
        <w:rPr>
          <w:rFonts w:ascii="Book Antiqua" w:hAnsi="Book Antiqua" w:cs="Times New Roman"/>
          <w:sz w:val="24"/>
          <w:szCs w:val="24"/>
        </w:rPr>
        <w:t>To support the validity of this research, several related articles serve as reference materials. One such work is by Badarudin, titled "Management of Qardhul Hasan Financing Products at BPRS Metro Madani Lampung." The study concludes that the principles of Qardhul Hasan at BPRS Metro Madani are rooted in mutual assistance, a sense of care, responsibility, and the obligation to distribute wealth from the affluent to those in need. This type of financing is only provided to prospective clients who have a high level of trust, as they must meet strict requirements in the process of approving an al-Qardh loan. In terms of oversight, BPRS Metro Madani prioritizes maintaining strong communication.</w:t>
      </w:r>
      <w:r w:rsidRPr="00C30B52">
        <w:rPr>
          <w:rFonts w:ascii="Book Antiqua" w:hAnsi="Book Antiqua" w:cs="Times New Roman"/>
          <w:sz w:val="24"/>
          <w:szCs w:val="24"/>
          <w:vertAlign w:val="superscript"/>
        </w:rPr>
        <w:footnoteReference w:id="9"/>
      </w:r>
    </w:p>
    <w:p w:rsidR="009A5011" w:rsidRPr="009A5011" w:rsidRDefault="009A5011" w:rsidP="009A5011">
      <w:pPr>
        <w:pStyle w:val="NoSpacing"/>
        <w:ind w:left="90" w:firstLine="446"/>
        <w:jc w:val="both"/>
        <w:rPr>
          <w:rFonts w:ascii="Book Antiqua" w:hAnsi="Book Antiqua" w:cs="Times New Roman"/>
          <w:sz w:val="24"/>
          <w:szCs w:val="24"/>
        </w:rPr>
      </w:pPr>
      <w:r w:rsidRPr="009A5011">
        <w:rPr>
          <w:rFonts w:ascii="Book Antiqua" w:hAnsi="Book Antiqua" w:cs="Times New Roman"/>
          <w:sz w:val="24"/>
          <w:szCs w:val="24"/>
        </w:rPr>
        <w:t>Dewi Susantri, in her research titled "The Role of Qardhul Hasan in Improving the Performance of Micro Enterprises in Rowosari District, Kendal Regency," concluded that, in practice, the model used for Qardhul Hasan at KJKS BMT Muamalat is implemented with a principle of caution. The role of Qardhul Hasan financing in enhancing microenterprise performance greatly supports daily life by increasing production and sales. With increased production, the level of income and revenue will also rise.</w:t>
      </w:r>
      <w:r w:rsidRPr="009A5011">
        <w:rPr>
          <w:rFonts w:ascii="Book Antiqua" w:hAnsi="Book Antiqua" w:cs="Times New Roman"/>
          <w:sz w:val="24"/>
          <w:szCs w:val="24"/>
          <w:vertAlign w:val="superscript"/>
        </w:rPr>
        <w:footnoteReference w:id="10"/>
      </w:r>
    </w:p>
    <w:p w:rsidR="009A5011" w:rsidRPr="009A5011" w:rsidRDefault="009A5011" w:rsidP="009A5011">
      <w:pPr>
        <w:pStyle w:val="NoSpacing"/>
        <w:ind w:left="90" w:firstLine="446"/>
        <w:jc w:val="both"/>
        <w:rPr>
          <w:rFonts w:ascii="Book Antiqua" w:hAnsi="Book Antiqua" w:cs="Times New Roman"/>
          <w:sz w:val="24"/>
          <w:szCs w:val="24"/>
        </w:rPr>
      </w:pPr>
      <w:r w:rsidRPr="009A5011">
        <w:rPr>
          <w:rFonts w:ascii="Book Antiqua" w:hAnsi="Book Antiqua" w:cs="Times New Roman"/>
          <w:sz w:val="24"/>
          <w:szCs w:val="24"/>
        </w:rPr>
        <w:t xml:space="preserve">In the research conducted by Hosriyah, titled "Analysis of the Implementation of </w:t>
      </w:r>
      <w:r w:rsidRPr="009A5011">
        <w:rPr>
          <w:rFonts w:ascii="Book Antiqua" w:hAnsi="Book Antiqua" w:cs="Times New Roman"/>
          <w:i/>
          <w:iCs/>
          <w:sz w:val="24"/>
          <w:szCs w:val="24"/>
        </w:rPr>
        <w:t>al-Qardh</w:t>
      </w:r>
      <w:r w:rsidRPr="009A5011">
        <w:rPr>
          <w:rFonts w:ascii="Book Antiqua" w:hAnsi="Book Antiqua" w:cs="Times New Roman"/>
          <w:sz w:val="24"/>
          <w:szCs w:val="24"/>
        </w:rPr>
        <w:t xml:space="preserve"> and Ijarah Contracts in Relation to Hajj Financing," the findings showed that the principle of distributing funds for hajj advance financing by PT Bank Syariah Mandiri KCP Bangkalan, in practice, supports the payment of BPIH (Hajj Pilgrimage Cost) using the al-Qardh contract. The bank does not profit from the </w:t>
      </w:r>
      <w:r w:rsidRPr="009A5011">
        <w:rPr>
          <w:rFonts w:ascii="Book Antiqua" w:hAnsi="Book Antiqua" w:cs="Times New Roman"/>
          <w:i/>
          <w:iCs/>
          <w:sz w:val="24"/>
          <w:szCs w:val="24"/>
        </w:rPr>
        <w:t>al-Qardh</w:t>
      </w:r>
      <w:r w:rsidRPr="009A5011">
        <w:rPr>
          <w:rFonts w:ascii="Book Antiqua" w:hAnsi="Book Antiqua" w:cs="Times New Roman"/>
          <w:sz w:val="24"/>
          <w:szCs w:val="24"/>
        </w:rPr>
        <w:t xml:space="preserve"> contract but earns service fees through the use of the Ijarah contract. The bank does not require collateral from customers, as the hajj advance uses the Ijarah contract, which is considered a loan of benevolence.</w:t>
      </w:r>
      <w:r w:rsidRPr="009A5011">
        <w:rPr>
          <w:rFonts w:ascii="Book Antiqua" w:hAnsi="Book Antiqua" w:cs="Times New Roman"/>
          <w:sz w:val="24"/>
          <w:szCs w:val="24"/>
          <w:vertAlign w:val="superscript"/>
        </w:rPr>
        <w:footnoteReference w:id="11"/>
      </w:r>
    </w:p>
    <w:p w:rsidR="009A5011" w:rsidRPr="009A5011" w:rsidRDefault="009A5011" w:rsidP="009A5011">
      <w:pPr>
        <w:pStyle w:val="NoSpacing"/>
        <w:ind w:left="90" w:firstLine="446"/>
        <w:jc w:val="both"/>
        <w:rPr>
          <w:rFonts w:ascii="Book Antiqua" w:hAnsi="Book Antiqua" w:cs="Times New Roman"/>
          <w:sz w:val="24"/>
          <w:szCs w:val="24"/>
        </w:rPr>
      </w:pPr>
      <w:r w:rsidRPr="009A5011">
        <w:rPr>
          <w:rFonts w:ascii="Book Antiqua" w:hAnsi="Book Antiqua" w:cs="Times New Roman"/>
          <w:sz w:val="24"/>
          <w:szCs w:val="24"/>
        </w:rPr>
        <w:t xml:space="preserve">According to Hendri Hermawandi Nugraha, research was conducted with the theme "Sources and Uses of al-Qardh and Qardhul Hasan Funds at BRI Syariah Yogyakarta." The findings showed that the sources of </w:t>
      </w:r>
      <w:r w:rsidRPr="009A5011">
        <w:rPr>
          <w:rFonts w:ascii="Book Antiqua" w:hAnsi="Book Antiqua" w:cs="Times New Roman"/>
          <w:i/>
          <w:iCs/>
          <w:sz w:val="24"/>
          <w:szCs w:val="24"/>
        </w:rPr>
        <w:t>al-Qardh</w:t>
      </w:r>
      <w:r w:rsidRPr="009A5011">
        <w:rPr>
          <w:rFonts w:ascii="Book Antiqua" w:hAnsi="Book Antiqua" w:cs="Times New Roman"/>
          <w:sz w:val="24"/>
          <w:szCs w:val="24"/>
        </w:rPr>
        <w:t xml:space="preserve"> and Qardhul Hasan funds at BRI Syariah Yogyakarta come solely from customer fines and non-halal income. The distribution process is only allocated to underprivileged residents living near the BRI Syariah Yogyakarta branch. The use of Qardhul Hasan funds is 12.5% for school expenses and 87.5% for business capital. However, the sources of al-Qardh and Qardhul Hasan funds at BRI Syariah are not in line with normative and formal juridical standards, as ZIS (zakat, infaq, and shadaqah) funds are managed separately by BRI central, whereas they should be managed by BRI Syariah Yogyakarta as al-Qardh and Qardhul Hasan funds.</w:t>
      </w:r>
      <w:r w:rsidRPr="009A5011">
        <w:rPr>
          <w:rFonts w:ascii="Book Antiqua" w:hAnsi="Book Antiqua" w:cs="Times New Roman"/>
          <w:sz w:val="24"/>
          <w:szCs w:val="24"/>
          <w:vertAlign w:val="superscript"/>
        </w:rPr>
        <w:footnoteReference w:id="12"/>
      </w:r>
    </w:p>
    <w:p w:rsidR="009A5011" w:rsidRPr="009A5011" w:rsidRDefault="009A5011" w:rsidP="009A5011">
      <w:pPr>
        <w:pStyle w:val="NoSpacing"/>
        <w:ind w:left="90" w:firstLine="446"/>
        <w:jc w:val="both"/>
        <w:rPr>
          <w:rFonts w:ascii="Book Antiqua" w:hAnsi="Book Antiqua" w:cs="Times New Roman"/>
          <w:sz w:val="24"/>
          <w:szCs w:val="24"/>
        </w:rPr>
      </w:pPr>
      <w:r w:rsidRPr="009A5011">
        <w:rPr>
          <w:rFonts w:ascii="Book Antiqua" w:hAnsi="Book Antiqua" w:cs="Times New Roman"/>
          <w:sz w:val="24"/>
          <w:szCs w:val="24"/>
        </w:rPr>
        <w:t>Irawan Febianto and Arimbi Madila Ashany, in their research titled "The Impact of Qardhul Hasan Financing Using Zakah Funds on Economic Empowerment," reached the following conclusion: Sinergi DDBJ has implemented Qardhul Hasan financing relatively well by providing recipients with financial services and facilities such as assistance and savings deposits. The economic empowerment of the recipients is also in relatively good condition, indicating improvements in their business development and welfare. There is a linear relationship between Qardhul Hasan financing and recipients’ empowerment. The research uses a significance level of 0.05, indicating a 95% probability of accuracy and a 5% probability of inaccuracy. The influence of Qardhul Hasan financing on recipients’ economic empowerment is 43%, with the remaining 57% influenced by other factors.</w:t>
      </w:r>
      <w:r w:rsidRPr="009A5011">
        <w:rPr>
          <w:rFonts w:ascii="Book Antiqua" w:hAnsi="Book Antiqua" w:cs="Times New Roman"/>
          <w:sz w:val="24"/>
          <w:szCs w:val="24"/>
          <w:vertAlign w:val="superscript"/>
        </w:rPr>
        <w:footnoteReference w:id="13"/>
      </w:r>
    </w:p>
    <w:p w:rsidR="009A5011" w:rsidRPr="009A5011" w:rsidRDefault="009A5011" w:rsidP="009A5011">
      <w:pPr>
        <w:pStyle w:val="NoSpacing"/>
        <w:ind w:left="90" w:firstLine="446"/>
        <w:jc w:val="both"/>
        <w:rPr>
          <w:rFonts w:ascii="Book Antiqua" w:hAnsi="Book Antiqua" w:cs="Times New Roman"/>
          <w:sz w:val="24"/>
          <w:szCs w:val="24"/>
        </w:rPr>
      </w:pPr>
      <w:r w:rsidRPr="009A5011">
        <w:rPr>
          <w:rFonts w:ascii="Book Antiqua" w:hAnsi="Book Antiqua" w:cs="Times New Roman"/>
          <w:sz w:val="24"/>
          <w:szCs w:val="24"/>
        </w:rPr>
        <w:t xml:space="preserve">The research conducted by Istighfaroh, titled "Implementation of PSAK No. 109 on al-Qardh Financing at BNI Syariah Pekalongan Branch," explains that </w:t>
      </w:r>
      <w:r w:rsidRPr="009A5011">
        <w:rPr>
          <w:rFonts w:ascii="Book Antiqua" w:hAnsi="Book Antiqua" w:cs="Times New Roman"/>
          <w:sz w:val="24"/>
          <w:szCs w:val="24"/>
          <w:u w:val="single"/>
        </w:rPr>
        <w:t>al-Qardh financing at BNI Syariah Pekalongan Branch is in accordance with PSAK No. 109 of 2008. The source of the funds is obtained from zakat, infaq, and shadaqah, so in the reporting of al-Qardh, it is presented separately in the report of sources and uses of al-Qardh funds, as these funds are not considered company assets</w:t>
      </w:r>
      <w:r w:rsidRPr="009A5011">
        <w:rPr>
          <w:rFonts w:ascii="Book Antiqua" w:hAnsi="Book Antiqua" w:cs="Times New Roman"/>
          <w:sz w:val="24"/>
          <w:szCs w:val="24"/>
        </w:rPr>
        <w:t>.</w:t>
      </w:r>
      <w:r w:rsidRPr="009A5011">
        <w:rPr>
          <w:rFonts w:ascii="Book Antiqua" w:hAnsi="Book Antiqua" w:cs="Times New Roman"/>
          <w:sz w:val="24"/>
          <w:szCs w:val="24"/>
          <w:vertAlign w:val="superscript"/>
        </w:rPr>
        <w:footnoteReference w:id="14"/>
      </w:r>
    </w:p>
    <w:p w:rsidR="009A5011" w:rsidRPr="009A5011" w:rsidRDefault="009A5011" w:rsidP="009A5011">
      <w:pPr>
        <w:pStyle w:val="NoSpacing"/>
        <w:ind w:left="90" w:firstLine="630"/>
        <w:jc w:val="both"/>
        <w:rPr>
          <w:rFonts w:ascii="Book Antiqua" w:hAnsi="Book Antiqua" w:cs="Times New Roman"/>
          <w:sz w:val="24"/>
          <w:szCs w:val="24"/>
        </w:rPr>
      </w:pPr>
      <w:r w:rsidRPr="009A5011">
        <w:rPr>
          <w:rFonts w:ascii="Book Antiqua" w:hAnsi="Book Antiqua" w:cs="Times New Roman"/>
          <w:sz w:val="24"/>
          <w:szCs w:val="24"/>
        </w:rPr>
        <w:t>Mimi Rahmawati, in her research titled "Management and Development of Qardhul Hasan Financing at BMT Al-Ikhlas Yogyakarta," explains the details of how BMT Al-Ikhlas Yogyakarta manages its Qardhul Hasan financing scheme, with the funds sourced from zakat, infaq, and shadaqah (ZIS). However, the thesis does not provide effective input to be considered a development, particularly lacking discussions on whether Qardhul Hasan financing could be sourced from other funds, such as wadi’ah.</w:t>
      </w:r>
      <w:r w:rsidRPr="009A5011">
        <w:rPr>
          <w:rFonts w:ascii="Book Antiqua" w:hAnsi="Book Antiqua" w:cs="Times New Roman"/>
          <w:sz w:val="24"/>
          <w:szCs w:val="24"/>
          <w:vertAlign w:val="superscript"/>
        </w:rPr>
        <w:footnoteReference w:id="15"/>
      </w:r>
    </w:p>
    <w:p w:rsidR="009A5011" w:rsidRPr="009A5011" w:rsidRDefault="009A5011" w:rsidP="009A5011">
      <w:pPr>
        <w:pStyle w:val="NoSpacing"/>
        <w:ind w:left="90" w:firstLine="630"/>
        <w:jc w:val="both"/>
        <w:rPr>
          <w:rFonts w:ascii="Book Antiqua" w:hAnsi="Book Antiqua" w:cs="Times New Roman"/>
          <w:sz w:val="24"/>
          <w:szCs w:val="24"/>
        </w:rPr>
      </w:pPr>
      <w:r w:rsidRPr="009A5011">
        <w:rPr>
          <w:rFonts w:ascii="Book Antiqua" w:hAnsi="Book Antiqua" w:cs="Times New Roman"/>
          <w:sz w:val="24"/>
          <w:szCs w:val="24"/>
        </w:rPr>
        <w:t xml:space="preserve">Siti Nur Mutia Andini conducted research titled "Management of </w:t>
      </w:r>
      <w:r w:rsidRPr="009A5011">
        <w:rPr>
          <w:rFonts w:ascii="Book Antiqua" w:hAnsi="Book Antiqua" w:cs="Times New Roman"/>
          <w:i/>
          <w:iCs/>
          <w:sz w:val="24"/>
          <w:szCs w:val="24"/>
        </w:rPr>
        <w:t>Qardhul Hasan</w:t>
      </w:r>
      <w:r w:rsidRPr="009A5011">
        <w:rPr>
          <w:rFonts w:ascii="Book Antiqua" w:hAnsi="Book Antiqua" w:cs="Times New Roman"/>
          <w:sz w:val="24"/>
          <w:szCs w:val="24"/>
        </w:rPr>
        <w:t xml:space="preserve"> Funds for Financing Kampung Sukamulya at the BAZ of Bogor City." The results show that the pattern of gathering and managing </w:t>
      </w:r>
      <w:r w:rsidRPr="009A5011">
        <w:rPr>
          <w:rFonts w:ascii="Book Antiqua" w:hAnsi="Book Antiqua" w:cs="Times New Roman"/>
          <w:i/>
          <w:iCs/>
          <w:sz w:val="24"/>
          <w:szCs w:val="24"/>
        </w:rPr>
        <w:t>Qardhul Hasan</w:t>
      </w:r>
      <w:r w:rsidRPr="009A5011">
        <w:rPr>
          <w:rFonts w:ascii="Book Antiqua" w:hAnsi="Book Antiqua" w:cs="Times New Roman"/>
          <w:sz w:val="24"/>
          <w:szCs w:val="24"/>
        </w:rPr>
        <w:t xml:space="preserve"> funds at the BAZ of Bogor City, which collaborates with several other financial institutions, is essential for the continued operation of the BAZ itself. The management results at the BAZ of Bogor City have significantly improved the living standards of the community. Besides impacting the economic conditions, the </w:t>
      </w:r>
      <w:r w:rsidRPr="009A5011">
        <w:rPr>
          <w:rFonts w:ascii="Book Antiqua" w:hAnsi="Book Antiqua" w:cs="Times New Roman"/>
          <w:i/>
          <w:iCs/>
          <w:sz w:val="24"/>
          <w:szCs w:val="24"/>
        </w:rPr>
        <w:t>Qardhul Hasan</w:t>
      </w:r>
      <w:r w:rsidRPr="009A5011">
        <w:rPr>
          <w:rFonts w:ascii="Book Antiqua" w:hAnsi="Book Antiqua" w:cs="Times New Roman"/>
          <w:sz w:val="24"/>
          <w:szCs w:val="24"/>
        </w:rPr>
        <w:t xml:space="preserve"> program also brought positive social effects to the community. However, it is recommended that the BAZ of Bogor City not apply fees for infaq and savings when receiving </w:t>
      </w:r>
      <w:r w:rsidRPr="009A5011">
        <w:rPr>
          <w:rFonts w:ascii="Book Antiqua" w:hAnsi="Book Antiqua" w:cs="Times New Roman"/>
          <w:i/>
          <w:iCs/>
          <w:sz w:val="24"/>
          <w:szCs w:val="24"/>
        </w:rPr>
        <w:t>Qardhul Hasan</w:t>
      </w:r>
      <w:r w:rsidRPr="009A5011">
        <w:rPr>
          <w:rFonts w:ascii="Book Antiqua" w:hAnsi="Book Antiqua" w:cs="Times New Roman"/>
          <w:sz w:val="24"/>
          <w:szCs w:val="24"/>
        </w:rPr>
        <w:t xml:space="preserve"> funds, as this is not permissible in Islamic law. In reality, the </w:t>
      </w:r>
      <w:r w:rsidRPr="009A5011">
        <w:rPr>
          <w:rFonts w:ascii="Book Antiqua" w:hAnsi="Book Antiqua" w:cs="Times New Roman"/>
          <w:i/>
          <w:iCs/>
          <w:sz w:val="24"/>
          <w:szCs w:val="24"/>
        </w:rPr>
        <w:t>Qardhul Hasan</w:t>
      </w:r>
      <w:r w:rsidRPr="009A5011">
        <w:rPr>
          <w:rFonts w:ascii="Book Antiqua" w:hAnsi="Book Antiqua" w:cs="Times New Roman"/>
          <w:sz w:val="24"/>
          <w:szCs w:val="24"/>
        </w:rPr>
        <w:t xml:space="preserve"> funds provided have been less productive due to their relatively small amounts.</w:t>
      </w:r>
      <w:r w:rsidRPr="009A5011">
        <w:rPr>
          <w:rFonts w:ascii="Book Antiqua" w:hAnsi="Book Antiqua" w:cs="Times New Roman"/>
          <w:sz w:val="24"/>
          <w:szCs w:val="24"/>
          <w:vertAlign w:val="superscript"/>
        </w:rPr>
        <w:footnoteReference w:id="16"/>
      </w:r>
    </w:p>
    <w:p w:rsidR="009A5011" w:rsidRPr="009A5011" w:rsidRDefault="009A5011" w:rsidP="009A5011">
      <w:pPr>
        <w:pStyle w:val="NoSpacing"/>
        <w:ind w:left="90" w:firstLine="630"/>
        <w:jc w:val="both"/>
        <w:rPr>
          <w:rFonts w:ascii="Book Antiqua" w:hAnsi="Book Antiqua" w:cs="Times New Roman"/>
          <w:sz w:val="24"/>
          <w:szCs w:val="24"/>
        </w:rPr>
      </w:pPr>
      <w:r w:rsidRPr="009A5011">
        <w:rPr>
          <w:rFonts w:ascii="Book Antiqua" w:hAnsi="Book Antiqua" w:cs="Times New Roman"/>
          <w:sz w:val="24"/>
          <w:szCs w:val="24"/>
        </w:rPr>
        <w:t>The research conducted by Uswatun in her thesis titled "The Effect of Qardhul Hasan Financing at BNI Syariah Semarang Branch on the Development of Small Businesses" shows that Qardhul Hasan financing has a small impact on the development of small businesses. The coefficient of determination indicates that Qardhul Hasan financing contributes only 11.80% to the development of small businesses. Although the impact of Qardhul Hasan financing is minimal at BNI Syariah Semarang Branch, it still plays a role in supporting business capital, maintaining business sustainability, and helping shift away from conventional-based financing.</w:t>
      </w:r>
      <w:r w:rsidRPr="009A5011">
        <w:rPr>
          <w:rFonts w:ascii="Book Antiqua" w:hAnsi="Book Antiqua" w:cs="Times New Roman"/>
          <w:sz w:val="24"/>
          <w:szCs w:val="24"/>
          <w:vertAlign w:val="superscript"/>
        </w:rPr>
        <w:footnoteReference w:id="17"/>
      </w:r>
    </w:p>
    <w:p w:rsidR="009A5011" w:rsidRPr="009A5011" w:rsidRDefault="009A5011" w:rsidP="009A5011">
      <w:pPr>
        <w:pStyle w:val="NoSpacing"/>
        <w:ind w:left="90" w:firstLine="630"/>
        <w:jc w:val="both"/>
        <w:rPr>
          <w:rFonts w:ascii="Book Antiqua" w:hAnsi="Book Antiqua" w:cs="Times New Roman"/>
          <w:sz w:val="24"/>
          <w:szCs w:val="24"/>
        </w:rPr>
      </w:pPr>
      <w:r w:rsidRPr="009A5011">
        <w:rPr>
          <w:rFonts w:ascii="Book Antiqua" w:hAnsi="Book Antiqua" w:cs="Times New Roman"/>
          <w:sz w:val="24"/>
          <w:szCs w:val="24"/>
        </w:rPr>
        <w:t>According to Yovita Diah Aditriani in her thesis titled "The Implementation of Qardhul Hasan Financing at Bank Syariah Mandiri Semarang Branch," the research explains that Qardhul Hasan financing is specifically intended for the poor who want to overcome their economic difficulties through trading businesses. The funds are sourced from ZIS (</w:t>
      </w:r>
      <w:r w:rsidRPr="009A5011">
        <w:rPr>
          <w:rFonts w:ascii="Book Antiqua" w:hAnsi="Book Antiqua" w:cs="Times New Roman"/>
          <w:i/>
          <w:iCs/>
          <w:sz w:val="24"/>
          <w:szCs w:val="24"/>
        </w:rPr>
        <w:t>zakat</w:t>
      </w:r>
      <w:r w:rsidRPr="009A5011">
        <w:rPr>
          <w:rFonts w:ascii="Book Antiqua" w:hAnsi="Book Antiqua" w:cs="Times New Roman"/>
          <w:sz w:val="24"/>
          <w:szCs w:val="24"/>
        </w:rPr>
        <w:t xml:space="preserve">, </w:t>
      </w:r>
      <w:r w:rsidRPr="009A5011">
        <w:rPr>
          <w:rFonts w:ascii="Book Antiqua" w:hAnsi="Book Antiqua" w:cs="Times New Roman"/>
          <w:i/>
          <w:iCs/>
          <w:sz w:val="24"/>
          <w:szCs w:val="24"/>
        </w:rPr>
        <w:t>infaq</w:t>
      </w:r>
      <w:r w:rsidRPr="009A5011">
        <w:rPr>
          <w:rFonts w:ascii="Book Antiqua" w:hAnsi="Book Antiqua" w:cs="Times New Roman"/>
          <w:sz w:val="24"/>
          <w:szCs w:val="24"/>
        </w:rPr>
        <w:t xml:space="preserve">, and </w:t>
      </w:r>
      <w:r w:rsidRPr="009A5011">
        <w:rPr>
          <w:rFonts w:ascii="Book Antiqua" w:hAnsi="Book Antiqua" w:cs="Times New Roman"/>
          <w:i/>
          <w:iCs/>
          <w:sz w:val="24"/>
          <w:szCs w:val="24"/>
        </w:rPr>
        <w:t>sadaqah</w:t>
      </w:r>
      <w:r w:rsidRPr="009A5011">
        <w:rPr>
          <w:rFonts w:ascii="Book Antiqua" w:hAnsi="Book Antiqua" w:cs="Times New Roman"/>
          <w:sz w:val="24"/>
          <w:szCs w:val="24"/>
        </w:rPr>
        <w:t>) and donations from customers through the bank. In providing this financing, the business must be a primary venture and not a side business.</w:t>
      </w:r>
      <w:r w:rsidRPr="009A5011">
        <w:rPr>
          <w:rFonts w:ascii="Book Antiqua" w:hAnsi="Book Antiqua" w:cs="Times New Roman"/>
          <w:sz w:val="24"/>
          <w:szCs w:val="24"/>
          <w:vertAlign w:val="superscript"/>
        </w:rPr>
        <w:footnoteReference w:id="18"/>
      </w:r>
    </w:p>
    <w:p w:rsidR="009A5011" w:rsidRPr="009A5011" w:rsidRDefault="009A5011" w:rsidP="009A5011">
      <w:pPr>
        <w:spacing w:after="0" w:line="240" w:lineRule="auto"/>
        <w:ind w:left="270" w:firstLine="720"/>
        <w:jc w:val="both"/>
        <w:rPr>
          <w:rFonts w:ascii="Book Antiqua" w:hAnsi="Book Antiqua" w:cs="Times New Roman"/>
          <w:sz w:val="24"/>
          <w:szCs w:val="24"/>
        </w:rPr>
      </w:pPr>
      <w:r w:rsidRPr="009A5011">
        <w:rPr>
          <w:rFonts w:ascii="Book Antiqua" w:hAnsi="Book Antiqua" w:cs="Times New Roman"/>
          <w:sz w:val="24"/>
          <w:szCs w:val="24"/>
        </w:rPr>
        <w:t xml:space="preserve">According to Saifuddin Syuhri and Abd Ghafur in their research published in Ar Ribhu: Jurnal Manajemen dan Keuangan Syariah titled “The Implementation of Nadzar Contract in Qardh Financing (A Study on BMT Maslahah East Java),” the study explains that the implementation of the </w:t>
      </w:r>
      <w:r w:rsidRPr="009A5011">
        <w:rPr>
          <w:rFonts w:ascii="Book Antiqua" w:hAnsi="Book Antiqua" w:cs="Times New Roman"/>
          <w:i/>
          <w:iCs/>
          <w:sz w:val="24"/>
          <w:szCs w:val="24"/>
        </w:rPr>
        <w:t>Nadzar</w:t>
      </w:r>
      <w:r w:rsidRPr="009A5011">
        <w:rPr>
          <w:rFonts w:ascii="Book Antiqua" w:hAnsi="Book Antiqua" w:cs="Times New Roman"/>
          <w:sz w:val="24"/>
          <w:szCs w:val="24"/>
        </w:rPr>
        <w:t xml:space="preserve"> contract in </w:t>
      </w:r>
      <w:r w:rsidRPr="009A5011">
        <w:rPr>
          <w:rFonts w:ascii="Book Antiqua" w:hAnsi="Book Antiqua" w:cs="Times New Roman"/>
          <w:i/>
          <w:iCs/>
          <w:sz w:val="24"/>
          <w:szCs w:val="24"/>
        </w:rPr>
        <w:t>Qardh</w:t>
      </w:r>
      <w:r w:rsidRPr="009A5011">
        <w:rPr>
          <w:rFonts w:ascii="Book Antiqua" w:hAnsi="Book Antiqua" w:cs="Times New Roman"/>
          <w:sz w:val="24"/>
          <w:szCs w:val="24"/>
        </w:rPr>
        <w:t xml:space="preserve"> financing at BMT Maslahah has been practiced since 2007. This </w:t>
      </w:r>
      <w:r w:rsidRPr="009A5011">
        <w:rPr>
          <w:rFonts w:ascii="Book Antiqua" w:hAnsi="Book Antiqua" w:cs="Times New Roman"/>
          <w:i/>
          <w:iCs/>
          <w:sz w:val="24"/>
          <w:szCs w:val="24"/>
        </w:rPr>
        <w:t>Nadzar</w:t>
      </w:r>
      <w:r w:rsidRPr="009A5011">
        <w:rPr>
          <w:rFonts w:ascii="Book Antiqua" w:hAnsi="Book Antiqua" w:cs="Times New Roman"/>
          <w:sz w:val="24"/>
          <w:szCs w:val="24"/>
        </w:rPr>
        <w:t xml:space="preserve"> contract is based on an internal fatwa by the sharia supervisory board of BMT Maslahah, guided by sharia provisions and internal regulations. The contract includes: 1) special treatment for members meeting specific criteria set by BMT; 2) the decision to implement the </w:t>
      </w:r>
      <w:r w:rsidRPr="009A5011">
        <w:rPr>
          <w:rFonts w:ascii="Book Antiqua" w:hAnsi="Book Antiqua" w:cs="Times New Roman"/>
          <w:i/>
          <w:iCs/>
          <w:sz w:val="24"/>
          <w:szCs w:val="24"/>
        </w:rPr>
        <w:t xml:space="preserve">Nadzar </w:t>
      </w:r>
      <w:r w:rsidRPr="009A5011">
        <w:rPr>
          <w:rFonts w:ascii="Book Antiqua" w:hAnsi="Book Antiqua" w:cs="Times New Roman"/>
          <w:sz w:val="24"/>
          <w:szCs w:val="24"/>
        </w:rPr>
        <w:t xml:space="preserve">contract for Qardh financing; 3) Qardh financing as a supplementary product alongside other financing types such as Murabahah, Mudharabah, Musyarakah, Ijarah, and collateral-based financing; 4) </w:t>
      </w:r>
      <w:r w:rsidRPr="009A5011">
        <w:rPr>
          <w:rFonts w:ascii="Book Antiqua" w:hAnsi="Book Antiqua" w:cs="Times New Roman"/>
          <w:i/>
          <w:iCs/>
          <w:sz w:val="24"/>
          <w:szCs w:val="24"/>
        </w:rPr>
        <w:t>Nadzar</w:t>
      </w:r>
      <w:r w:rsidRPr="009A5011">
        <w:rPr>
          <w:rFonts w:ascii="Book Antiqua" w:hAnsi="Book Antiqua" w:cs="Times New Roman"/>
          <w:sz w:val="24"/>
          <w:szCs w:val="24"/>
        </w:rPr>
        <w:t xml:space="preserve"> can be offered to members who agree; 5) BMT can direct </w:t>
      </w:r>
      <w:r w:rsidRPr="009A5011">
        <w:rPr>
          <w:rFonts w:ascii="Book Antiqua" w:hAnsi="Book Antiqua" w:cs="Times New Roman"/>
          <w:i/>
          <w:iCs/>
          <w:sz w:val="24"/>
          <w:szCs w:val="24"/>
        </w:rPr>
        <w:t>Nadzar</w:t>
      </w:r>
      <w:r w:rsidRPr="009A5011">
        <w:rPr>
          <w:rFonts w:ascii="Book Antiqua" w:hAnsi="Book Antiqua" w:cs="Times New Roman"/>
          <w:sz w:val="24"/>
          <w:szCs w:val="24"/>
        </w:rPr>
        <w:t xml:space="preserve"> to members; 6) members can voluntarily give profits; and 7) the agreement can be made verbally or in writing. These provisions are based on the Quran, Hadith, fatwas from the Indonesian Sharia Council (DSN MUI), and other sharia regulations that do not conflict with each other.</w:t>
      </w:r>
      <w:r w:rsidRPr="009A5011">
        <w:rPr>
          <w:rFonts w:ascii="Book Antiqua" w:hAnsi="Book Antiqua" w:cs="Times New Roman"/>
          <w:sz w:val="24"/>
          <w:szCs w:val="24"/>
          <w:vertAlign w:val="superscript"/>
        </w:rPr>
        <w:footnoteReference w:id="19"/>
      </w:r>
    </w:p>
    <w:p w:rsidR="009A5011" w:rsidRPr="009A5011" w:rsidRDefault="009A5011" w:rsidP="009A5011">
      <w:pPr>
        <w:spacing w:after="0" w:line="240" w:lineRule="auto"/>
        <w:ind w:left="270" w:firstLine="720"/>
        <w:jc w:val="both"/>
        <w:rPr>
          <w:rFonts w:ascii="Book Antiqua" w:hAnsi="Book Antiqua" w:cs="Times New Roman"/>
          <w:sz w:val="24"/>
          <w:szCs w:val="24"/>
        </w:rPr>
      </w:pPr>
      <w:r w:rsidRPr="009A5011">
        <w:rPr>
          <w:rFonts w:ascii="Book Antiqua" w:hAnsi="Book Antiqua" w:cs="Times New Roman"/>
          <w:sz w:val="24"/>
          <w:szCs w:val="24"/>
        </w:rPr>
        <w:t xml:space="preserve">From the results of the previous research studies mentioned above, it can be concluded that almost all of the studies focus on interest-free loan financing aimed at providing capital for businesses and working capital as a form of mutual assistance, alongside improving the living standards of the underprivileged due to limited capital. However, what distinguishes the previous studies from the current research is the perspective of ulama (religious scholars) from pesantren (Islamic boarding schools) regarding the practice of the </w:t>
      </w:r>
      <w:r w:rsidRPr="009A5011">
        <w:rPr>
          <w:rFonts w:ascii="Book Antiqua" w:hAnsi="Book Antiqua" w:cs="Times New Roman"/>
          <w:i/>
          <w:iCs/>
          <w:sz w:val="24"/>
          <w:szCs w:val="24"/>
        </w:rPr>
        <w:t>Nadza</w:t>
      </w:r>
      <w:r w:rsidRPr="009A5011">
        <w:rPr>
          <w:rFonts w:ascii="Book Antiqua" w:hAnsi="Book Antiqua" w:cs="Times New Roman"/>
          <w:sz w:val="24"/>
          <w:szCs w:val="24"/>
        </w:rPr>
        <w:t xml:space="preserve">r system in </w:t>
      </w:r>
      <w:r w:rsidRPr="009A5011">
        <w:rPr>
          <w:rFonts w:ascii="Book Antiqua" w:hAnsi="Book Antiqua" w:cs="Times New Roman"/>
          <w:i/>
          <w:iCs/>
          <w:sz w:val="24"/>
          <w:szCs w:val="24"/>
        </w:rPr>
        <w:t xml:space="preserve">Qardh </w:t>
      </w:r>
      <w:r w:rsidRPr="009A5011">
        <w:rPr>
          <w:rFonts w:ascii="Book Antiqua" w:hAnsi="Book Antiqua" w:cs="Times New Roman"/>
          <w:sz w:val="24"/>
          <w:szCs w:val="24"/>
        </w:rPr>
        <w:t xml:space="preserve">financing as a solution for members (borrowers) at LKMS-BMT. This research also examines the ulama's views on the additional profits from </w:t>
      </w:r>
      <w:r w:rsidRPr="009A5011">
        <w:rPr>
          <w:rFonts w:ascii="Book Antiqua" w:hAnsi="Book Antiqua" w:cs="Times New Roman"/>
          <w:i/>
          <w:iCs/>
          <w:sz w:val="24"/>
          <w:szCs w:val="24"/>
        </w:rPr>
        <w:t>Qardh</w:t>
      </w:r>
      <w:r w:rsidRPr="009A5011">
        <w:rPr>
          <w:rFonts w:ascii="Book Antiqua" w:hAnsi="Book Antiqua" w:cs="Times New Roman"/>
          <w:sz w:val="24"/>
          <w:szCs w:val="24"/>
        </w:rPr>
        <w:t xml:space="preserve"> financing within the </w:t>
      </w:r>
      <w:r w:rsidRPr="009A5011">
        <w:rPr>
          <w:rFonts w:ascii="Book Antiqua" w:hAnsi="Book Antiqua" w:cs="Times New Roman"/>
          <w:i/>
          <w:iCs/>
          <w:sz w:val="24"/>
          <w:szCs w:val="24"/>
        </w:rPr>
        <w:t>Nadzar</w:t>
      </w:r>
      <w:r w:rsidRPr="009A5011">
        <w:rPr>
          <w:rFonts w:ascii="Book Antiqua" w:hAnsi="Book Antiqua" w:cs="Times New Roman"/>
          <w:sz w:val="24"/>
          <w:szCs w:val="24"/>
        </w:rPr>
        <w:t xml:space="preserve"> system and the implications of implementing </w:t>
      </w:r>
      <w:r w:rsidRPr="009A5011">
        <w:rPr>
          <w:rFonts w:ascii="Book Antiqua" w:hAnsi="Book Antiqua" w:cs="Times New Roman"/>
          <w:i/>
          <w:iCs/>
          <w:sz w:val="24"/>
          <w:szCs w:val="24"/>
        </w:rPr>
        <w:t xml:space="preserve">Qardh </w:t>
      </w:r>
      <w:r w:rsidRPr="009A5011">
        <w:rPr>
          <w:rFonts w:ascii="Book Antiqua" w:hAnsi="Book Antiqua" w:cs="Times New Roman"/>
          <w:sz w:val="24"/>
          <w:szCs w:val="24"/>
        </w:rPr>
        <w:t>financing with the Nadzar system for LKMS and members, particularly in Pasuruan.</w:t>
      </w:r>
    </w:p>
    <w:p w:rsidR="008A063B" w:rsidRDefault="009A5011" w:rsidP="009A5011">
      <w:pPr>
        <w:spacing w:after="0" w:line="240" w:lineRule="auto"/>
        <w:ind w:left="270" w:firstLine="720"/>
        <w:jc w:val="both"/>
        <w:rPr>
          <w:rFonts w:ascii="Book Antiqua" w:hAnsi="Book Antiqua" w:cs="Times New Roman"/>
          <w:sz w:val="24"/>
          <w:szCs w:val="24"/>
        </w:rPr>
      </w:pPr>
      <w:r w:rsidRPr="009A5011">
        <w:rPr>
          <w:rFonts w:ascii="Book Antiqua" w:hAnsi="Book Antiqua" w:cs="Times New Roman"/>
          <w:sz w:val="24"/>
          <w:szCs w:val="24"/>
        </w:rPr>
        <w:t xml:space="preserve">From the description of the background issues above, the author is interested in conducting a deeper study on “The Views of Pesantren Ulama on the Application of the </w:t>
      </w:r>
      <w:r w:rsidRPr="009A5011">
        <w:rPr>
          <w:rFonts w:ascii="Book Antiqua" w:hAnsi="Book Antiqua" w:cs="Times New Roman"/>
          <w:i/>
          <w:iCs/>
          <w:sz w:val="24"/>
          <w:szCs w:val="24"/>
        </w:rPr>
        <w:t xml:space="preserve">Nadzar </w:t>
      </w:r>
      <w:r w:rsidRPr="009A5011">
        <w:rPr>
          <w:rFonts w:ascii="Book Antiqua" w:hAnsi="Book Antiqua" w:cs="Times New Roman"/>
          <w:sz w:val="24"/>
          <w:szCs w:val="24"/>
        </w:rPr>
        <w:t xml:space="preserve">System as a Means of Generating Profit in Qardh Financing at Islamic Microfinance Institutions (LKMS) in Pasuruan.” The purpose of this research is to address the issues occurring in Islamic Microfinance Institutions (LKMS). Specifically, the research aims to: conduct a comparative analysis of the views of ulama (religious scholars) from pesantren regarding the practice of the </w:t>
      </w:r>
      <w:r w:rsidRPr="009A5011">
        <w:rPr>
          <w:rFonts w:ascii="Book Antiqua" w:hAnsi="Book Antiqua" w:cs="Times New Roman"/>
          <w:i/>
          <w:iCs/>
          <w:sz w:val="24"/>
          <w:szCs w:val="24"/>
        </w:rPr>
        <w:t>Nadzar</w:t>
      </w:r>
      <w:r w:rsidRPr="009A5011">
        <w:rPr>
          <w:rFonts w:ascii="Book Antiqua" w:hAnsi="Book Antiqua" w:cs="Times New Roman"/>
          <w:sz w:val="24"/>
          <w:szCs w:val="24"/>
        </w:rPr>
        <w:t xml:space="preserve"> system in Qardh financing as a solution for members (borrowers) at LKMS-BMT Pasuruan; conduct a comparative analysis of the ulama's views on the additional profits from Qardh financing within the Nadzar system at LKMS-BMT Pasuruan; and analyze the implications of implementing Qardh financing with the </w:t>
      </w:r>
      <w:r w:rsidRPr="009A5011">
        <w:rPr>
          <w:rFonts w:ascii="Book Antiqua" w:hAnsi="Book Antiqua" w:cs="Times New Roman"/>
          <w:i/>
          <w:iCs/>
          <w:sz w:val="24"/>
          <w:szCs w:val="24"/>
        </w:rPr>
        <w:t>Nadzar</w:t>
      </w:r>
      <w:r w:rsidRPr="009A5011">
        <w:rPr>
          <w:rFonts w:ascii="Book Antiqua" w:hAnsi="Book Antiqua" w:cs="Times New Roman"/>
          <w:sz w:val="24"/>
          <w:szCs w:val="24"/>
        </w:rPr>
        <w:t xml:space="preserve"> system for LKMS and its members.</w:t>
      </w:r>
    </w:p>
    <w:p w:rsidR="009A5011" w:rsidRPr="001038BB" w:rsidRDefault="009A5011" w:rsidP="009A5011">
      <w:pPr>
        <w:spacing w:after="0" w:line="240" w:lineRule="auto"/>
        <w:ind w:left="270" w:firstLine="720"/>
        <w:jc w:val="both"/>
        <w:rPr>
          <w:rFonts w:ascii="Book Antiqua" w:hAnsi="Book Antiqua" w:cs="Times New Roman"/>
          <w:sz w:val="24"/>
          <w:szCs w:val="24"/>
          <w:lang w:val="es-ES"/>
        </w:rPr>
      </w:pPr>
    </w:p>
    <w:p w:rsidR="00C50232" w:rsidRPr="001038BB" w:rsidRDefault="009A5011" w:rsidP="0096430A">
      <w:pPr>
        <w:pStyle w:val="NoSpacing"/>
        <w:spacing w:line="360" w:lineRule="auto"/>
        <w:ind w:left="274" w:hanging="274"/>
        <w:jc w:val="both"/>
        <w:rPr>
          <w:rFonts w:ascii="Book Antiqua" w:hAnsi="Book Antiqua" w:cs="Times New Roman"/>
          <w:b/>
          <w:sz w:val="24"/>
          <w:szCs w:val="24"/>
        </w:rPr>
      </w:pPr>
      <w:r>
        <w:rPr>
          <w:rFonts w:ascii="Book Antiqua" w:hAnsi="Book Antiqua" w:cs="Times New Roman"/>
          <w:b/>
          <w:sz w:val="24"/>
          <w:szCs w:val="24"/>
        </w:rPr>
        <w:t>Research Methodology</w:t>
      </w:r>
    </w:p>
    <w:p w:rsidR="009A5011" w:rsidRPr="009A5011" w:rsidRDefault="008A063B" w:rsidP="009A5011">
      <w:pPr>
        <w:pStyle w:val="Default"/>
        <w:tabs>
          <w:tab w:val="left" w:pos="709"/>
          <w:tab w:val="left" w:pos="810"/>
        </w:tabs>
        <w:ind w:firstLine="360"/>
        <w:jc w:val="both"/>
        <w:rPr>
          <w:rFonts w:ascii="Book Antiqua" w:hAnsi="Book Antiqua"/>
          <w:bCs/>
        </w:rPr>
      </w:pPr>
      <w:r w:rsidRPr="001038BB">
        <w:rPr>
          <w:rFonts w:ascii="Book Antiqua" w:hAnsi="Book Antiqua"/>
          <w:bCs/>
          <w:color w:val="auto"/>
          <w:lang w:val="id-ID"/>
        </w:rPr>
        <w:tab/>
      </w:r>
      <w:r w:rsidR="009A5011" w:rsidRPr="009A5011">
        <w:rPr>
          <w:rFonts w:ascii="Book Antiqua" w:hAnsi="Book Antiqua"/>
          <w:bCs/>
        </w:rPr>
        <w:t>This study employs a descriptive qualitative approach, aimed at understanding, exploring, and interpreting the meaning of events, phenomena, and interactions with individuals in specific situations. This research model is referred to as qualitative research, using observations of natural (nature) social phenomena or symptoms as a source of data. This approach is grounded in field realities (empirical).</w:t>
      </w:r>
      <w:r w:rsidR="009A5011" w:rsidRPr="009A5011">
        <w:rPr>
          <w:rFonts w:ascii="Book Antiqua" w:hAnsi="Book Antiqua"/>
          <w:bCs/>
          <w:vertAlign w:val="superscript"/>
        </w:rPr>
        <w:footnoteReference w:id="20"/>
      </w:r>
    </w:p>
    <w:p w:rsidR="009A5011" w:rsidRPr="009A5011" w:rsidRDefault="009A5011" w:rsidP="009A5011">
      <w:pPr>
        <w:pStyle w:val="Default"/>
        <w:tabs>
          <w:tab w:val="left" w:pos="709"/>
          <w:tab w:val="left" w:pos="810"/>
        </w:tabs>
        <w:ind w:firstLine="360"/>
        <w:jc w:val="both"/>
        <w:rPr>
          <w:rFonts w:ascii="Book Antiqua" w:hAnsi="Book Antiqua"/>
          <w:bCs/>
        </w:rPr>
      </w:pPr>
      <w:r w:rsidRPr="009A5011">
        <w:rPr>
          <w:rFonts w:ascii="Book Antiqua" w:hAnsi="Book Antiqua"/>
          <w:bCs/>
        </w:rPr>
        <w:t>The essence of qualitative research is to observe people within their environment, interact with them, and strive to understand their language and interpretations of the world around them. It involves engaging with individuals related to the research focus with the aim of attempting to understand and explore their perspectives and experiences in order to gather the necessary information or data.</w:t>
      </w:r>
    </w:p>
    <w:p w:rsidR="009A5011" w:rsidRPr="009A5011" w:rsidRDefault="009A5011" w:rsidP="009A5011">
      <w:pPr>
        <w:pStyle w:val="Default"/>
        <w:tabs>
          <w:tab w:val="left" w:pos="709"/>
          <w:tab w:val="left" w:pos="810"/>
        </w:tabs>
        <w:ind w:firstLine="360"/>
        <w:jc w:val="both"/>
        <w:rPr>
          <w:rFonts w:ascii="Book Antiqua" w:hAnsi="Book Antiqua"/>
          <w:bCs/>
        </w:rPr>
      </w:pPr>
      <w:r w:rsidRPr="009A5011">
        <w:rPr>
          <w:rFonts w:ascii="Book Antiqua" w:hAnsi="Book Antiqua"/>
          <w:bCs/>
        </w:rPr>
        <w:t>Qualitative research emphasizes that the role of the researcher is a key instrument in data collection and interpretation. Data collection tools typically involve direct observation, interviews with informants, and document studies. To ensure the validity and reliability of data, triangulation is used along with an inductive method. Qualitative research focuses more on meaning than on generalization.</w:t>
      </w:r>
    </w:p>
    <w:p w:rsidR="009A5011" w:rsidRPr="009A5011" w:rsidRDefault="009A5011" w:rsidP="009A5011">
      <w:pPr>
        <w:pStyle w:val="Default"/>
        <w:tabs>
          <w:tab w:val="left" w:pos="709"/>
          <w:tab w:val="left" w:pos="810"/>
        </w:tabs>
        <w:ind w:firstLine="360"/>
        <w:jc w:val="both"/>
        <w:rPr>
          <w:rFonts w:ascii="Book Antiqua" w:hAnsi="Book Antiqua"/>
          <w:bCs/>
        </w:rPr>
      </w:pPr>
      <w:r w:rsidRPr="009A5011">
        <w:rPr>
          <w:rFonts w:ascii="Book Antiqua" w:hAnsi="Book Antiqua"/>
          <w:bCs/>
        </w:rPr>
        <w:t>The researcher chooses a descriptive type of qualitative research because the activity aims to gain an in-depth understanding and to describe the views of ulama (kiai) pesantren regarding the practice of the nadzar system in al-Qardh financing as a solution for members (clients) at LKMS-BMT Pasuruan, the views of ulama (kiai) pesantren on the additional benefits of al-Qardh financing within the nadzar system at LKMS-BMT Pasuruan, and the implications of implementing al-Qardh financing with the nadzar system for LKMS and its members.</w:t>
      </w:r>
    </w:p>
    <w:p w:rsidR="009A5011" w:rsidRPr="009A5011" w:rsidRDefault="009A5011" w:rsidP="009A5011">
      <w:pPr>
        <w:pStyle w:val="Default"/>
        <w:tabs>
          <w:tab w:val="left" w:pos="709"/>
          <w:tab w:val="left" w:pos="810"/>
        </w:tabs>
        <w:ind w:firstLine="360"/>
        <w:jc w:val="both"/>
        <w:rPr>
          <w:rFonts w:ascii="Book Antiqua" w:hAnsi="Book Antiqua"/>
          <w:bCs/>
        </w:rPr>
      </w:pPr>
      <w:r w:rsidRPr="009A5011">
        <w:rPr>
          <w:rFonts w:ascii="Book Antiqua" w:hAnsi="Book Antiqua"/>
          <w:bCs/>
        </w:rPr>
        <w:t>This research employs a hermeneutic approach, which, in everyday terms, means interpretation or exegesis and was originally a research method in the human sciences. In this study, the hermeneutic approach is used to interpret nadzar and al-Qardh financing contracts. This research aims to identify the meanings or significance of nadzar and al-Qardh from an Islamic perspective, transforming a state of ignorance into understanding.</w:t>
      </w:r>
    </w:p>
    <w:p w:rsidR="009A5011" w:rsidRPr="009A5011" w:rsidRDefault="009A5011" w:rsidP="009A5011">
      <w:pPr>
        <w:pStyle w:val="Default"/>
        <w:tabs>
          <w:tab w:val="left" w:pos="709"/>
          <w:tab w:val="left" w:pos="810"/>
        </w:tabs>
        <w:ind w:firstLine="360"/>
        <w:jc w:val="both"/>
        <w:rPr>
          <w:rFonts w:ascii="Book Antiqua" w:hAnsi="Book Antiqua"/>
          <w:bCs/>
        </w:rPr>
      </w:pPr>
      <w:r w:rsidRPr="009A5011">
        <w:rPr>
          <w:rFonts w:ascii="Book Antiqua" w:hAnsi="Book Antiqua"/>
          <w:bCs/>
        </w:rPr>
        <w:t>In this study, the researcher acts as a participant observer. The researcher conducts direct interviews with ulama (kiai) from pesantren who have perspectives on the practice of the nadzar system in al-Qardh financing as a solution for members (clients) at LKMS-BMT Pasuruan, the views of the kiai regarding the additional benefits of al-Qardh financing within the nadzar system at LKMS-BMT Pasuruan, and the implications of implementing al-Qardh financing with the nadzar system for LKMS and its members.</w:t>
      </w:r>
    </w:p>
    <w:p w:rsidR="009A5011" w:rsidRPr="009A5011" w:rsidRDefault="009A5011" w:rsidP="009A5011">
      <w:pPr>
        <w:pStyle w:val="Default"/>
        <w:tabs>
          <w:tab w:val="left" w:pos="709"/>
          <w:tab w:val="left" w:pos="810"/>
        </w:tabs>
        <w:ind w:firstLine="360"/>
        <w:jc w:val="both"/>
        <w:rPr>
          <w:rFonts w:ascii="Book Antiqua" w:hAnsi="Book Antiqua"/>
          <w:bCs/>
        </w:rPr>
      </w:pPr>
      <w:r w:rsidRPr="009A5011">
        <w:rPr>
          <w:rFonts w:ascii="Book Antiqua" w:hAnsi="Book Antiqua"/>
          <w:bCs/>
        </w:rPr>
        <w:t>The object of this research is the need for information, while the subjects of the study include ulama (kiai) from pesantren who have perspectives on the practice of the nadzar system in al-Qardh financing as a solution for members (clients) at LKMS-BMT Pasuruan, views on the additional benefits of al-Qardh financing within the nadzar system at LKMS-BMT Pasuruan, as well as its various implications.</w:t>
      </w:r>
    </w:p>
    <w:p w:rsidR="009A5011" w:rsidRPr="009A5011" w:rsidRDefault="009A5011" w:rsidP="009A5011">
      <w:pPr>
        <w:pStyle w:val="Default"/>
        <w:tabs>
          <w:tab w:val="left" w:pos="709"/>
          <w:tab w:val="left" w:pos="810"/>
        </w:tabs>
        <w:ind w:firstLine="360"/>
        <w:jc w:val="both"/>
        <w:rPr>
          <w:rFonts w:ascii="Book Antiqua" w:hAnsi="Book Antiqua"/>
          <w:bCs/>
        </w:rPr>
      </w:pPr>
      <w:r w:rsidRPr="009A5011">
        <w:rPr>
          <w:rFonts w:ascii="Book Antiqua" w:hAnsi="Book Antiqua"/>
          <w:bCs/>
        </w:rPr>
        <w:t>The criteria used to select informants include: sources who are ulama (kiai) from pesantren with significant influence in the community, having hundreds to thousands of students, residing in Pasuruan, and being academics or practitioners specializing in Islamic economics, particularly regarding LKMS BMT in Pasuruan. Below are the details of the ulama (kiai) who served as research informants:</w:t>
      </w:r>
    </w:p>
    <w:p w:rsidR="008A063B" w:rsidRPr="001038BB" w:rsidRDefault="007E2D38" w:rsidP="009A5011">
      <w:pPr>
        <w:pStyle w:val="Default"/>
        <w:tabs>
          <w:tab w:val="left" w:pos="709"/>
          <w:tab w:val="left" w:pos="810"/>
        </w:tabs>
        <w:ind w:firstLine="360"/>
        <w:jc w:val="center"/>
        <w:rPr>
          <w:rFonts w:ascii="Book Antiqua" w:hAnsi="Book Antiqua"/>
          <w:b/>
        </w:rPr>
      </w:pPr>
      <w:r w:rsidRPr="001038BB">
        <w:rPr>
          <w:rFonts w:ascii="Book Antiqua" w:hAnsi="Book Antiqua"/>
          <w:b/>
        </w:rPr>
        <w:t xml:space="preserve">Tabel </w:t>
      </w:r>
      <w:r w:rsidR="008A063B" w:rsidRPr="001038BB">
        <w:rPr>
          <w:rFonts w:ascii="Book Antiqua" w:hAnsi="Book Antiqua"/>
          <w:b/>
        </w:rPr>
        <w:t>1</w:t>
      </w:r>
    </w:p>
    <w:p w:rsidR="008A063B" w:rsidRPr="001038BB" w:rsidRDefault="009A5011" w:rsidP="007E2D38">
      <w:pPr>
        <w:pStyle w:val="BodyText"/>
        <w:ind w:right="-1"/>
        <w:jc w:val="center"/>
        <w:rPr>
          <w:rFonts w:ascii="Book Antiqua" w:hAnsi="Book Antiqua"/>
          <w:b/>
          <w:sz w:val="24"/>
          <w:szCs w:val="24"/>
          <w:lang w:val="en-US"/>
        </w:rPr>
      </w:pPr>
      <w:r>
        <w:rPr>
          <w:rFonts w:ascii="Book Antiqua" w:hAnsi="Book Antiqua"/>
          <w:b/>
          <w:sz w:val="24"/>
          <w:szCs w:val="24"/>
        </w:rPr>
        <w:t xml:space="preserve">Informant Profile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50"/>
        <w:gridCol w:w="1766"/>
        <w:gridCol w:w="431"/>
        <w:gridCol w:w="1292"/>
        <w:gridCol w:w="1919"/>
        <w:gridCol w:w="2215"/>
      </w:tblGrid>
      <w:tr w:rsidR="008A063B" w:rsidRPr="001038BB" w:rsidTr="00A024BE">
        <w:trPr>
          <w:trHeight w:val="553"/>
        </w:trPr>
        <w:tc>
          <w:tcPr>
            <w:tcW w:w="0" w:type="auto"/>
            <w:shd w:val="clear" w:color="auto" w:fill="8EAADB"/>
            <w:vAlign w:val="center"/>
            <w:hideMark/>
          </w:tcPr>
          <w:p w:rsidR="008A063B" w:rsidRPr="001038BB" w:rsidRDefault="008A063B" w:rsidP="00A024BE">
            <w:pPr>
              <w:pStyle w:val="TableParagraph"/>
              <w:ind w:left="92" w:right="87"/>
              <w:jc w:val="center"/>
              <w:rPr>
                <w:rFonts w:ascii="Book Antiqua" w:hAnsi="Book Antiqua"/>
                <w:b/>
              </w:rPr>
            </w:pPr>
            <w:r w:rsidRPr="001038BB">
              <w:rPr>
                <w:rFonts w:ascii="Book Antiqua" w:hAnsi="Book Antiqua"/>
                <w:b/>
              </w:rPr>
              <w:t>No.</w:t>
            </w:r>
          </w:p>
        </w:tc>
        <w:tc>
          <w:tcPr>
            <w:tcW w:w="0" w:type="auto"/>
            <w:shd w:val="clear" w:color="auto" w:fill="8EAADB"/>
            <w:vAlign w:val="center"/>
            <w:hideMark/>
          </w:tcPr>
          <w:p w:rsidR="008A063B" w:rsidRPr="001038BB" w:rsidRDefault="00A024BE" w:rsidP="00A024BE">
            <w:pPr>
              <w:pStyle w:val="TableParagraph"/>
              <w:ind w:right="133"/>
              <w:jc w:val="center"/>
              <w:rPr>
                <w:rFonts w:ascii="Book Antiqua" w:hAnsi="Book Antiqua"/>
                <w:b/>
              </w:rPr>
            </w:pPr>
            <w:r>
              <w:rPr>
                <w:rFonts w:ascii="Book Antiqua" w:hAnsi="Book Antiqua"/>
                <w:b/>
              </w:rPr>
              <w:t>Name of Informant</w:t>
            </w:r>
          </w:p>
        </w:tc>
        <w:tc>
          <w:tcPr>
            <w:tcW w:w="0" w:type="auto"/>
            <w:shd w:val="clear" w:color="auto" w:fill="8EAADB"/>
            <w:vAlign w:val="center"/>
          </w:tcPr>
          <w:p w:rsidR="008A063B" w:rsidRPr="001038BB" w:rsidRDefault="00A024BE" w:rsidP="00A024BE">
            <w:pPr>
              <w:pStyle w:val="TableParagraph"/>
              <w:jc w:val="center"/>
              <w:rPr>
                <w:rFonts w:ascii="Book Antiqua" w:hAnsi="Book Antiqua"/>
                <w:b/>
              </w:rPr>
            </w:pPr>
            <w:r>
              <w:rPr>
                <w:rFonts w:ascii="Book Antiqua" w:hAnsi="Book Antiqua"/>
                <w:b/>
              </w:rPr>
              <w:t>Age</w:t>
            </w:r>
          </w:p>
        </w:tc>
        <w:tc>
          <w:tcPr>
            <w:tcW w:w="0" w:type="auto"/>
            <w:shd w:val="clear" w:color="auto" w:fill="8EAADB"/>
            <w:vAlign w:val="center"/>
            <w:hideMark/>
          </w:tcPr>
          <w:p w:rsidR="008A063B" w:rsidRPr="001038BB" w:rsidRDefault="00A024BE" w:rsidP="00A024BE">
            <w:pPr>
              <w:pStyle w:val="TableParagraph"/>
              <w:jc w:val="center"/>
              <w:rPr>
                <w:rFonts w:ascii="Book Antiqua" w:hAnsi="Book Antiqua"/>
                <w:b/>
                <w:lang w:val="id-ID"/>
              </w:rPr>
            </w:pPr>
            <w:r>
              <w:rPr>
                <w:rFonts w:ascii="Book Antiqua" w:hAnsi="Book Antiqua"/>
                <w:b/>
                <w:lang w:val="id-ID"/>
              </w:rPr>
              <w:t>Position</w:t>
            </w:r>
          </w:p>
        </w:tc>
        <w:tc>
          <w:tcPr>
            <w:tcW w:w="0" w:type="auto"/>
            <w:shd w:val="clear" w:color="auto" w:fill="8EAADB"/>
            <w:vAlign w:val="center"/>
          </w:tcPr>
          <w:p w:rsidR="008A063B" w:rsidRPr="001038BB" w:rsidRDefault="008A063B" w:rsidP="00A024BE">
            <w:pPr>
              <w:pStyle w:val="TableParagraph"/>
              <w:ind w:left="141" w:hanging="2"/>
              <w:jc w:val="center"/>
              <w:rPr>
                <w:rFonts w:ascii="Book Antiqua" w:hAnsi="Book Antiqua"/>
                <w:b/>
                <w:lang w:val="id-ID"/>
              </w:rPr>
            </w:pPr>
            <w:r w:rsidRPr="001038BB">
              <w:rPr>
                <w:rFonts w:ascii="Book Antiqua" w:hAnsi="Book Antiqua"/>
                <w:b/>
                <w:lang w:val="id-ID"/>
              </w:rPr>
              <w:t>Pesantren</w:t>
            </w:r>
          </w:p>
        </w:tc>
        <w:tc>
          <w:tcPr>
            <w:tcW w:w="0" w:type="auto"/>
            <w:shd w:val="clear" w:color="auto" w:fill="8EAADB"/>
            <w:vAlign w:val="center"/>
            <w:hideMark/>
          </w:tcPr>
          <w:p w:rsidR="008A063B" w:rsidRPr="001038BB" w:rsidRDefault="00A024BE" w:rsidP="00A024BE">
            <w:pPr>
              <w:pStyle w:val="TableParagraph"/>
              <w:ind w:left="141" w:hanging="2"/>
              <w:jc w:val="center"/>
              <w:rPr>
                <w:rFonts w:ascii="Book Antiqua" w:hAnsi="Book Antiqua"/>
                <w:b/>
              </w:rPr>
            </w:pPr>
            <w:r>
              <w:rPr>
                <w:rFonts w:ascii="Book Antiqua" w:hAnsi="Book Antiqua"/>
                <w:b/>
              </w:rPr>
              <w:t>Other Position</w:t>
            </w:r>
          </w:p>
        </w:tc>
      </w:tr>
      <w:tr w:rsidR="008A063B" w:rsidRPr="001038BB" w:rsidTr="00A024BE">
        <w:trPr>
          <w:trHeight w:val="864"/>
        </w:trPr>
        <w:tc>
          <w:tcPr>
            <w:tcW w:w="0" w:type="auto"/>
            <w:vAlign w:val="center"/>
            <w:hideMark/>
          </w:tcPr>
          <w:p w:rsidR="008A063B" w:rsidRPr="001038BB" w:rsidRDefault="008A063B" w:rsidP="009A5011">
            <w:pPr>
              <w:pStyle w:val="TableParagraph"/>
              <w:ind w:left="92" w:right="87"/>
              <w:rPr>
                <w:rFonts w:ascii="Book Antiqua" w:hAnsi="Book Antiqua"/>
              </w:rPr>
            </w:pPr>
            <w:r w:rsidRPr="001038BB">
              <w:rPr>
                <w:rFonts w:ascii="Book Antiqua" w:hAnsi="Book Antiqua"/>
              </w:rPr>
              <w:t>1.</w:t>
            </w:r>
          </w:p>
        </w:tc>
        <w:tc>
          <w:tcPr>
            <w:tcW w:w="0" w:type="auto"/>
            <w:vAlign w:val="center"/>
            <w:hideMark/>
          </w:tcPr>
          <w:p w:rsidR="008A063B" w:rsidRPr="001038BB" w:rsidRDefault="008A063B" w:rsidP="009A5011">
            <w:pPr>
              <w:pStyle w:val="TableParagraph"/>
              <w:tabs>
                <w:tab w:val="left" w:pos="765"/>
              </w:tabs>
              <w:ind w:left="105" w:right="94"/>
              <w:rPr>
                <w:rFonts w:ascii="Book Antiqua" w:hAnsi="Book Antiqua"/>
                <w:lang w:val="id-ID"/>
              </w:rPr>
            </w:pPr>
            <w:r w:rsidRPr="001038BB">
              <w:rPr>
                <w:rFonts w:ascii="Book Antiqua" w:hAnsi="Book Antiqua"/>
                <w:lang w:val="id-ID"/>
              </w:rPr>
              <w:t xml:space="preserve">KH </w:t>
            </w:r>
            <w:r w:rsidRPr="001038BB">
              <w:rPr>
                <w:rFonts w:ascii="Book Antiqua" w:hAnsi="Book Antiqua"/>
              </w:rPr>
              <w:t xml:space="preserve">Ahmad </w:t>
            </w:r>
            <w:r w:rsidRPr="001038BB">
              <w:rPr>
                <w:rFonts w:ascii="Book Antiqua" w:hAnsi="Book Antiqua"/>
                <w:lang w:val="id-ID"/>
              </w:rPr>
              <w:t>Sholeh Romli</w:t>
            </w:r>
          </w:p>
        </w:tc>
        <w:tc>
          <w:tcPr>
            <w:tcW w:w="0" w:type="auto"/>
            <w:vAlign w:val="center"/>
          </w:tcPr>
          <w:p w:rsidR="008A063B" w:rsidRPr="001038BB" w:rsidRDefault="008A063B" w:rsidP="009A5011">
            <w:pPr>
              <w:pStyle w:val="TableParagraph"/>
              <w:ind w:left="108" w:right="92"/>
              <w:rPr>
                <w:rFonts w:ascii="Book Antiqua" w:hAnsi="Book Antiqua"/>
              </w:rPr>
            </w:pPr>
            <w:r w:rsidRPr="001038BB">
              <w:rPr>
                <w:rFonts w:ascii="Book Antiqua" w:hAnsi="Book Antiqua"/>
              </w:rPr>
              <w:t>54</w:t>
            </w:r>
          </w:p>
        </w:tc>
        <w:tc>
          <w:tcPr>
            <w:tcW w:w="0" w:type="auto"/>
            <w:vAlign w:val="center"/>
            <w:hideMark/>
          </w:tcPr>
          <w:p w:rsidR="008A063B" w:rsidRPr="001038BB" w:rsidRDefault="009A5011" w:rsidP="009A5011">
            <w:pPr>
              <w:pStyle w:val="TableParagraph"/>
              <w:ind w:left="108" w:right="92"/>
              <w:rPr>
                <w:rFonts w:ascii="Book Antiqua" w:hAnsi="Book Antiqua"/>
              </w:rPr>
            </w:pPr>
            <w:r>
              <w:rPr>
                <w:rFonts w:ascii="Book Antiqua" w:hAnsi="Book Antiqua"/>
                <w:lang w:val="id-ID"/>
              </w:rPr>
              <w:t xml:space="preserve">Caretaker </w:t>
            </w:r>
          </w:p>
        </w:tc>
        <w:tc>
          <w:tcPr>
            <w:tcW w:w="0" w:type="auto"/>
            <w:vAlign w:val="center"/>
          </w:tcPr>
          <w:p w:rsidR="008A063B" w:rsidRPr="001038BB" w:rsidRDefault="008A063B" w:rsidP="009A5011">
            <w:pPr>
              <w:pStyle w:val="TableParagraph"/>
              <w:ind w:left="127" w:right="115"/>
              <w:rPr>
                <w:rFonts w:ascii="Book Antiqua" w:hAnsi="Book Antiqua"/>
                <w:lang w:val="id-ID"/>
              </w:rPr>
            </w:pPr>
            <w:r w:rsidRPr="001038BB">
              <w:rPr>
                <w:rFonts w:ascii="Book Antiqua" w:hAnsi="Book Antiqua"/>
                <w:lang w:val="id-ID"/>
              </w:rPr>
              <w:t xml:space="preserve">Assyarqowi </w:t>
            </w:r>
            <w:r w:rsidRPr="001038BB">
              <w:rPr>
                <w:rFonts w:ascii="Book Antiqua" w:hAnsi="Book Antiqua"/>
              </w:rPr>
              <w:t xml:space="preserve">Tembok </w:t>
            </w:r>
            <w:r w:rsidRPr="001038BB">
              <w:rPr>
                <w:rFonts w:ascii="Book Antiqua" w:hAnsi="Book Antiqua"/>
                <w:lang w:val="id-ID"/>
              </w:rPr>
              <w:t>Kota Pasuruan</w:t>
            </w:r>
          </w:p>
        </w:tc>
        <w:tc>
          <w:tcPr>
            <w:tcW w:w="0" w:type="auto"/>
            <w:vAlign w:val="center"/>
          </w:tcPr>
          <w:p w:rsidR="009A5011" w:rsidRPr="009A5011" w:rsidRDefault="009A5011" w:rsidP="009A5011">
            <w:pPr>
              <w:pStyle w:val="TableParagraph"/>
              <w:numPr>
                <w:ilvl w:val="0"/>
                <w:numId w:val="70"/>
              </w:numPr>
              <w:rPr>
                <w:rFonts w:ascii="Book Antiqua" w:hAnsi="Book Antiqua"/>
              </w:rPr>
            </w:pPr>
            <w:r w:rsidRPr="009A5011">
              <w:rPr>
                <w:rFonts w:ascii="Book Antiqua" w:hAnsi="Book Antiqua"/>
              </w:rPr>
              <w:t>Chair 1 of MUI</w:t>
            </w:r>
            <w:r w:rsidR="00A024BE">
              <w:rPr>
                <w:rFonts w:ascii="Book Antiqua" w:hAnsi="Book Antiqua"/>
              </w:rPr>
              <w:t xml:space="preserve"> </w:t>
            </w:r>
            <w:r w:rsidRPr="009A5011">
              <w:rPr>
                <w:rFonts w:ascii="Book Antiqua" w:hAnsi="Book Antiqua"/>
              </w:rPr>
              <w:t>Pasuruan</w:t>
            </w:r>
            <w:r w:rsidR="00A024BE">
              <w:rPr>
                <w:rFonts w:ascii="Book Antiqua" w:hAnsi="Book Antiqua"/>
              </w:rPr>
              <w:t xml:space="preserve"> City </w:t>
            </w:r>
          </w:p>
          <w:p w:rsidR="009A5011" w:rsidRDefault="009A5011" w:rsidP="009A5011">
            <w:pPr>
              <w:pStyle w:val="TableParagraph"/>
              <w:numPr>
                <w:ilvl w:val="0"/>
                <w:numId w:val="70"/>
              </w:numPr>
              <w:rPr>
                <w:rFonts w:ascii="Book Antiqua" w:hAnsi="Book Antiqua"/>
              </w:rPr>
            </w:pPr>
            <w:r w:rsidRPr="009A5011">
              <w:rPr>
                <w:rFonts w:ascii="Book Antiqua" w:hAnsi="Book Antiqua"/>
              </w:rPr>
              <w:t>Vice Chairman of PCNU Pasuruan</w:t>
            </w:r>
            <w:r w:rsidR="00A024BE">
              <w:rPr>
                <w:rFonts w:ascii="Book Antiqua" w:hAnsi="Book Antiqua"/>
              </w:rPr>
              <w:t xml:space="preserve"> City</w:t>
            </w:r>
          </w:p>
          <w:p w:rsidR="008A063B" w:rsidRPr="001038BB" w:rsidRDefault="009A5011" w:rsidP="009A5011">
            <w:pPr>
              <w:pStyle w:val="TableParagraph"/>
              <w:numPr>
                <w:ilvl w:val="0"/>
                <w:numId w:val="70"/>
              </w:numPr>
              <w:rPr>
                <w:rFonts w:ascii="Book Antiqua" w:hAnsi="Book Antiqua"/>
              </w:rPr>
            </w:pPr>
            <w:r w:rsidRPr="009A5011">
              <w:rPr>
                <w:rFonts w:ascii="Book Antiqua" w:hAnsi="Book Antiqua"/>
              </w:rPr>
              <w:t xml:space="preserve">Member of the Board of Supervisors of KSPPS BMT Maslahah </w:t>
            </w:r>
          </w:p>
        </w:tc>
      </w:tr>
      <w:tr w:rsidR="008A063B" w:rsidRPr="001038BB" w:rsidTr="00A024BE">
        <w:trPr>
          <w:trHeight w:val="841"/>
        </w:trPr>
        <w:tc>
          <w:tcPr>
            <w:tcW w:w="0" w:type="auto"/>
            <w:vAlign w:val="center"/>
            <w:hideMark/>
          </w:tcPr>
          <w:p w:rsidR="008A063B" w:rsidRPr="001038BB" w:rsidRDefault="008A063B" w:rsidP="009A5011">
            <w:pPr>
              <w:pStyle w:val="TableParagraph"/>
              <w:ind w:left="92" w:right="87"/>
              <w:rPr>
                <w:rFonts w:ascii="Book Antiqua" w:hAnsi="Book Antiqua"/>
              </w:rPr>
            </w:pPr>
            <w:r w:rsidRPr="001038BB">
              <w:rPr>
                <w:rFonts w:ascii="Book Antiqua" w:hAnsi="Book Antiqua"/>
              </w:rPr>
              <w:t>2.</w:t>
            </w:r>
          </w:p>
        </w:tc>
        <w:tc>
          <w:tcPr>
            <w:tcW w:w="0" w:type="auto"/>
            <w:vAlign w:val="center"/>
            <w:hideMark/>
          </w:tcPr>
          <w:p w:rsidR="008A063B" w:rsidRPr="001038BB" w:rsidRDefault="008A063B" w:rsidP="009A5011">
            <w:pPr>
              <w:pStyle w:val="TableParagraph"/>
              <w:ind w:left="105" w:right="95"/>
              <w:rPr>
                <w:rFonts w:ascii="Book Antiqua" w:hAnsi="Book Antiqua"/>
                <w:lang w:val="id-ID"/>
              </w:rPr>
            </w:pPr>
            <w:r w:rsidRPr="001038BB">
              <w:rPr>
                <w:rFonts w:ascii="Book Antiqua" w:hAnsi="Book Antiqua"/>
                <w:lang w:val="id-ID"/>
              </w:rPr>
              <w:t xml:space="preserve">KH </w:t>
            </w:r>
            <w:r w:rsidRPr="001038BB">
              <w:rPr>
                <w:rFonts w:ascii="Book Antiqua" w:hAnsi="Book Antiqua"/>
              </w:rPr>
              <w:t xml:space="preserve">Muhamaad </w:t>
            </w:r>
            <w:r w:rsidRPr="001038BB">
              <w:rPr>
                <w:rFonts w:ascii="Book Antiqua" w:hAnsi="Book Antiqua"/>
                <w:lang w:val="id-ID"/>
              </w:rPr>
              <w:t xml:space="preserve">Nawawi </w:t>
            </w:r>
          </w:p>
        </w:tc>
        <w:tc>
          <w:tcPr>
            <w:tcW w:w="0" w:type="auto"/>
            <w:vAlign w:val="center"/>
          </w:tcPr>
          <w:p w:rsidR="008A063B" w:rsidRPr="001038BB" w:rsidRDefault="008A063B" w:rsidP="009A5011">
            <w:pPr>
              <w:pStyle w:val="TableParagraph"/>
              <w:ind w:left="108"/>
              <w:rPr>
                <w:rFonts w:ascii="Book Antiqua" w:hAnsi="Book Antiqua"/>
              </w:rPr>
            </w:pPr>
            <w:r w:rsidRPr="001038BB">
              <w:rPr>
                <w:rFonts w:ascii="Book Antiqua" w:hAnsi="Book Antiqua"/>
              </w:rPr>
              <w:t>45</w:t>
            </w:r>
          </w:p>
        </w:tc>
        <w:tc>
          <w:tcPr>
            <w:tcW w:w="0" w:type="auto"/>
            <w:vAlign w:val="center"/>
            <w:hideMark/>
          </w:tcPr>
          <w:p w:rsidR="008A063B" w:rsidRPr="001038BB" w:rsidRDefault="009A5011" w:rsidP="009A5011">
            <w:pPr>
              <w:pStyle w:val="TableParagraph"/>
              <w:ind w:left="108"/>
              <w:rPr>
                <w:rFonts w:ascii="Book Antiqua" w:hAnsi="Book Antiqua"/>
                <w:lang w:val="id-ID"/>
              </w:rPr>
            </w:pPr>
            <w:r>
              <w:rPr>
                <w:rFonts w:ascii="Book Antiqua" w:hAnsi="Book Antiqua"/>
                <w:lang w:val="id-ID"/>
              </w:rPr>
              <w:t>Caretaker</w:t>
            </w:r>
          </w:p>
        </w:tc>
        <w:tc>
          <w:tcPr>
            <w:tcW w:w="0" w:type="auto"/>
            <w:vAlign w:val="center"/>
          </w:tcPr>
          <w:p w:rsidR="008A063B" w:rsidRPr="001038BB" w:rsidRDefault="008A063B" w:rsidP="009A5011">
            <w:pPr>
              <w:pStyle w:val="TableParagraph"/>
              <w:ind w:left="127" w:right="115"/>
              <w:rPr>
                <w:rFonts w:ascii="Book Antiqua" w:hAnsi="Book Antiqua"/>
                <w:lang w:val="id-ID"/>
              </w:rPr>
            </w:pPr>
            <w:r w:rsidRPr="001038BB">
              <w:rPr>
                <w:rFonts w:ascii="Book Antiqua" w:hAnsi="Book Antiqua"/>
                <w:lang w:val="id-ID"/>
              </w:rPr>
              <w:t xml:space="preserve">Sabilul Muttaqin </w:t>
            </w:r>
            <w:r w:rsidRPr="001038BB">
              <w:rPr>
                <w:rFonts w:ascii="Book Antiqua" w:hAnsi="Book Antiqua"/>
              </w:rPr>
              <w:t xml:space="preserve">Karang Anyar </w:t>
            </w:r>
            <w:r w:rsidRPr="001038BB">
              <w:rPr>
                <w:rFonts w:ascii="Book Antiqua" w:hAnsi="Book Antiqua"/>
                <w:lang w:val="id-ID"/>
              </w:rPr>
              <w:t>Kraton Pasuruan</w:t>
            </w:r>
          </w:p>
        </w:tc>
        <w:tc>
          <w:tcPr>
            <w:tcW w:w="0" w:type="auto"/>
            <w:vAlign w:val="center"/>
          </w:tcPr>
          <w:p w:rsidR="008A063B" w:rsidRPr="001038BB" w:rsidRDefault="009A5011" w:rsidP="009A5011">
            <w:pPr>
              <w:pStyle w:val="TableParagraph"/>
              <w:ind w:left="127" w:right="115"/>
              <w:rPr>
                <w:rFonts w:ascii="Book Antiqua" w:hAnsi="Book Antiqua"/>
              </w:rPr>
            </w:pPr>
            <w:r w:rsidRPr="00B83572">
              <w:rPr>
                <w:rFonts w:ascii="Book Antiqua" w:hAnsi="Book Antiqua"/>
              </w:rPr>
              <w:t>Vice Chairman of PCNU Pasuruan</w:t>
            </w:r>
            <w:r w:rsidRPr="001038BB">
              <w:rPr>
                <w:rFonts w:ascii="Book Antiqua" w:hAnsi="Book Antiqua"/>
              </w:rPr>
              <w:t xml:space="preserve"> </w:t>
            </w:r>
            <w:r>
              <w:rPr>
                <w:rFonts w:ascii="Book Antiqua" w:hAnsi="Book Antiqua"/>
              </w:rPr>
              <w:t xml:space="preserve">Regency </w:t>
            </w:r>
          </w:p>
        </w:tc>
      </w:tr>
      <w:tr w:rsidR="008A063B" w:rsidRPr="001038BB" w:rsidTr="00A024BE">
        <w:trPr>
          <w:trHeight w:val="844"/>
        </w:trPr>
        <w:tc>
          <w:tcPr>
            <w:tcW w:w="0" w:type="auto"/>
            <w:vAlign w:val="center"/>
            <w:hideMark/>
          </w:tcPr>
          <w:p w:rsidR="008A063B" w:rsidRPr="001038BB" w:rsidRDefault="008A063B" w:rsidP="009A5011">
            <w:pPr>
              <w:pStyle w:val="TableParagraph"/>
              <w:ind w:left="92" w:right="87"/>
              <w:rPr>
                <w:rFonts w:ascii="Book Antiqua" w:hAnsi="Book Antiqua"/>
              </w:rPr>
            </w:pPr>
            <w:r w:rsidRPr="001038BB">
              <w:rPr>
                <w:rFonts w:ascii="Book Antiqua" w:hAnsi="Book Antiqua"/>
              </w:rPr>
              <w:t>3.</w:t>
            </w:r>
          </w:p>
        </w:tc>
        <w:tc>
          <w:tcPr>
            <w:tcW w:w="0" w:type="auto"/>
            <w:vAlign w:val="center"/>
            <w:hideMark/>
          </w:tcPr>
          <w:p w:rsidR="008A063B" w:rsidRPr="001038BB" w:rsidRDefault="008A063B" w:rsidP="009A5011">
            <w:pPr>
              <w:pStyle w:val="TableParagraph"/>
              <w:ind w:left="105"/>
              <w:rPr>
                <w:rFonts w:ascii="Book Antiqua" w:hAnsi="Book Antiqua"/>
                <w:lang w:val="id-ID"/>
              </w:rPr>
            </w:pPr>
            <w:r w:rsidRPr="001038BB">
              <w:rPr>
                <w:rFonts w:ascii="Book Antiqua" w:hAnsi="Book Antiqua"/>
                <w:lang w:val="id-ID"/>
              </w:rPr>
              <w:t xml:space="preserve">KH </w:t>
            </w:r>
            <w:r w:rsidRPr="001038BB">
              <w:rPr>
                <w:rFonts w:ascii="Book Antiqua" w:hAnsi="Book Antiqua"/>
              </w:rPr>
              <w:t xml:space="preserve">Abd </w:t>
            </w:r>
            <w:r w:rsidRPr="001038BB">
              <w:rPr>
                <w:rFonts w:ascii="Book Antiqua" w:hAnsi="Book Antiqua"/>
                <w:lang w:val="id-ID"/>
              </w:rPr>
              <w:t>Ghofur</w:t>
            </w:r>
          </w:p>
        </w:tc>
        <w:tc>
          <w:tcPr>
            <w:tcW w:w="0" w:type="auto"/>
            <w:vAlign w:val="center"/>
          </w:tcPr>
          <w:p w:rsidR="008A063B" w:rsidRPr="001038BB" w:rsidRDefault="008A063B" w:rsidP="009A5011">
            <w:pPr>
              <w:pStyle w:val="TableParagraph"/>
              <w:tabs>
                <w:tab w:val="left" w:pos="1558"/>
              </w:tabs>
              <w:ind w:left="108" w:right="93"/>
              <w:rPr>
                <w:rFonts w:ascii="Book Antiqua" w:hAnsi="Book Antiqua"/>
              </w:rPr>
            </w:pPr>
            <w:r w:rsidRPr="001038BB">
              <w:rPr>
                <w:rFonts w:ascii="Book Antiqua" w:hAnsi="Book Antiqua"/>
              </w:rPr>
              <w:t>59</w:t>
            </w:r>
          </w:p>
        </w:tc>
        <w:tc>
          <w:tcPr>
            <w:tcW w:w="0" w:type="auto"/>
            <w:vAlign w:val="center"/>
            <w:hideMark/>
          </w:tcPr>
          <w:p w:rsidR="008A063B" w:rsidRPr="001038BB" w:rsidRDefault="009A5011" w:rsidP="009A5011">
            <w:pPr>
              <w:pStyle w:val="TableParagraph"/>
              <w:tabs>
                <w:tab w:val="left" w:pos="1558"/>
              </w:tabs>
              <w:ind w:left="108" w:right="93"/>
              <w:rPr>
                <w:rFonts w:ascii="Book Antiqua" w:hAnsi="Book Antiqua"/>
                <w:lang w:val="id-ID"/>
              </w:rPr>
            </w:pPr>
            <w:r>
              <w:rPr>
                <w:rFonts w:ascii="Book Antiqua" w:hAnsi="Book Antiqua"/>
                <w:lang w:val="id-ID"/>
              </w:rPr>
              <w:t>Caretaker</w:t>
            </w:r>
          </w:p>
        </w:tc>
        <w:tc>
          <w:tcPr>
            <w:tcW w:w="0" w:type="auto"/>
            <w:vAlign w:val="center"/>
          </w:tcPr>
          <w:p w:rsidR="008A063B" w:rsidRPr="001038BB" w:rsidRDefault="000E05A2" w:rsidP="009A5011">
            <w:pPr>
              <w:pStyle w:val="TableParagraph"/>
              <w:ind w:left="127" w:right="115"/>
              <w:rPr>
                <w:rFonts w:ascii="Book Antiqua" w:hAnsi="Book Antiqua"/>
                <w:lang w:val="id-ID"/>
              </w:rPr>
            </w:pPr>
            <w:r w:rsidRPr="000E05A2">
              <w:rPr>
                <w:rFonts w:ascii="Book Antiqua" w:hAnsi="Book Antiqua"/>
                <w:lang w:val="id-ID"/>
              </w:rPr>
              <w:t>Al Fiqhiyah Islamic Boarding School Pasuruan</w:t>
            </w:r>
          </w:p>
        </w:tc>
        <w:tc>
          <w:tcPr>
            <w:tcW w:w="0" w:type="auto"/>
          </w:tcPr>
          <w:p w:rsidR="008A063B" w:rsidRPr="001038BB" w:rsidRDefault="008A063B" w:rsidP="009A5011">
            <w:pPr>
              <w:pStyle w:val="TableParagraph"/>
              <w:ind w:left="127" w:right="115"/>
              <w:rPr>
                <w:rFonts w:ascii="Book Antiqua" w:hAnsi="Book Antiqua"/>
              </w:rPr>
            </w:pPr>
          </w:p>
          <w:p w:rsidR="008A063B" w:rsidRPr="001038BB" w:rsidRDefault="009A5011" w:rsidP="009A5011">
            <w:pPr>
              <w:pStyle w:val="TableParagraph"/>
              <w:ind w:left="127" w:right="115"/>
              <w:rPr>
                <w:rFonts w:ascii="Book Antiqua" w:hAnsi="Book Antiqua"/>
              </w:rPr>
            </w:pPr>
            <w:r w:rsidRPr="00B83572">
              <w:rPr>
                <w:rFonts w:ascii="Book Antiqua" w:hAnsi="Book Antiqua"/>
              </w:rPr>
              <w:t>Member of the Board of Supervisors of KSPPS BMT UGT Nusantara</w:t>
            </w:r>
          </w:p>
        </w:tc>
      </w:tr>
      <w:tr w:rsidR="008A063B" w:rsidRPr="001038BB" w:rsidTr="00A024BE">
        <w:trPr>
          <w:trHeight w:val="700"/>
        </w:trPr>
        <w:tc>
          <w:tcPr>
            <w:tcW w:w="0" w:type="auto"/>
            <w:vAlign w:val="center"/>
            <w:hideMark/>
          </w:tcPr>
          <w:p w:rsidR="008A063B" w:rsidRPr="001038BB" w:rsidRDefault="008A063B" w:rsidP="009A5011">
            <w:pPr>
              <w:pStyle w:val="TableParagraph"/>
              <w:ind w:left="92" w:right="87"/>
              <w:rPr>
                <w:rFonts w:ascii="Book Antiqua" w:hAnsi="Book Antiqua"/>
              </w:rPr>
            </w:pPr>
            <w:r w:rsidRPr="001038BB">
              <w:rPr>
                <w:rFonts w:ascii="Book Antiqua" w:hAnsi="Book Antiqua"/>
              </w:rPr>
              <w:t>4</w:t>
            </w:r>
          </w:p>
        </w:tc>
        <w:tc>
          <w:tcPr>
            <w:tcW w:w="0" w:type="auto"/>
            <w:vAlign w:val="center"/>
            <w:hideMark/>
          </w:tcPr>
          <w:p w:rsidR="008A063B" w:rsidRPr="001038BB" w:rsidRDefault="008A063B" w:rsidP="009A5011">
            <w:pPr>
              <w:pStyle w:val="TableParagraph"/>
              <w:ind w:left="105"/>
              <w:rPr>
                <w:rFonts w:ascii="Book Antiqua" w:hAnsi="Book Antiqua"/>
                <w:lang w:val="id-ID"/>
              </w:rPr>
            </w:pPr>
            <w:r w:rsidRPr="001038BB">
              <w:rPr>
                <w:rFonts w:ascii="Book Antiqua" w:hAnsi="Book Antiqua"/>
                <w:lang w:val="id-ID"/>
              </w:rPr>
              <w:t>KH Imron Mutamakkin</w:t>
            </w:r>
          </w:p>
        </w:tc>
        <w:tc>
          <w:tcPr>
            <w:tcW w:w="0" w:type="auto"/>
            <w:vAlign w:val="center"/>
          </w:tcPr>
          <w:p w:rsidR="008A063B" w:rsidRPr="001038BB" w:rsidRDefault="008A063B" w:rsidP="009A5011">
            <w:pPr>
              <w:pStyle w:val="TableParagraph"/>
              <w:tabs>
                <w:tab w:val="left" w:pos="1558"/>
              </w:tabs>
              <w:ind w:left="108" w:right="93"/>
              <w:rPr>
                <w:rFonts w:ascii="Book Antiqua" w:hAnsi="Book Antiqua"/>
              </w:rPr>
            </w:pPr>
            <w:r w:rsidRPr="001038BB">
              <w:rPr>
                <w:rFonts w:ascii="Book Antiqua" w:hAnsi="Book Antiqua"/>
              </w:rPr>
              <w:t>58</w:t>
            </w:r>
          </w:p>
        </w:tc>
        <w:tc>
          <w:tcPr>
            <w:tcW w:w="0" w:type="auto"/>
            <w:vAlign w:val="center"/>
            <w:hideMark/>
          </w:tcPr>
          <w:p w:rsidR="008A063B" w:rsidRPr="001038BB" w:rsidRDefault="009A5011" w:rsidP="009A5011">
            <w:pPr>
              <w:pStyle w:val="TableParagraph"/>
              <w:tabs>
                <w:tab w:val="left" w:pos="1558"/>
              </w:tabs>
              <w:ind w:left="108" w:right="93"/>
              <w:jc w:val="center"/>
              <w:rPr>
                <w:rFonts w:ascii="Book Antiqua" w:hAnsi="Book Antiqua"/>
                <w:lang w:val="id-ID"/>
              </w:rPr>
            </w:pPr>
            <w:r w:rsidRPr="00B83572">
              <w:rPr>
                <w:rFonts w:ascii="Book Antiqua" w:hAnsi="Book Antiqua"/>
              </w:rPr>
              <w:t>Advisory Council</w:t>
            </w:r>
          </w:p>
        </w:tc>
        <w:tc>
          <w:tcPr>
            <w:tcW w:w="0" w:type="auto"/>
            <w:vAlign w:val="center"/>
          </w:tcPr>
          <w:p w:rsidR="008A063B" w:rsidRPr="001038BB" w:rsidRDefault="000E05A2" w:rsidP="009A5011">
            <w:pPr>
              <w:pStyle w:val="TableParagraph"/>
              <w:ind w:left="127" w:right="115"/>
              <w:rPr>
                <w:rFonts w:ascii="Book Antiqua" w:hAnsi="Book Antiqua"/>
                <w:lang w:val="id-ID"/>
              </w:rPr>
            </w:pPr>
            <w:r>
              <w:rPr>
                <w:rFonts w:ascii="Book Antiqua" w:hAnsi="Book Antiqua"/>
                <w:lang w:val="id-ID"/>
              </w:rPr>
              <w:t>Besok</w:t>
            </w:r>
            <w:r w:rsidRPr="000E05A2">
              <w:rPr>
                <w:rFonts w:ascii="Book Antiqua" w:hAnsi="Book Antiqua"/>
                <w:lang w:val="id-ID"/>
              </w:rPr>
              <w:t xml:space="preserve"> Islamic Boarding School Kejayan Pasuruan</w:t>
            </w:r>
          </w:p>
        </w:tc>
        <w:tc>
          <w:tcPr>
            <w:tcW w:w="0" w:type="auto"/>
            <w:vAlign w:val="center"/>
            <w:hideMark/>
          </w:tcPr>
          <w:p w:rsidR="008A063B" w:rsidRPr="001038BB" w:rsidRDefault="000E05A2" w:rsidP="009A5011">
            <w:pPr>
              <w:pStyle w:val="TableParagraph"/>
              <w:ind w:left="127" w:right="115"/>
              <w:rPr>
                <w:rFonts w:ascii="Book Antiqua" w:hAnsi="Book Antiqua"/>
              </w:rPr>
            </w:pPr>
            <w:r w:rsidRPr="000E05A2">
              <w:rPr>
                <w:rFonts w:ascii="Book Antiqua" w:hAnsi="Book Antiqua"/>
              </w:rPr>
              <w:t>Chairman of Tanfidziyah PCNU Pasuruan Regency</w:t>
            </w:r>
          </w:p>
        </w:tc>
      </w:tr>
      <w:tr w:rsidR="008A063B" w:rsidRPr="001038BB" w:rsidTr="00A024BE">
        <w:trPr>
          <w:trHeight w:val="838"/>
        </w:trPr>
        <w:tc>
          <w:tcPr>
            <w:tcW w:w="0" w:type="auto"/>
            <w:vAlign w:val="center"/>
            <w:hideMark/>
          </w:tcPr>
          <w:p w:rsidR="008A063B" w:rsidRPr="001038BB" w:rsidRDefault="008A063B" w:rsidP="009A5011">
            <w:pPr>
              <w:pStyle w:val="TableParagraph"/>
              <w:ind w:left="92" w:right="87"/>
              <w:rPr>
                <w:rFonts w:ascii="Book Antiqua" w:hAnsi="Book Antiqua"/>
              </w:rPr>
            </w:pPr>
            <w:r w:rsidRPr="001038BB">
              <w:rPr>
                <w:rFonts w:ascii="Book Antiqua" w:hAnsi="Book Antiqua"/>
              </w:rPr>
              <w:t>5</w:t>
            </w:r>
          </w:p>
        </w:tc>
        <w:tc>
          <w:tcPr>
            <w:tcW w:w="0" w:type="auto"/>
            <w:vAlign w:val="center"/>
            <w:hideMark/>
          </w:tcPr>
          <w:p w:rsidR="008A063B" w:rsidRPr="001038BB" w:rsidRDefault="008A063B" w:rsidP="009A5011">
            <w:pPr>
              <w:pStyle w:val="TableParagraph"/>
              <w:ind w:left="105"/>
              <w:rPr>
                <w:rFonts w:ascii="Book Antiqua" w:hAnsi="Book Antiqua"/>
                <w:lang w:val="id-ID"/>
              </w:rPr>
            </w:pPr>
            <w:r w:rsidRPr="001038BB">
              <w:rPr>
                <w:rFonts w:ascii="Book Antiqua" w:hAnsi="Book Antiqua"/>
              </w:rPr>
              <w:t xml:space="preserve">KH. </w:t>
            </w:r>
            <w:r w:rsidRPr="001038BB">
              <w:rPr>
                <w:rFonts w:ascii="Book Antiqua" w:hAnsi="Book Antiqua"/>
                <w:lang w:val="id-ID"/>
              </w:rPr>
              <w:t>Dr. HM Ilham Wahyudi, S.E.I., M.E.I.</w:t>
            </w:r>
          </w:p>
        </w:tc>
        <w:tc>
          <w:tcPr>
            <w:tcW w:w="0" w:type="auto"/>
            <w:vAlign w:val="center"/>
          </w:tcPr>
          <w:p w:rsidR="008A063B" w:rsidRPr="001038BB" w:rsidRDefault="008A063B" w:rsidP="009A5011">
            <w:pPr>
              <w:pStyle w:val="TableParagraph"/>
              <w:tabs>
                <w:tab w:val="left" w:pos="1558"/>
              </w:tabs>
              <w:ind w:left="108" w:right="93"/>
              <w:rPr>
                <w:rFonts w:ascii="Book Antiqua" w:hAnsi="Book Antiqua"/>
              </w:rPr>
            </w:pPr>
            <w:r w:rsidRPr="001038BB">
              <w:rPr>
                <w:rFonts w:ascii="Book Antiqua" w:hAnsi="Book Antiqua"/>
              </w:rPr>
              <w:t>42</w:t>
            </w:r>
          </w:p>
        </w:tc>
        <w:tc>
          <w:tcPr>
            <w:tcW w:w="0" w:type="auto"/>
            <w:vAlign w:val="center"/>
            <w:hideMark/>
          </w:tcPr>
          <w:p w:rsidR="008A063B" w:rsidRPr="001038BB" w:rsidRDefault="009A5011" w:rsidP="009A5011">
            <w:pPr>
              <w:pStyle w:val="TableParagraph"/>
              <w:tabs>
                <w:tab w:val="left" w:pos="1558"/>
              </w:tabs>
              <w:ind w:left="108" w:right="93"/>
              <w:rPr>
                <w:rFonts w:ascii="Book Antiqua" w:hAnsi="Book Antiqua"/>
                <w:lang w:val="id-ID"/>
              </w:rPr>
            </w:pPr>
            <w:r>
              <w:rPr>
                <w:rFonts w:ascii="Book Antiqua" w:hAnsi="Book Antiqua"/>
                <w:lang w:val="id-ID"/>
              </w:rPr>
              <w:t>Chairman</w:t>
            </w:r>
          </w:p>
        </w:tc>
        <w:tc>
          <w:tcPr>
            <w:tcW w:w="0" w:type="auto"/>
            <w:vAlign w:val="center"/>
          </w:tcPr>
          <w:p w:rsidR="008A063B" w:rsidRPr="001038BB" w:rsidRDefault="000E05A2" w:rsidP="009A5011">
            <w:pPr>
              <w:pStyle w:val="TableParagraph"/>
              <w:ind w:left="127" w:right="115"/>
              <w:rPr>
                <w:rFonts w:ascii="Book Antiqua" w:hAnsi="Book Antiqua"/>
                <w:lang w:val="id-ID"/>
              </w:rPr>
            </w:pPr>
            <w:r w:rsidRPr="000E05A2">
              <w:rPr>
                <w:rFonts w:ascii="Book Antiqua" w:hAnsi="Book Antiqua"/>
                <w:lang w:val="id-ID"/>
              </w:rPr>
              <w:t>Mazaya Foundation and UNU Pasuruan Lecturer</w:t>
            </w:r>
          </w:p>
        </w:tc>
        <w:tc>
          <w:tcPr>
            <w:tcW w:w="0" w:type="auto"/>
            <w:vAlign w:val="center"/>
            <w:hideMark/>
          </w:tcPr>
          <w:p w:rsidR="008A063B" w:rsidRPr="001038BB" w:rsidRDefault="000E05A2" w:rsidP="009A5011">
            <w:pPr>
              <w:pStyle w:val="TableParagraph"/>
              <w:ind w:left="127" w:right="115"/>
              <w:rPr>
                <w:rFonts w:ascii="Book Antiqua" w:hAnsi="Book Antiqua"/>
                <w:lang w:val="id-ID"/>
              </w:rPr>
            </w:pPr>
            <w:r w:rsidRPr="000E05A2">
              <w:rPr>
                <w:rFonts w:ascii="Book Antiqua" w:hAnsi="Book Antiqua"/>
              </w:rPr>
              <w:t>Vice Chairman of PCNU Pasuruan Regency</w:t>
            </w:r>
          </w:p>
          <w:p w:rsidR="008A063B" w:rsidRPr="001038BB" w:rsidRDefault="008A063B" w:rsidP="009A5011">
            <w:pPr>
              <w:pStyle w:val="TableParagraph"/>
              <w:ind w:left="127" w:right="115"/>
              <w:rPr>
                <w:rFonts w:ascii="Book Antiqua" w:hAnsi="Book Antiqua"/>
              </w:rPr>
            </w:pPr>
            <w:r w:rsidRPr="001038BB">
              <w:rPr>
                <w:rFonts w:ascii="Book Antiqua" w:hAnsi="Book Antiqua"/>
                <w:lang w:val="id-ID"/>
              </w:rPr>
              <w:t>-</w:t>
            </w:r>
          </w:p>
        </w:tc>
      </w:tr>
    </w:tbl>
    <w:p w:rsidR="000E05A2" w:rsidRDefault="000E05A2" w:rsidP="0096430A">
      <w:pPr>
        <w:pStyle w:val="Heading2"/>
        <w:numPr>
          <w:ilvl w:val="0"/>
          <w:numId w:val="0"/>
        </w:numPr>
        <w:spacing w:line="240" w:lineRule="auto"/>
        <w:rPr>
          <w:rFonts w:ascii="Book Antiqua" w:hAnsi="Book Antiqua"/>
        </w:rPr>
      </w:pPr>
      <w:r w:rsidRPr="000E05A2">
        <w:rPr>
          <w:rFonts w:ascii="Book Antiqua" w:hAnsi="Book Antiqua"/>
        </w:rPr>
        <w:t>Discussion</w:t>
      </w:r>
    </w:p>
    <w:p w:rsidR="00F23059" w:rsidRPr="00A024BE" w:rsidRDefault="00215E34" w:rsidP="0096430A">
      <w:pPr>
        <w:pStyle w:val="Heading2"/>
        <w:numPr>
          <w:ilvl w:val="0"/>
          <w:numId w:val="0"/>
        </w:numPr>
        <w:spacing w:line="240" w:lineRule="auto"/>
        <w:rPr>
          <w:rFonts w:ascii="Book Antiqua" w:hAnsi="Book Antiqua"/>
        </w:rPr>
      </w:pPr>
      <w:r w:rsidRPr="00A024BE">
        <w:rPr>
          <w:rFonts w:ascii="Book Antiqua" w:hAnsi="Book Antiqua"/>
          <w:szCs w:val="24"/>
        </w:rPr>
        <w:t>Ulama (Kiai)</w:t>
      </w:r>
    </w:p>
    <w:p w:rsidR="00F23059" w:rsidRPr="001038BB" w:rsidRDefault="000E05A2" w:rsidP="00411E10">
      <w:pPr>
        <w:pStyle w:val="NoSpacing"/>
        <w:ind w:firstLine="720"/>
        <w:jc w:val="both"/>
        <w:rPr>
          <w:rFonts w:ascii="Book Antiqua" w:hAnsi="Book Antiqua" w:cs="Times New Roman"/>
          <w:sz w:val="24"/>
          <w:szCs w:val="24"/>
        </w:rPr>
      </w:pPr>
      <w:r>
        <w:rPr>
          <w:rFonts w:ascii="Book Antiqua" w:hAnsi="Book Antiqua" w:cs="Times New Roman"/>
          <w:sz w:val="24"/>
          <w:szCs w:val="24"/>
        </w:rPr>
        <w:t xml:space="preserve">Ulama (Kiai) </w:t>
      </w:r>
      <w:r w:rsidRPr="000E05A2">
        <w:rPr>
          <w:rFonts w:ascii="Book Antiqua" w:hAnsi="Book Antiqua" w:cs="Times New Roman"/>
          <w:sz w:val="24"/>
          <w:szCs w:val="24"/>
        </w:rPr>
        <w:t>is an honorary title given by the community to an Islamic religious expert who owns or becomes a leader in a pesantren and teaches classical Islamic books to his students. According to Saiful Akhyar Lubis, states that “Kiai is the central figure in a boarding school, the progress and decline of the boarding school is determined by the authority and charisma of the kiai. Therefore, it is not uncommon, when the kiai in one of the boarding schools dies, the prestige of the boarding school decreases because the kiai who replaces him is not as popular as the deceased kiai”.</w:t>
      </w:r>
      <w:r w:rsidR="00FE13B0" w:rsidRPr="001038BB">
        <w:rPr>
          <w:rStyle w:val="FootnoteReference"/>
          <w:rFonts w:ascii="Book Antiqua" w:hAnsi="Book Antiqua"/>
          <w:sz w:val="24"/>
          <w:szCs w:val="24"/>
        </w:rPr>
        <w:footnoteReference w:id="21"/>
      </w:r>
      <w:r w:rsidR="00F23059" w:rsidRPr="001038BB">
        <w:rPr>
          <w:rFonts w:ascii="Book Antiqua" w:hAnsi="Book Antiqua" w:cs="Times New Roman"/>
          <w:sz w:val="24"/>
          <w:szCs w:val="24"/>
        </w:rPr>
        <w:t xml:space="preserve"> </w:t>
      </w:r>
      <w:r w:rsidRPr="000E05A2">
        <w:rPr>
          <w:rFonts w:ascii="Book Antiqua" w:hAnsi="Book Antiqua" w:cs="Times New Roman"/>
          <w:sz w:val="24"/>
          <w:szCs w:val="24"/>
        </w:rPr>
        <w:t>Sayyid Quthb interprets that kiai are people who think and live the verses of Allah which are amazing so that they can achieve ma`rifatullah in essence.</w:t>
      </w:r>
      <w:r w:rsidR="00277DCB">
        <w:rPr>
          <w:rStyle w:val="FootnoteReference"/>
          <w:rFonts w:ascii="Book Antiqua" w:hAnsi="Book Antiqua"/>
          <w:sz w:val="24"/>
          <w:szCs w:val="24"/>
        </w:rPr>
        <w:footnoteReference w:id="22"/>
      </w:r>
      <w:r w:rsidRPr="000E05A2">
        <w:rPr>
          <w:rFonts w:ascii="Book Antiqua" w:hAnsi="Book Antiqua" w:cs="Times New Roman"/>
          <w:sz w:val="24"/>
          <w:szCs w:val="24"/>
        </w:rPr>
        <w:t xml:space="preserve">  Meanwhile, Nurhayati Djamas said that “Ulama (kiai) is a term for ulama figures or figures who lead Islamic boarding schools”.</w:t>
      </w:r>
      <w:r w:rsidR="00411E10" w:rsidRPr="001038BB">
        <w:rPr>
          <w:rStyle w:val="FootnoteReference"/>
          <w:rFonts w:ascii="Book Antiqua" w:hAnsi="Book Antiqua"/>
          <w:sz w:val="24"/>
          <w:szCs w:val="24"/>
        </w:rPr>
        <w:footnoteReference w:id="23"/>
      </w:r>
    </w:p>
    <w:p w:rsidR="00F23059" w:rsidRPr="001038BB" w:rsidRDefault="009B4780" w:rsidP="00411E10">
      <w:pPr>
        <w:pStyle w:val="NoSpacing"/>
        <w:ind w:hanging="288"/>
        <w:jc w:val="both"/>
        <w:rPr>
          <w:rFonts w:ascii="Book Antiqua" w:hAnsi="Book Antiqua" w:cs="Times New Roman"/>
          <w:sz w:val="24"/>
          <w:szCs w:val="24"/>
        </w:rPr>
      </w:pPr>
      <w:r w:rsidRPr="001038BB">
        <w:rPr>
          <w:rFonts w:ascii="Book Antiqua" w:hAnsi="Book Antiqua" w:cs="Times New Roman"/>
          <w:sz w:val="24"/>
          <w:szCs w:val="24"/>
        </w:rPr>
        <w:t xml:space="preserve">  </w:t>
      </w:r>
      <w:r w:rsidR="00215E34" w:rsidRPr="001038BB">
        <w:rPr>
          <w:rFonts w:ascii="Book Antiqua" w:hAnsi="Book Antiqua" w:cs="Times New Roman"/>
          <w:sz w:val="24"/>
          <w:szCs w:val="24"/>
        </w:rPr>
        <w:tab/>
      </w:r>
      <w:r w:rsidR="00215E34" w:rsidRPr="001038BB">
        <w:rPr>
          <w:rFonts w:ascii="Book Antiqua" w:hAnsi="Book Antiqua" w:cs="Times New Roman"/>
          <w:sz w:val="24"/>
          <w:szCs w:val="24"/>
        </w:rPr>
        <w:tab/>
      </w:r>
      <w:r w:rsidR="000E05A2" w:rsidRPr="000E05A2">
        <w:rPr>
          <w:rFonts w:ascii="Book Antiqua" w:hAnsi="Book Antiqua" w:cs="Times New Roman"/>
          <w:sz w:val="24"/>
          <w:szCs w:val="24"/>
        </w:rPr>
        <w:t>According to Sayyid Abdullah bin, Alawi Al-Haddad in his book An- Nashaihud Diniyah suggests a number of criteria or characteristics of the kyai including: He fears Allah, is zuhud in the world, feels enough (qana`ah) with a little sustenance and gives away excess property from his needs. To the community he likes to give advice, enjoin ma`ruf nahi munkar and love them and like to guide towards goodness and invite to guidance. To them he was also tawadhu`, open-minded and not covetous of what was available to them and did not favor the rich over the poor. He himself always hastened to perform acts of worship, was not harsh in his demeanor, his heart was not hardened and his manners were good.</w:t>
      </w:r>
      <w:r w:rsidR="00411E10" w:rsidRPr="001038BB">
        <w:rPr>
          <w:rStyle w:val="FootnoteReference"/>
          <w:rFonts w:ascii="Book Antiqua" w:hAnsi="Book Antiqua"/>
          <w:sz w:val="24"/>
          <w:szCs w:val="24"/>
        </w:rPr>
        <w:footnoteReference w:id="24"/>
      </w:r>
      <w:r w:rsidR="00215E34" w:rsidRPr="001038BB">
        <w:rPr>
          <w:rFonts w:ascii="Book Antiqua" w:hAnsi="Book Antiqua" w:cs="Times New Roman"/>
          <w:sz w:val="24"/>
          <w:szCs w:val="24"/>
        </w:rPr>
        <w:t xml:space="preserve"> </w:t>
      </w:r>
      <w:r w:rsidR="00D32C1D" w:rsidRPr="00D32C1D">
        <w:rPr>
          <w:rFonts w:ascii="Book Antiqua" w:hAnsi="Book Antiqua" w:cs="Times New Roman"/>
          <w:sz w:val="24"/>
          <w:szCs w:val="24"/>
        </w:rPr>
        <w:t>According to Munawar Fuad Noeh, the characteristics of kyai include: a. Diligent in worship, which is obligatory and sunnah. b. Zuhud, detaching himself from the size and interests of worldly materials. c. Having knowledge of the hereafter, religious knowledge at a sufficient level. d. Understand the interests of society, sensitive to public interests. e. Devoting all his knowledge to Allah SWT, the right intention in science and charity</w:t>
      </w:r>
      <w:r w:rsidR="00F23059" w:rsidRPr="001038BB">
        <w:rPr>
          <w:rFonts w:ascii="Book Antiqua" w:hAnsi="Book Antiqua" w:cs="Times New Roman"/>
          <w:sz w:val="24"/>
          <w:szCs w:val="24"/>
        </w:rPr>
        <w:t>.</w:t>
      </w:r>
      <w:r w:rsidR="00411E10" w:rsidRPr="001038BB">
        <w:rPr>
          <w:rStyle w:val="FootnoteReference"/>
          <w:rFonts w:ascii="Book Antiqua" w:hAnsi="Book Antiqua"/>
          <w:sz w:val="24"/>
          <w:szCs w:val="24"/>
        </w:rPr>
        <w:footnoteReference w:id="25"/>
      </w:r>
    </w:p>
    <w:p w:rsidR="00F23059" w:rsidRPr="001038BB" w:rsidRDefault="00D32C1D" w:rsidP="00257095">
      <w:pPr>
        <w:pStyle w:val="NoSpacing"/>
        <w:ind w:firstLine="360"/>
        <w:jc w:val="both"/>
        <w:rPr>
          <w:rFonts w:ascii="Book Antiqua" w:hAnsi="Book Antiqua" w:cs="Times New Roman"/>
          <w:sz w:val="24"/>
          <w:szCs w:val="24"/>
        </w:rPr>
      </w:pPr>
      <w:r w:rsidRPr="00D32C1D">
        <w:rPr>
          <w:rFonts w:ascii="Book Antiqua" w:hAnsi="Book Antiqua" w:cs="Times New Roman"/>
          <w:sz w:val="24"/>
          <w:szCs w:val="24"/>
        </w:rPr>
        <w:t>Meanwhile, according to Imam Ghazali, the characteristics of a Kyai include: a. Not seeking the splendor of the world by selling his knowledge and not trading his knowledge for the benefit of the world. His behavior is in line with his words and does not tell people to do good before he practices it. b. Teaching his knowledge for the benefit of the hereafter, always in exploring knowledge that can bring him closer to Allah SWT, and stay away from all vain debates. c. Pursuing the afterlife by practicing his knowledge and fulfilling various worship services. d. Avoiding the temptation of evil rulers. e. Avoiding the temptation of evil rulers. Avoiding the temptation of evil rulers. e. Not being quick to issue a fatwa before he finds the evidence from the Qur'an and As-Sunnah. f. Being fond of any knowledge that can be used as a source of knowledge. Loving every knowledge that can bring us closer to Allah SWT.</w:t>
      </w:r>
      <w:r w:rsidR="00257095" w:rsidRPr="001038BB">
        <w:rPr>
          <w:rStyle w:val="FootnoteReference"/>
          <w:rFonts w:ascii="Book Antiqua" w:hAnsi="Book Antiqua"/>
          <w:sz w:val="24"/>
          <w:szCs w:val="24"/>
        </w:rPr>
        <w:footnoteReference w:id="26"/>
      </w:r>
    </w:p>
    <w:p w:rsidR="00F23059" w:rsidRPr="001038BB" w:rsidRDefault="00D32C1D" w:rsidP="00215E34">
      <w:pPr>
        <w:pStyle w:val="Heading2"/>
        <w:numPr>
          <w:ilvl w:val="0"/>
          <w:numId w:val="0"/>
        </w:numPr>
        <w:spacing w:line="360" w:lineRule="auto"/>
        <w:ind w:left="360" w:hanging="360"/>
        <w:jc w:val="both"/>
        <w:rPr>
          <w:rFonts w:ascii="Book Antiqua" w:hAnsi="Book Antiqua"/>
          <w:szCs w:val="24"/>
        </w:rPr>
      </w:pPr>
      <w:r w:rsidRPr="00D32C1D">
        <w:rPr>
          <w:rFonts w:ascii="Book Antiqua" w:hAnsi="Book Antiqua"/>
          <w:szCs w:val="24"/>
        </w:rPr>
        <w:t>The role of Ulama (kiai)</w:t>
      </w:r>
    </w:p>
    <w:p w:rsidR="00F23059" w:rsidRPr="001038BB" w:rsidRDefault="00D32C1D" w:rsidP="00257095">
      <w:pPr>
        <w:pStyle w:val="NoSpacing"/>
        <w:ind w:firstLine="360"/>
        <w:jc w:val="both"/>
        <w:rPr>
          <w:rFonts w:ascii="Book Antiqua" w:hAnsi="Book Antiqua" w:cs="Times New Roman"/>
          <w:sz w:val="24"/>
          <w:szCs w:val="24"/>
        </w:rPr>
      </w:pPr>
      <w:r w:rsidRPr="00D32C1D">
        <w:rPr>
          <w:rFonts w:ascii="Book Antiqua" w:hAnsi="Book Antiqua" w:cs="Times New Roman"/>
          <w:sz w:val="24"/>
          <w:szCs w:val="24"/>
        </w:rPr>
        <w:t>The role of kyai in politics and economics cannot be underestimated. As an informal leader, ulama (kiai) are people who are believed by the population to have enormous authority and charisma. Ulama (kiai) are seen as having extraordinary advantages that make their leadership generally recognized. This is of course never separated from religious texts that make the position of religious experts in all conditions and situations, as if they are above other humans. The expression ulama (kiai) are the heirs of the Prophets confirms that ulama (kiai) are qualified people who are used to answering all problems. However, this is not entirely true because there are other expressions that distinguish between the position of ulama (kiai) as heirs of the prophet and the position of ulama (kiai) as ordinary humans. For example, when the prophet was presented with a world problem in which he did not know the nature of the problem, he emphasized: You are all more knowledgeable about your worldly affairs</w:t>
      </w:r>
      <w:r w:rsidR="00F23059" w:rsidRPr="001038BB">
        <w:rPr>
          <w:rFonts w:ascii="Book Antiqua" w:hAnsi="Book Antiqua" w:cs="Times New Roman"/>
          <w:sz w:val="24"/>
          <w:szCs w:val="24"/>
        </w:rPr>
        <w:t>.</w:t>
      </w:r>
      <w:r w:rsidR="00257095" w:rsidRPr="001038BB">
        <w:rPr>
          <w:rStyle w:val="FootnoteReference"/>
          <w:rFonts w:ascii="Book Antiqua" w:hAnsi="Book Antiqua"/>
          <w:sz w:val="24"/>
          <w:szCs w:val="24"/>
        </w:rPr>
        <w:footnoteReference w:id="27"/>
      </w:r>
    </w:p>
    <w:p w:rsidR="008B76BC" w:rsidRPr="001038BB" w:rsidRDefault="00137170" w:rsidP="00137170">
      <w:pPr>
        <w:pStyle w:val="Heading3"/>
        <w:numPr>
          <w:ilvl w:val="0"/>
          <w:numId w:val="0"/>
        </w:numPr>
        <w:ind w:left="360" w:hanging="360"/>
        <w:rPr>
          <w:rFonts w:ascii="Book Antiqua" w:hAnsi="Book Antiqua"/>
        </w:rPr>
      </w:pPr>
      <w:bookmarkStart w:id="0" w:name="_Toc148891104"/>
      <w:r w:rsidRPr="001038BB">
        <w:rPr>
          <w:rFonts w:ascii="Book Antiqua" w:hAnsi="Book Antiqua"/>
          <w:i/>
          <w:iCs/>
        </w:rPr>
        <w:t>A</w:t>
      </w:r>
      <w:r w:rsidR="00CD35B4" w:rsidRPr="001038BB">
        <w:rPr>
          <w:rFonts w:ascii="Book Antiqua" w:hAnsi="Book Antiqua"/>
          <w:i/>
          <w:iCs/>
        </w:rPr>
        <w:t>l-Qardh</w:t>
      </w:r>
      <w:r w:rsidR="001B6E13" w:rsidRPr="001038BB">
        <w:rPr>
          <w:rFonts w:ascii="Book Antiqua" w:hAnsi="Book Antiqua"/>
        </w:rPr>
        <w:t xml:space="preserve"> </w:t>
      </w:r>
      <w:bookmarkEnd w:id="0"/>
      <w:r w:rsidR="00D32C1D" w:rsidRPr="00D32C1D">
        <w:rPr>
          <w:rFonts w:ascii="Book Antiqua" w:hAnsi="Book Antiqua"/>
        </w:rPr>
        <w:t>Brings Profits</w:t>
      </w:r>
    </w:p>
    <w:p w:rsidR="001C6BEF" w:rsidRPr="001038BB" w:rsidRDefault="00D32C1D" w:rsidP="00257095">
      <w:pPr>
        <w:pStyle w:val="NoSpacing"/>
        <w:ind w:left="86" w:firstLine="360"/>
        <w:jc w:val="both"/>
        <w:rPr>
          <w:rFonts w:ascii="Book Antiqua" w:hAnsi="Book Antiqua" w:cs="Times New Roman"/>
          <w:sz w:val="24"/>
          <w:szCs w:val="24"/>
        </w:rPr>
      </w:pPr>
      <w:r w:rsidRPr="00D32C1D">
        <w:rPr>
          <w:rFonts w:ascii="Book Antiqua" w:hAnsi="Book Antiqua" w:cs="Times New Roman"/>
          <w:sz w:val="24"/>
          <w:szCs w:val="24"/>
        </w:rPr>
        <w:t>The Hanafi school of thought, in its strongest</w:t>
      </w:r>
      <w:r>
        <w:rPr>
          <w:rFonts w:ascii="Book Antiqua" w:hAnsi="Book Antiqua" w:cs="Times New Roman"/>
          <w:sz w:val="24"/>
          <w:szCs w:val="24"/>
        </w:rPr>
        <w:t xml:space="preserve"> (rajih)</w:t>
      </w:r>
      <w:r w:rsidRPr="00D32C1D">
        <w:rPr>
          <w:rFonts w:ascii="Book Antiqua" w:hAnsi="Book Antiqua" w:cs="Times New Roman"/>
          <w:sz w:val="24"/>
          <w:szCs w:val="24"/>
        </w:rPr>
        <w:t xml:space="preserve"> opinion, states that al-Qardh with a profit is haraam if the profit is stipulated in advance. If it is not stipulated in advance and is not a customary tradition, then there is nothing wrong with it</w:t>
      </w:r>
      <w:r w:rsidR="001B6E13" w:rsidRPr="001038BB">
        <w:rPr>
          <w:rFonts w:ascii="Book Antiqua" w:hAnsi="Book Antiqua" w:cs="Times New Roman"/>
          <w:sz w:val="24"/>
          <w:szCs w:val="24"/>
        </w:rPr>
        <w:t>.</w:t>
      </w:r>
      <w:r w:rsidR="00257095" w:rsidRPr="001038BB">
        <w:rPr>
          <w:rStyle w:val="FootnoteReference"/>
          <w:rFonts w:ascii="Book Antiqua" w:hAnsi="Book Antiqua"/>
          <w:sz w:val="24"/>
          <w:szCs w:val="24"/>
        </w:rPr>
        <w:footnoteReference w:id="28"/>
      </w:r>
    </w:p>
    <w:p w:rsidR="00D32C1D" w:rsidRDefault="00D32C1D" w:rsidP="00257095">
      <w:pPr>
        <w:pStyle w:val="NoSpacing"/>
        <w:ind w:left="90" w:firstLine="374"/>
        <w:jc w:val="both"/>
        <w:rPr>
          <w:rFonts w:ascii="Book Antiqua" w:hAnsi="Book Antiqua" w:cs="Times New Roman"/>
          <w:sz w:val="24"/>
          <w:szCs w:val="24"/>
        </w:rPr>
      </w:pPr>
      <w:r w:rsidRPr="00D32C1D">
        <w:rPr>
          <w:rFonts w:ascii="Book Antiqua" w:hAnsi="Book Antiqua" w:cs="Times New Roman"/>
          <w:sz w:val="24"/>
          <w:szCs w:val="24"/>
        </w:rPr>
        <w:t>Meanwhile, the Shafi'iyah Ulama are of the opinion that an al-Qardh contract that brings profit to the lender is permissible and even sunnah for the debtor to provide profit as long as this is not made a condition in the al-Qardh financing contract, as stated by Sheikh Zainuddin al-Malibary in the book Fathul Muin.</w:t>
      </w:r>
    </w:p>
    <w:p w:rsidR="001C6BEF" w:rsidRPr="001038BB" w:rsidRDefault="00D32C1D" w:rsidP="00257095">
      <w:pPr>
        <w:pStyle w:val="NoSpacing"/>
        <w:ind w:left="90" w:firstLine="374"/>
        <w:jc w:val="both"/>
        <w:rPr>
          <w:rFonts w:ascii="Book Antiqua" w:hAnsi="Book Antiqua" w:cs="Times New Roman"/>
          <w:sz w:val="24"/>
          <w:szCs w:val="24"/>
        </w:rPr>
      </w:pPr>
      <w:r w:rsidRPr="00D32C1D">
        <w:rPr>
          <w:rFonts w:ascii="Book Antiqua" w:hAnsi="Book Antiqua" w:cs="Times New Roman"/>
          <w:sz w:val="24"/>
          <w:szCs w:val="24"/>
        </w:rPr>
        <w:t xml:space="preserve">The </w:t>
      </w:r>
      <w:r>
        <w:rPr>
          <w:rFonts w:ascii="Book Antiqua" w:hAnsi="Book Antiqua" w:cs="Times New Roman"/>
          <w:sz w:val="24"/>
          <w:szCs w:val="24"/>
        </w:rPr>
        <w:t>Malikiyah scholars</w:t>
      </w:r>
      <w:r w:rsidRPr="00D32C1D">
        <w:rPr>
          <w:rFonts w:ascii="Book Antiqua" w:hAnsi="Book Antiqua" w:cs="Times New Roman"/>
          <w:sz w:val="24"/>
          <w:szCs w:val="24"/>
        </w:rPr>
        <w:t xml:space="preserve"> differed in their opinion that an al-Qardh contract that brings profit is not valid, because it is usury. It is forbidden to take advantage of the borrower's wealth. Likewise, gifts from the borrower are forbidden for the owner of the property if the purpose is to delay payment of the debt and so on, even though there was no previous custom of giving gifts to the person who gave the debt</w:t>
      </w:r>
      <w:r w:rsidR="001C6BEF" w:rsidRPr="001038BB">
        <w:rPr>
          <w:rFonts w:ascii="Book Antiqua" w:hAnsi="Book Antiqua" w:cs="Times New Roman"/>
          <w:sz w:val="24"/>
          <w:szCs w:val="24"/>
        </w:rPr>
        <w:t>.</w:t>
      </w:r>
      <w:r w:rsidR="00257095" w:rsidRPr="001038BB">
        <w:rPr>
          <w:rStyle w:val="FootnoteReference"/>
          <w:rFonts w:ascii="Book Antiqua" w:hAnsi="Book Antiqua"/>
          <w:sz w:val="24"/>
          <w:szCs w:val="24"/>
        </w:rPr>
        <w:footnoteReference w:id="29"/>
      </w:r>
    </w:p>
    <w:p w:rsidR="005D419A" w:rsidRPr="00D32C1D" w:rsidRDefault="00D32C1D" w:rsidP="00137170">
      <w:pPr>
        <w:pStyle w:val="Heading3"/>
        <w:numPr>
          <w:ilvl w:val="0"/>
          <w:numId w:val="0"/>
        </w:numPr>
        <w:rPr>
          <w:rFonts w:ascii="Book Antiqua" w:hAnsi="Book Antiqua"/>
          <w:iCs/>
        </w:rPr>
      </w:pPr>
      <w:r w:rsidRPr="00D32C1D">
        <w:rPr>
          <w:rFonts w:ascii="Book Antiqua" w:hAnsi="Book Antiqua"/>
          <w:iCs/>
        </w:rPr>
        <w:t>The Law of Running</w:t>
      </w:r>
      <w:r w:rsidRPr="00D32C1D">
        <w:rPr>
          <w:rFonts w:ascii="Book Antiqua" w:hAnsi="Book Antiqua"/>
          <w:i/>
        </w:rPr>
        <w:t xml:space="preserve"> al-Qardh </w:t>
      </w:r>
      <w:r w:rsidRPr="00D32C1D">
        <w:rPr>
          <w:rFonts w:ascii="Book Antiqua" w:hAnsi="Book Antiqua"/>
          <w:iCs/>
        </w:rPr>
        <w:t>Financing</w:t>
      </w:r>
    </w:p>
    <w:p w:rsidR="005D419A" w:rsidRPr="001038BB" w:rsidRDefault="00C57993" w:rsidP="00257095">
      <w:pPr>
        <w:pStyle w:val="ListParagraph"/>
        <w:shd w:val="clear" w:color="auto" w:fill="FFFFFF"/>
        <w:tabs>
          <w:tab w:val="left" w:pos="720"/>
        </w:tabs>
        <w:spacing w:after="0" w:line="240" w:lineRule="auto"/>
        <w:ind w:left="87" w:hanging="562"/>
        <w:jc w:val="both"/>
        <w:rPr>
          <w:rFonts w:ascii="Book Antiqua" w:hAnsi="Book Antiqua" w:cs="Times New Roman"/>
          <w:b/>
          <w:bCs/>
          <w:sz w:val="24"/>
          <w:szCs w:val="24"/>
          <w:lang w:val="id-ID"/>
        </w:rPr>
      </w:pPr>
      <w:r w:rsidRPr="001038BB">
        <w:rPr>
          <w:rFonts w:ascii="Book Antiqua" w:hAnsi="Book Antiqua" w:cs="Times New Roman"/>
          <w:sz w:val="24"/>
          <w:szCs w:val="24"/>
          <w:lang w:val="id-ID"/>
        </w:rPr>
        <w:tab/>
      </w:r>
      <w:r w:rsidRPr="001038BB">
        <w:rPr>
          <w:rFonts w:ascii="Book Antiqua" w:hAnsi="Book Antiqua" w:cs="Times New Roman"/>
          <w:sz w:val="24"/>
          <w:szCs w:val="24"/>
          <w:lang w:val="id-ID"/>
        </w:rPr>
        <w:tab/>
      </w:r>
      <w:r w:rsidR="00D32C1D" w:rsidRPr="00D32C1D">
        <w:rPr>
          <w:rFonts w:ascii="Book Antiqua" w:hAnsi="Book Antiqua" w:cs="Times New Roman"/>
          <w:sz w:val="24"/>
          <w:szCs w:val="24"/>
          <w:lang w:val="id-ID"/>
        </w:rPr>
        <w:t xml:space="preserve">The ruling of </w:t>
      </w:r>
      <w:r w:rsidR="00D32C1D" w:rsidRPr="00D32C1D">
        <w:rPr>
          <w:rFonts w:ascii="Book Antiqua" w:hAnsi="Book Antiqua" w:cs="Times New Roman"/>
          <w:i/>
          <w:iCs/>
          <w:sz w:val="24"/>
          <w:szCs w:val="24"/>
          <w:lang w:val="id-ID"/>
        </w:rPr>
        <w:t>al-Qardh</w:t>
      </w:r>
      <w:r w:rsidR="00D32C1D" w:rsidRPr="00D32C1D">
        <w:rPr>
          <w:rFonts w:ascii="Book Antiqua" w:hAnsi="Book Antiqua" w:cs="Times New Roman"/>
          <w:sz w:val="24"/>
          <w:szCs w:val="24"/>
          <w:lang w:val="id-ID"/>
        </w:rPr>
        <w:t xml:space="preserve"> (debt and credit) follows the </w:t>
      </w:r>
      <w:r w:rsidR="00D32C1D" w:rsidRPr="00D32C1D">
        <w:rPr>
          <w:rFonts w:ascii="Book Antiqua" w:hAnsi="Book Antiqua" w:cs="Times New Roman"/>
          <w:i/>
          <w:iCs/>
          <w:sz w:val="24"/>
          <w:szCs w:val="24"/>
          <w:lang w:val="id-ID"/>
        </w:rPr>
        <w:t>taklifi</w:t>
      </w:r>
      <w:r w:rsidR="00D32C1D" w:rsidRPr="00D32C1D">
        <w:rPr>
          <w:rFonts w:ascii="Book Antiqua" w:hAnsi="Book Antiqua" w:cs="Times New Roman"/>
          <w:sz w:val="24"/>
          <w:szCs w:val="24"/>
          <w:lang w:val="id-ID"/>
        </w:rPr>
        <w:t xml:space="preserve"> rulings: permissible, </w:t>
      </w:r>
      <w:r w:rsidR="00D32C1D" w:rsidRPr="00D32C1D">
        <w:rPr>
          <w:rFonts w:ascii="Book Antiqua" w:hAnsi="Book Antiqua" w:cs="Times New Roman"/>
          <w:i/>
          <w:iCs/>
          <w:sz w:val="24"/>
          <w:szCs w:val="24"/>
          <w:lang w:val="id-ID"/>
        </w:rPr>
        <w:t>makruh</w:t>
      </w:r>
      <w:r w:rsidR="00D32C1D" w:rsidRPr="00D32C1D">
        <w:rPr>
          <w:rFonts w:ascii="Book Antiqua" w:hAnsi="Book Antiqua" w:cs="Times New Roman"/>
          <w:sz w:val="24"/>
          <w:szCs w:val="24"/>
          <w:lang w:val="id-ID"/>
        </w:rPr>
        <w:t xml:space="preserve">, and </w:t>
      </w:r>
      <w:r w:rsidR="00D32C1D" w:rsidRPr="00D32C1D">
        <w:rPr>
          <w:rFonts w:ascii="Book Antiqua" w:hAnsi="Book Antiqua" w:cs="Times New Roman"/>
          <w:i/>
          <w:iCs/>
          <w:sz w:val="24"/>
          <w:szCs w:val="24"/>
          <w:lang w:val="id-ID"/>
        </w:rPr>
        <w:t>haram</w:t>
      </w:r>
      <w:r w:rsidR="00D32C1D" w:rsidRPr="00D32C1D">
        <w:rPr>
          <w:rFonts w:ascii="Book Antiqua" w:hAnsi="Book Antiqua" w:cs="Times New Roman"/>
          <w:sz w:val="24"/>
          <w:szCs w:val="24"/>
          <w:lang w:val="id-ID"/>
        </w:rPr>
        <w:t xml:space="preserve">, according to the way it is practiced because the ruling of </w:t>
      </w:r>
      <w:r w:rsidR="00D32C1D" w:rsidRPr="00D32C1D">
        <w:rPr>
          <w:rFonts w:ascii="Book Antiqua" w:hAnsi="Book Antiqua" w:cs="Times New Roman"/>
          <w:i/>
          <w:iCs/>
          <w:sz w:val="24"/>
          <w:szCs w:val="24"/>
          <w:lang w:val="id-ID"/>
        </w:rPr>
        <w:t>wasilah</w:t>
      </w:r>
      <w:r w:rsidR="00D32C1D" w:rsidRPr="00D32C1D">
        <w:rPr>
          <w:rFonts w:ascii="Book Antiqua" w:hAnsi="Book Antiqua" w:cs="Times New Roman"/>
          <w:sz w:val="24"/>
          <w:szCs w:val="24"/>
          <w:lang w:val="id-ID"/>
        </w:rPr>
        <w:t xml:space="preserve"> follows the ruling of the end. a) </w:t>
      </w:r>
      <w:r w:rsidR="00D32C1D" w:rsidRPr="00D32C1D">
        <w:rPr>
          <w:rFonts w:ascii="Book Antiqua" w:hAnsi="Book Antiqua" w:cs="Times New Roman"/>
          <w:i/>
          <w:iCs/>
          <w:sz w:val="24"/>
          <w:szCs w:val="24"/>
          <w:lang w:val="id-ID"/>
        </w:rPr>
        <w:t xml:space="preserve">Obligatory </w:t>
      </w:r>
      <w:r w:rsidR="00D32C1D" w:rsidRPr="00D32C1D">
        <w:rPr>
          <w:rFonts w:ascii="Book Antiqua" w:hAnsi="Book Antiqua" w:cs="Times New Roman"/>
          <w:sz w:val="24"/>
          <w:szCs w:val="24"/>
          <w:lang w:val="id-ID"/>
        </w:rPr>
        <w:t xml:space="preserve">If the debtor is a person who has a very urgent need, and the debtor is rich, then the rich person is obliged to give him a loan. b) </w:t>
      </w:r>
      <w:r w:rsidR="00D32C1D" w:rsidRPr="00D32C1D">
        <w:rPr>
          <w:rFonts w:ascii="Book Antiqua" w:hAnsi="Book Antiqua" w:cs="Times New Roman"/>
          <w:i/>
          <w:iCs/>
          <w:sz w:val="24"/>
          <w:szCs w:val="24"/>
          <w:lang w:val="id-ID"/>
        </w:rPr>
        <w:t>Haram</w:t>
      </w:r>
      <w:r w:rsidR="00D32C1D" w:rsidRPr="00D32C1D">
        <w:rPr>
          <w:rFonts w:ascii="Book Antiqua" w:hAnsi="Book Antiqua" w:cs="Times New Roman"/>
          <w:sz w:val="24"/>
          <w:szCs w:val="24"/>
          <w:lang w:val="id-ID"/>
        </w:rPr>
        <w:t xml:space="preserve"> or </w:t>
      </w:r>
      <w:r w:rsidR="00D32C1D" w:rsidRPr="00D32C1D">
        <w:rPr>
          <w:rFonts w:ascii="Book Antiqua" w:hAnsi="Book Antiqua" w:cs="Times New Roman"/>
          <w:i/>
          <w:iCs/>
          <w:sz w:val="24"/>
          <w:szCs w:val="24"/>
          <w:lang w:val="id-ID"/>
        </w:rPr>
        <w:t>makruh</w:t>
      </w:r>
      <w:r w:rsidR="00D32C1D" w:rsidRPr="00D32C1D">
        <w:rPr>
          <w:rFonts w:ascii="Book Antiqua" w:hAnsi="Book Antiqua" w:cs="Times New Roman"/>
          <w:sz w:val="24"/>
          <w:szCs w:val="24"/>
          <w:lang w:val="id-ID"/>
        </w:rPr>
        <w:t xml:space="preserve"> If the creditor knows that the debtor will use the money for immoral or </w:t>
      </w:r>
      <w:r w:rsidR="00D32C1D" w:rsidRPr="00D32C1D">
        <w:rPr>
          <w:rFonts w:ascii="Book Antiqua" w:hAnsi="Book Antiqua" w:cs="Times New Roman"/>
          <w:i/>
          <w:iCs/>
          <w:sz w:val="24"/>
          <w:szCs w:val="24"/>
          <w:lang w:val="id-ID"/>
        </w:rPr>
        <w:t>makruh</w:t>
      </w:r>
      <w:r w:rsidR="00D32C1D" w:rsidRPr="00D32C1D">
        <w:rPr>
          <w:rFonts w:ascii="Book Antiqua" w:hAnsi="Book Antiqua" w:cs="Times New Roman"/>
          <w:sz w:val="24"/>
          <w:szCs w:val="24"/>
          <w:lang w:val="id-ID"/>
        </w:rPr>
        <w:t xml:space="preserve"> actions, then the ruling on giving a loan is also </w:t>
      </w:r>
      <w:r w:rsidR="00D32C1D" w:rsidRPr="00D32C1D">
        <w:rPr>
          <w:rFonts w:ascii="Book Antiqua" w:hAnsi="Book Antiqua" w:cs="Times New Roman"/>
          <w:i/>
          <w:iCs/>
          <w:sz w:val="24"/>
          <w:szCs w:val="24"/>
          <w:lang w:val="id-ID"/>
        </w:rPr>
        <w:t>haram</w:t>
      </w:r>
      <w:r w:rsidR="00D32C1D" w:rsidRPr="00D32C1D">
        <w:rPr>
          <w:rFonts w:ascii="Book Antiqua" w:hAnsi="Book Antiqua" w:cs="Times New Roman"/>
          <w:sz w:val="24"/>
          <w:szCs w:val="24"/>
          <w:lang w:val="id-ID"/>
        </w:rPr>
        <w:t xml:space="preserve"> or </w:t>
      </w:r>
      <w:r w:rsidR="00D32C1D" w:rsidRPr="00D32C1D">
        <w:rPr>
          <w:rFonts w:ascii="Book Antiqua" w:hAnsi="Book Antiqua" w:cs="Times New Roman"/>
          <w:i/>
          <w:iCs/>
          <w:sz w:val="24"/>
          <w:szCs w:val="24"/>
          <w:lang w:val="id-ID"/>
        </w:rPr>
        <w:t>makruh</w:t>
      </w:r>
      <w:r w:rsidR="00D32C1D" w:rsidRPr="00D32C1D">
        <w:rPr>
          <w:rFonts w:ascii="Book Antiqua" w:hAnsi="Book Antiqua" w:cs="Times New Roman"/>
          <w:sz w:val="24"/>
          <w:szCs w:val="24"/>
          <w:lang w:val="id-ID"/>
        </w:rPr>
        <w:t xml:space="preserve"> according to the circumstances. c) </w:t>
      </w:r>
      <w:r w:rsidR="00D32C1D" w:rsidRPr="00D32C1D">
        <w:rPr>
          <w:rFonts w:ascii="Book Antiqua" w:hAnsi="Book Antiqua" w:cs="Times New Roman"/>
          <w:i/>
          <w:iCs/>
          <w:sz w:val="24"/>
          <w:szCs w:val="24"/>
          <w:lang w:val="id-ID"/>
        </w:rPr>
        <w:t>Mubah</w:t>
      </w:r>
      <w:r w:rsidR="00D32C1D" w:rsidRPr="00D32C1D">
        <w:rPr>
          <w:rFonts w:ascii="Book Antiqua" w:hAnsi="Book Antiqua" w:cs="Times New Roman"/>
          <w:sz w:val="24"/>
          <w:szCs w:val="24"/>
          <w:lang w:val="id-ID"/>
        </w:rPr>
        <w:t xml:space="preserve"> If the debtor is not in debt because of an urgent need, but to increase his trading capital, then the ruling on giving a loan to him is </w:t>
      </w:r>
      <w:r w:rsidR="00D32C1D" w:rsidRPr="00D32C1D">
        <w:rPr>
          <w:rFonts w:ascii="Book Antiqua" w:hAnsi="Book Antiqua" w:cs="Times New Roman"/>
          <w:i/>
          <w:iCs/>
          <w:sz w:val="24"/>
          <w:szCs w:val="24"/>
          <w:lang w:val="id-ID"/>
        </w:rPr>
        <w:t>mubah.</w:t>
      </w:r>
      <w:r w:rsidR="00257095" w:rsidRPr="001038BB">
        <w:rPr>
          <w:rStyle w:val="FootnoteReference"/>
          <w:rFonts w:ascii="Book Antiqua" w:hAnsi="Book Antiqua"/>
          <w:i/>
          <w:iCs/>
          <w:sz w:val="24"/>
          <w:szCs w:val="24"/>
          <w:lang w:val="id-ID"/>
        </w:rPr>
        <w:footnoteReference w:id="30"/>
      </w:r>
    </w:p>
    <w:p w:rsidR="005E3C77" w:rsidRPr="001038BB" w:rsidRDefault="00D32C1D" w:rsidP="00C57993">
      <w:pPr>
        <w:pStyle w:val="Heading3"/>
        <w:numPr>
          <w:ilvl w:val="0"/>
          <w:numId w:val="0"/>
        </w:numPr>
        <w:ind w:left="90"/>
        <w:rPr>
          <w:rFonts w:ascii="Book Antiqua" w:hAnsi="Book Antiqua"/>
        </w:rPr>
      </w:pPr>
      <w:bookmarkStart w:id="1" w:name="_Toc148891114"/>
      <w:r w:rsidRPr="00D32C1D">
        <w:rPr>
          <w:rFonts w:ascii="Book Antiqua" w:hAnsi="Book Antiqua"/>
        </w:rPr>
        <w:t>Nadzar as a Solution to Avoid the Sin of Usury</w:t>
      </w:r>
    </w:p>
    <w:bookmarkEnd w:id="1"/>
    <w:p w:rsidR="0065105D" w:rsidRPr="00D32C1D" w:rsidRDefault="00D32C1D" w:rsidP="00C57993">
      <w:pPr>
        <w:spacing w:line="240" w:lineRule="auto"/>
        <w:ind w:left="86" w:firstLine="634"/>
        <w:jc w:val="both"/>
        <w:rPr>
          <w:rFonts w:ascii="Book Antiqua" w:hAnsi="Book Antiqua" w:cs="Times New Roman"/>
          <w:b/>
          <w:bCs/>
          <w:sz w:val="32"/>
          <w:szCs w:val="32"/>
        </w:rPr>
      </w:pPr>
      <w:r w:rsidRPr="00D32C1D">
        <w:rPr>
          <w:rFonts w:ascii="Book Antiqua" w:hAnsi="Book Antiqua" w:cs="Times New Roman"/>
          <w:sz w:val="24"/>
          <w:szCs w:val="24"/>
        </w:rPr>
        <w:t>Nadzar as a solution for people who are in need of funds so as not to fall into usury transactions, because emergency conditions or people who cannot get a loan if they do not provide additional profit, cannot be the cause of the release of usury law because there are still solutions to avoid usury, including by making a vow to provide additional profit.</w:t>
      </w:r>
    </w:p>
    <w:p w:rsidR="00A46B30" w:rsidRPr="001038BB" w:rsidRDefault="00A46B30" w:rsidP="001B6DE9">
      <w:pPr>
        <w:pStyle w:val="ListParagraph"/>
        <w:tabs>
          <w:tab w:val="left" w:pos="540"/>
        </w:tabs>
        <w:spacing w:after="0" w:line="240" w:lineRule="auto"/>
        <w:ind w:left="0"/>
        <w:jc w:val="center"/>
        <w:rPr>
          <w:rFonts w:ascii="Book Antiqua" w:hAnsi="Book Antiqua" w:cs="Times New Roman"/>
          <w:b/>
          <w:bCs/>
          <w:sz w:val="24"/>
          <w:szCs w:val="24"/>
          <w:lang w:val="id-ID"/>
        </w:rPr>
      </w:pPr>
      <w:bookmarkStart w:id="2" w:name="_Toc148891131"/>
      <w:r w:rsidRPr="001038BB">
        <w:rPr>
          <w:rFonts w:ascii="Book Antiqua" w:hAnsi="Book Antiqua" w:cs="Times New Roman"/>
          <w:b/>
          <w:bCs/>
          <w:sz w:val="24"/>
          <w:szCs w:val="24"/>
          <w:lang w:val="id-ID"/>
        </w:rPr>
        <w:t>Tab</w:t>
      </w:r>
      <w:r w:rsidR="00D32C1D">
        <w:rPr>
          <w:rFonts w:ascii="Book Antiqua" w:hAnsi="Book Antiqua" w:cs="Times New Roman"/>
          <w:b/>
          <w:bCs/>
          <w:sz w:val="24"/>
          <w:szCs w:val="24"/>
          <w:lang w:val="id-ID"/>
        </w:rPr>
        <w:t>le</w:t>
      </w:r>
      <w:r w:rsidRPr="001038BB">
        <w:rPr>
          <w:rFonts w:ascii="Book Antiqua" w:hAnsi="Book Antiqua" w:cs="Times New Roman"/>
          <w:b/>
          <w:bCs/>
          <w:sz w:val="24"/>
          <w:szCs w:val="24"/>
          <w:lang w:val="id-ID"/>
        </w:rPr>
        <w:t xml:space="preserve"> </w:t>
      </w:r>
      <w:r w:rsidR="001B6DE9" w:rsidRPr="001038BB">
        <w:rPr>
          <w:rFonts w:ascii="Book Antiqua" w:hAnsi="Book Antiqua" w:cs="Times New Roman"/>
          <w:b/>
          <w:bCs/>
          <w:sz w:val="24"/>
          <w:szCs w:val="24"/>
          <w:lang w:val="id-ID"/>
        </w:rPr>
        <w:t>0</w:t>
      </w:r>
      <w:r w:rsidRPr="001038BB">
        <w:rPr>
          <w:rFonts w:ascii="Book Antiqua" w:hAnsi="Book Antiqua" w:cs="Times New Roman"/>
          <w:b/>
          <w:bCs/>
          <w:sz w:val="24"/>
          <w:szCs w:val="24"/>
          <w:lang w:val="id-ID"/>
        </w:rPr>
        <w:t>.</w:t>
      </w:r>
      <w:r w:rsidR="001B6DE9" w:rsidRPr="001038BB">
        <w:rPr>
          <w:rFonts w:ascii="Book Antiqua" w:hAnsi="Book Antiqua" w:cs="Times New Roman"/>
          <w:b/>
          <w:bCs/>
          <w:sz w:val="24"/>
          <w:szCs w:val="24"/>
          <w:lang w:val="id-ID"/>
        </w:rPr>
        <w:t>2</w:t>
      </w:r>
    </w:p>
    <w:p w:rsidR="00A46B30" w:rsidRPr="001038BB" w:rsidRDefault="00D32C1D" w:rsidP="001B6DE9">
      <w:pPr>
        <w:pStyle w:val="ListParagraph"/>
        <w:tabs>
          <w:tab w:val="left" w:pos="540"/>
        </w:tabs>
        <w:spacing w:after="0" w:line="240" w:lineRule="auto"/>
        <w:ind w:left="0"/>
        <w:jc w:val="center"/>
        <w:rPr>
          <w:rFonts w:ascii="Book Antiqua" w:hAnsi="Book Antiqua" w:cs="Times New Roman"/>
          <w:b/>
          <w:bCs/>
          <w:sz w:val="24"/>
          <w:szCs w:val="24"/>
          <w:lang w:val="id-ID"/>
        </w:rPr>
      </w:pPr>
      <w:r w:rsidRPr="00D32C1D">
        <w:rPr>
          <w:rFonts w:ascii="Book Antiqua" w:hAnsi="Book Antiqua" w:cs="Times New Roman"/>
          <w:b/>
          <w:bCs/>
          <w:sz w:val="24"/>
          <w:szCs w:val="24"/>
          <w:lang w:val="id-ID"/>
        </w:rPr>
        <w:t>Summary of each informant's answers:</w:t>
      </w:r>
    </w:p>
    <w:p w:rsidR="00A46B30" w:rsidRPr="001038BB" w:rsidRDefault="00A46B30" w:rsidP="001B6DE9">
      <w:pPr>
        <w:pStyle w:val="ListParagraph"/>
        <w:numPr>
          <w:ilvl w:val="1"/>
          <w:numId w:val="55"/>
        </w:numPr>
        <w:tabs>
          <w:tab w:val="left" w:pos="270"/>
        </w:tabs>
        <w:spacing w:after="0" w:line="240" w:lineRule="auto"/>
        <w:ind w:left="0" w:firstLine="0"/>
        <w:jc w:val="both"/>
        <w:rPr>
          <w:rFonts w:ascii="Book Antiqua" w:hAnsi="Book Antiqua" w:cs="Times New Roman"/>
          <w:sz w:val="24"/>
          <w:szCs w:val="24"/>
          <w:lang w:val="id-ID"/>
        </w:rPr>
      </w:pPr>
      <w:r w:rsidRPr="001038BB">
        <w:rPr>
          <w:rFonts w:ascii="Book Antiqua" w:hAnsi="Book Antiqua" w:cs="Times New Roman"/>
          <w:sz w:val="24"/>
          <w:szCs w:val="24"/>
          <w:lang w:val="id-ID"/>
        </w:rPr>
        <w:t>KH Sholeh Romli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83"/>
        <w:gridCol w:w="1752"/>
        <w:gridCol w:w="2508"/>
        <w:gridCol w:w="3330"/>
      </w:tblGrid>
      <w:tr w:rsidR="00A46B30" w:rsidRPr="001038BB" w:rsidTr="00A024BE">
        <w:trPr>
          <w:trHeight w:val="553"/>
        </w:trPr>
        <w:tc>
          <w:tcPr>
            <w:tcW w:w="321" w:type="pct"/>
            <w:shd w:val="clear" w:color="auto" w:fill="8EAADB"/>
            <w:vAlign w:val="center"/>
            <w:hideMark/>
          </w:tcPr>
          <w:p w:rsidR="00A46B30" w:rsidRPr="001038BB" w:rsidRDefault="00A46B30" w:rsidP="00A024BE">
            <w:pPr>
              <w:pStyle w:val="TableParagraph"/>
              <w:ind w:left="92" w:right="87"/>
              <w:jc w:val="center"/>
              <w:rPr>
                <w:rFonts w:ascii="Book Antiqua" w:hAnsi="Book Antiqua"/>
                <w:b/>
                <w:sz w:val="24"/>
                <w:szCs w:val="24"/>
              </w:rPr>
            </w:pPr>
            <w:r w:rsidRPr="001038BB">
              <w:rPr>
                <w:rFonts w:ascii="Book Antiqua" w:hAnsi="Book Antiqua"/>
                <w:b/>
                <w:sz w:val="24"/>
                <w:szCs w:val="24"/>
              </w:rPr>
              <w:t>No.</w:t>
            </w:r>
          </w:p>
        </w:tc>
        <w:tc>
          <w:tcPr>
            <w:tcW w:w="1084" w:type="pct"/>
            <w:shd w:val="clear" w:color="auto" w:fill="8EAADB"/>
            <w:vAlign w:val="center"/>
            <w:hideMark/>
          </w:tcPr>
          <w:p w:rsidR="00A46B30" w:rsidRPr="001038BB" w:rsidRDefault="00A024BE" w:rsidP="00A024BE">
            <w:pPr>
              <w:pStyle w:val="TableParagraph"/>
              <w:ind w:right="133"/>
              <w:jc w:val="center"/>
              <w:rPr>
                <w:rFonts w:ascii="Book Antiqua" w:hAnsi="Book Antiqua"/>
                <w:b/>
                <w:sz w:val="24"/>
                <w:szCs w:val="24"/>
              </w:rPr>
            </w:pPr>
            <w:r>
              <w:rPr>
                <w:rFonts w:ascii="Book Antiqua" w:hAnsi="Book Antiqua"/>
                <w:b/>
                <w:sz w:val="24"/>
                <w:szCs w:val="24"/>
              </w:rPr>
              <w:t>Name of Informant</w:t>
            </w:r>
          </w:p>
        </w:tc>
        <w:tc>
          <w:tcPr>
            <w:tcW w:w="1546" w:type="pct"/>
            <w:shd w:val="clear" w:color="auto" w:fill="8EAADB"/>
            <w:vAlign w:val="center"/>
            <w:hideMark/>
          </w:tcPr>
          <w:p w:rsidR="00A46B30" w:rsidRPr="001038BB" w:rsidRDefault="00D32C1D" w:rsidP="00A024BE">
            <w:pPr>
              <w:pStyle w:val="TableParagraph"/>
              <w:jc w:val="center"/>
              <w:rPr>
                <w:rFonts w:ascii="Book Antiqua" w:hAnsi="Book Antiqua"/>
                <w:b/>
                <w:sz w:val="24"/>
                <w:szCs w:val="24"/>
                <w:lang w:val="id-ID"/>
              </w:rPr>
            </w:pPr>
            <w:r w:rsidRPr="00D32C1D">
              <w:rPr>
                <w:rFonts w:ascii="Book Antiqua" w:hAnsi="Book Antiqua"/>
                <w:b/>
                <w:sz w:val="24"/>
                <w:szCs w:val="24"/>
                <w:lang w:val="id-ID"/>
              </w:rPr>
              <w:t>Question</w:t>
            </w:r>
          </w:p>
        </w:tc>
        <w:tc>
          <w:tcPr>
            <w:tcW w:w="2049" w:type="pct"/>
            <w:shd w:val="clear" w:color="auto" w:fill="8EAADB"/>
            <w:vAlign w:val="center"/>
          </w:tcPr>
          <w:p w:rsidR="00A46B30" w:rsidRPr="001038BB" w:rsidRDefault="00D32C1D" w:rsidP="00A024BE">
            <w:pPr>
              <w:pStyle w:val="TableParagraph"/>
              <w:ind w:left="141" w:hanging="2"/>
              <w:jc w:val="center"/>
              <w:rPr>
                <w:rFonts w:ascii="Book Antiqua" w:hAnsi="Book Antiqua"/>
                <w:b/>
                <w:sz w:val="24"/>
                <w:szCs w:val="24"/>
                <w:lang w:val="id-ID"/>
              </w:rPr>
            </w:pPr>
            <w:r w:rsidRPr="00D32C1D">
              <w:rPr>
                <w:rFonts w:ascii="Book Antiqua" w:hAnsi="Book Antiqua"/>
                <w:b/>
                <w:sz w:val="24"/>
                <w:szCs w:val="24"/>
                <w:lang w:val="id-ID"/>
              </w:rPr>
              <w:t>Answer</w:t>
            </w:r>
          </w:p>
        </w:tc>
      </w:tr>
      <w:tr w:rsidR="001B6DE9" w:rsidRPr="001038BB" w:rsidTr="00A024BE">
        <w:trPr>
          <w:trHeight w:val="864"/>
        </w:trPr>
        <w:tc>
          <w:tcPr>
            <w:tcW w:w="321" w:type="pct"/>
            <w:vMerge w:val="restart"/>
            <w:hideMark/>
          </w:tcPr>
          <w:p w:rsidR="001B6DE9" w:rsidRPr="001038BB" w:rsidRDefault="001B6DE9" w:rsidP="00065C87">
            <w:pPr>
              <w:pStyle w:val="TableParagraph"/>
              <w:ind w:left="92" w:right="87"/>
              <w:jc w:val="center"/>
              <w:rPr>
                <w:rFonts w:ascii="Book Antiqua" w:hAnsi="Book Antiqua"/>
                <w:sz w:val="24"/>
                <w:szCs w:val="24"/>
              </w:rPr>
            </w:pPr>
            <w:r w:rsidRPr="001038BB">
              <w:rPr>
                <w:rFonts w:ascii="Book Antiqua" w:hAnsi="Book Antiqua"/>
                <w:sz w:val="24"/>
                <w:szCs w:val="24"/>
              </w:rPr>
              <w:t>1.</w:t>
            </w:r>
          </w:p>
        </w:tc>
        <w:tc>
          <w:tcPr>
            <w:tcW w:w="1084" w:type="pct"/>
            <w:vMerge w:val="restart"/>
            <w:hideMark/>
          </w:tcPr>
          <w:p w:rsidR="001B6DE9" w:rsidRPr="001038BB" w:rsidRDefault="001B6DE9" w:rsidP="00065C87">
            <w:pPr>
              <w:pStyle w:val="TableParagraph"/>
              <w:tabs>
                <w:tab w:val="left" w:pos="765"/>
              </w:tabs>
              <w:ind w:left="105" w:right="94"/>
              <w:rPr>
                <w:rFonts w:ascii="Book Antiqua" w:hAnsi="Book Antiqua"/>
                <w:sz w:val="24"/>
                <w:szCs w:val="24"/>
                <w:lang w:val="id-ID"/>
              </w:rPr>
            </w:pPr>
            <w:r w:rsidRPr="001038BB">
              <w:rPr>
                <w:rFonts w:ascii="Book Antiqua" w:hAnsi="Book Antiqua"/>
                <w:sz w:val="24"/>
                <w:szCs w:val="24"/>
                <w:lang w:val="id-ID"/>
              </w:rPr>
              <w:t>KH Sholeh Romli</w:t>
            </w:r>
          </w:p>
        </w:tc>
        <w:tc>
          <w:tcPr>
            <w:tcW w:w="1546" w:type="pct"/>
            <w:hideMark/>
          </w:tcPr>
          <w:p w:rsidR="001B6DE9" w:rsidRPr="001038BB" w:rsidRDefault="00D32C1D" w:rsidP="00065C87">
            <w:pPr>
              <w:pStyle w:val="TableParagraph"/>
              <w:ind w:left="108" w:right="92"/>
              <w:rPr>
                <w:rFonts w:ascii="Book Antiqua" w:hAnsi="Book Antiqua"/>
                <w:sz w:val="24"/>
                <w:szCs w:val="24"/>
              </w:rPr>
            </w:pPr>
            <w:r w:rsidRPr="00D32C1D">
              <w:rPr>
                <w:rFonts w:ascii="Book Antiqua" w:hAnsi="Book Antiqua"/>
                <w:sz w:val="24"/>
                <w:szCs w:val="24"/>
              </w:rPr>
              <w:t xml:space="preserve">The position of the </w:t>
            </w:r>
            <w:r w:rsidRPr="00D32C1D">
              <w:rPr>
                <w:rFonts w:ascii="Book Antiqua" w:hAnsi="Book Antiqua"/>
                <w:i/>
                <w:iCs/>
                <w:sz w:val="24"/>
                <w:szCs w:val="24"/>
              </w:rPr>
              <w:t>al-Qardh</w:t>
            </w:r>
            <w:r w:rsidRPr="00D32C1D">
              <w:rPr>
                <w:rFonts w:ascii="Book Antiqua" w:hAnsi="Book Antiqua"/>
                <w:sz w:val="24"/>
                <w:szCs w:val="24"/>
              </w:rPr>
              <w:t xml:space="preserve"> contract is a social contract or tabarru' what is business</w:t>
            </w:r>
          </w:p>
        </w:tc>
        <w:tc>
          <w:tcPr>
            <w:tcW w:w="2049" w:type="pct"/>
          </w:tcPr>
          <w:p w:rsidR="001B6DE9" w:rsidRPr="001038BB" w:rsidRDefault="00D32C1D" w:rsidP="001B6DE9">
            <w:pPr>
              <w:pStyle w:val="TableParagraph"/>
              <w:ind w:left="127" w:right="115"/>
              <w:jc w:val="both"/>
              <w:rPr>
                <w:rFonts w:ascii="Book Antiqua" w:hAnsi="Book Antiqua"/>
                <w:i/>
                <w:iCs/>
                <w:sz w:val="24"/>
                <w:szCs w:val="24"/>
              </w:rPr>
            </w:pPr>
            <w:r w:rsidRPr="00D32C1D">
              <w:rPr>
                <w:rFonts w:ascii="Book Antiqua" w:hAnsi="Book Antiqua"/>
                <w:i/>
                <w:iCs/>
                <w:sz w:val="24"/>
                <w:szCs w:val="24"/>
              </w:rPr>
              <w:t>by definition al-qardh is lending, obviously there is no reward, because it is based on helping / i anah, helping is part of tabarru', which is voluntary / social in nature.</w:t>
            </w:r>
          </w:p>
        </w:tc>
      </w:tr>
      <w:tr w:rsidR="001B6DE9" w:rsidRPr="001038BB" w:rsidTr="00A024BE">
        <w:trPr>
          <w:trHeight w:val="841"/>
        </w:trPr>
        <w:tc>
          <w:tcPr>
            <w:tcW w:w="321" w:type="pct"/>
            <w:vMerge/>
          </w:tcPr>
          <w:p w:rsidR="001B6DE9" w:rsidRPr="001038BB" w:rsidRDefault="001B6DE9" w:rsidP="00065C87">
            <w:pPr>
              <w:pStyle w:val="TableParagraph"/>
              <w:ind w:left="92" w:right="87"/>
              <w:jc w:val="center"/>
              <w:rPr>
                <w:rFonts w:ascii="Book Antiqua" w:hAnsi="Book Antiqua"/>
                <w:sz w:val="24"/>
                <w:szCs w:val="24"/>
              </w:rPr>
            </w:pPr>
          </w:p>
        </w:tc>
        <w:tc>
          <w:tcPr>
            <w:tcW w:w="1084" w:type="pct"/>
            <w:vMerge/>
          </w:tcPr>
          <w:p w:rsidR="001B6DE9" w:rsidRPr="001038BB" w:rsidRDefault="001B6DE9" w:rsidP="00065C87">
            <w:pPr>
              <w:pStyle w:val="TableParagraph"/>
              <w:ind w:left="105" w:right="95"/>
              <w:rPr>
                <w:rFonts w:ascii="Book Antiqua" w:hAnsi="Book Antiqua"/>
                <w:sz w:val="24"/>
                <w:szCs w:val="24"/>
                <w:lang w:val="id-ID"/>
              </w:rPr>
            </w:pPr>
          </w:p>
        </w:tc>
        <w:tc>
          <w:tcPr>
            <w:tcW w:w="1546" w:type="pct"/>
            <w:hideMark/>
          </w:tcPr>
          <w:p w:rsidR="001B6DE9" w:rsidRPr="001038BB" w:rsidRDefault="00D32C1D" w:rsidP="001B6DE9">
            <w:pPr>
              <w:pStyle w:val="TableParagraph"/>
              <w:ind w:left="108"/>
              <w:rPr>
                <w:rFonts w:ascii="Book Antiqua" w:hAnsi="Book Antiqua"/>
                <w:sz w:val="24"/>
                <w:szCs w:val="24"/>
                <w:lang w:val="id-ID"/>
              </w:rPr>
            </w:pPr>
            <w:r w:rsidRPr="00D32C1D">
              <w:rPr>
                <w:rFonts w:ascii="Book Antiqua" w:hAnsi="Book Antiqua"/>
                <w:sz w:val="24"/>
                <w:szCs w:val="24"/>
              </w:rPr>
              <w:t xml:space="preserve">What are the consequences of the </w:t>
            </w:r>
            <w:r w:rsidRPr="00D32C1D">
              <w:rPr>
                <w:rFonts w:ascii="Book Antiqua" w:hAnsi="Book Antiqua"/>
                <w:i/>
                <w:iCs/>
                <w:sz w:val="24"/>
                <w:szCs w:val="24"/>
              </w:rPr>
              <w:t>al-qardh</w:t>
            </w:r>
            <w:r w:rsidRPr="00D32C1D">
              <w:rPr>
                <w:rFonts w:ascii="Book Antiqua" w:hAnsi="Book Antiqua"/>
                <w:sz w:val="24"/>
                <w:szCs w:val="24"/>
              </w:rPr>
              <w:t xml:space="preserve"> contract as a social contract</w:t>
            </w:r>
          </w:p>
        </w:tc>
        <w:tc>
          <w:tcPr>
            <w:tcW w:w="2049" w:type="pct"/>
          </w:tcPr>
          <w:p w:rsidR="001B6DE9" w:rsidRPr="001038BB" w:rsidRDefault="00D32C1D" w:rsidP="00065C87">
            <w:pPr>
              <w:pStyle w:val="TableParagraph"/>
              <w:ind w:left="127" w:right="115"/>
              <w:jc w:val="both"/>
              <w:rPr>
                <w:rFonts w:ascii="Book Antiqua" w:hAnsi="Book Antiqua"/>
                <w:i/>
                <w:iCs/>
                <w:sz w:val="24"/>
                <w:szCs w:val="24"/>
                <w:lang w:val="id-ID"/>
              </w:rPr>
            </w:pPr>
            <w:r w:rsidRPr="00D32C1D">
              <w:rPr>
                <w:rFonts w:ascii="Book Antiqua" w:hAnsi="Book Antiqua"/>
                <w:i/>
                <w:iCs/>
                <w:sz w:val="24"/>
                <w:szCs w:val="24"/>
              </w:rPr>
              <w:t>no reward</w:t>
            </w:r>
          </w:p>
        </w:tc>
      </w:tr>
      <w:tr w:rsidR="001B6DE9" w:rsidRPr="001038BB" w:rsidTr="00A024BE">
        <w:trPr>
          <w:trHeight w:val="844"/>
        </w:trPr>
        <w:tc>
          <w:tcPr>
            <w:tcW w:w="321" w:type="pct"/>
            <w:vMerge/>
          </w:tcPr>
          <w:p w:rsidR="001B6DE9" w:rsidRPr="001038BB" w:rsidRDefault="001B6DE9" w:rsidP="00065C87">
            <w:pPr>
              <w:pStyle w:val="TableParagraph"/>
              <w:ind w:left="92" w:right="87"/>
              <w:jc w:val="center"/>
              <w:rPr>
                <w:rFonts w:ascii="Book Antiqua" w:hAnsi="Book Antiqua"/>
                <w:sz w:val="24"/>
                <w:szCs w:val="24"/>
              </w:rPr>
            </w:pPr>
          </w:p>
        </w:tc>
        <w:tc>
          <w:tcPr>
            <w:tcW w:w="1084" w:type="pct"/>
            <w:vMerge/>
          </w:tcPr>
          <w:p w:rsidR="001B6DE9" w:rsidRPr="001038BB" w:rsidRDefault="001B6DE9" w:rsidP="00065C87">
            <w:pPr>
              <w:pStyle w:val="TableParagraph"/>
              <w:ind w:left="105"/>
              <w:rPr>
                <w:rFonts w:ascii="Book Antiqua" w:hAnsi="Book Antiqua"/>
                <w:sz w:val="24"/>
                <w:szCs w:val="24"/>
                <w:lang w:val="id-ID"/>
              </w:rPr>
            </w:pPr>
          </w:p>
        </w:tc>
        <w:tc>
          <w:tcPr>
            <w:tcW w:w="1546" w:type="pct"/>
            <w:hideMark/>
          </w:tcPr>
          <w:p w:rsidR="001B6DE9" w:rsidRPr="001038BB" w:rsidRDefault="00D32C1D" w:rsidP="00065C87">
            <w:pPr>
              <w:pStyle w:val="TableParagraph"/>
              <w:tabs>
                <w:tab w:val="left" w:pos="1558"/>
              </w:tabs>
              <w:ind w:left="108" w:right="93"/>
              <w:rPr>
                <w:rFonts w:ascii="Book Antiqua" w:hAnsi="Book Antiqua"/>
                <w:sz w:val="24"/>
                <w:szCs w:val="24"/>
                <w:lang w:val="id-ID"/>
              </w:rPr>
            </w:pPr>
            <w:r w:rsidRPr="00D32C1D">
              <w:rPr>
                <w:rFonts w:ascii="Book Antiqua" w:hAnsi="Book Antiqua"/>
                <w:sz w:val="24"/>
                <w:szCs w:val="24"/>
              </w:rPr>
              <w:t xml:space="preserve">Can the BMT Cooperative apply aqad </w:t>
            </w:r>
            <w:r w:rsidRPr="00D32C1D">
              <w:rPr>
                <w:rFonts w:ascii="Book Antiqua" w:hAnsi="Book Antiqua"/>
                <w:i/>
                <w:iCs/>
                <w:sz w:val="24"/>
                <w:szCs w:val="24"/>
              </w:rPr>
              <w:t>al-Qardh</w:t>
            </w:r>
          </w:p>
        </w:tc>
        <w:tc>
          <w:tcPr>
            <w:tcW w:w="2049" w:type="pct"/>
          </w:tcPr>
          <w:p w:rsidR="001B6DE9" w:rsidRPr="001038BB" w:rsidRDefault="00D32C1D" w:rsidP="00065C87">
            <w:pPr>
              <w:pStyle w:val="TableParagraph"/>
              <w:ind w:left="127" w:right="115"/>
              <w:jc w:val="both"/>
              <w:rPr>
                <w:rFonts w:ascii="Book Antiqua" w:hAnsi="Book Antiqua"/>
                <w:sz w:val="24"/>
                <w:szCs w:val="24"/>
                <w:lang w:val="id-ID"/>
              </w:rPr>
            </w:pPr>
            <w:r w:rsidRPr="00D32C1D">
              <w:rPr>
                <w:rFonts w:ascii="Book Antiqua" w:hAnsi="Book Antiqua"/>
                <w:i/>
                <w:iCs/>
                <w:sz w:val="24"/>
                <w:szCs w:val="24"/>
              </w:rPr>
              <w:t>can be used as a suitable contract solution for members.</w:t>
            </w:r>
          </w:p>
        </w:tc>
      </w:tr>
      <w:tr w:rsidR="001B6DE9" w:rsidRPr="001038BB" w:rsidTr="00A024BE">
        <w:trPr>
          <w:trHeight w:val="700"/>
        </w:trPr>
        <w:tc>
          <w:tcPr>
            <w:tcW w:w="321" w:type="pct"/>
            <w:vMerge/>
          </w:tcPr>
          <w:p w:rsidR="001B6DE9" w:rsidRPr="001038BB" w:rsidRDefault="001B6DE9" w:rsidP="00065C87">
            <w:pPr>
              <w:pStyle w:val="TableParagraph"/>
              <w:ind w:left="92" w:right="87"/>
              <w:jc w:val="center"/>
              <w:rPr>
                <w:rFonts w:ascii="Book Antiqua" w:hAnsi="Book Antiqua"/>
                <w:sz w:val="24"/>
                <w:szCs w:val="24"/>
              </w:rPr>
            </w:pPr>
          </w:p>
        </w:tc>
        <w:tc>
          <w:tcPr>
            <w:tcW w:w="1084" w:type="pct"/>
            <w:vMerge/>
          </w:tcPr>
          <w:p w:rsidR="001B6DE9" w:rsidRPr="001038BB" w:rsidRDefault="001B6DE9" w:rsidP="00065C87">
            <w:pPr>
              <w:pStyle w:val="TableParagraph"/>
              <w:ind w:left="105"/>
              <w:rPr>
                <w:rFonts w:ascii="Book Antiqua" w:hAnsi="Book Antiqua"/>
                <w:sz w:val="24"/>
                <w:szCs w:val="24"/>
                <w:lang w:val="id-ID"/>
              </w:rPr>
            </w:pPr>
          </w:p>
        </w:tc>
        <w:tc>
          <w:tcPr>
            <w:tcW w:w="1546" w:type="pct"/>
            <w:hideMark/>
          </w:tcPr>
          <w:p w:rsidR="001B6DE9" w:rsidRPr="001038BB" w:rsidRDefault="00D32C1D" w:rsidP="00065C87">
            <w:pPr>
              <w:pStyle w:val="TableParagraph"/>
              <w:tabs>
                <w:tab w:val="left" w:pos="1558"/>
              </w:tabs>
              <w:ind w:left="108" w:right="93"/>
              <w:rPr>
                <w:rFonts w:ascii="Book Antiqua" w:hAnsi="Book Antiqua"/>
                <w:sz w:val="24"/>
                <w:szCs w:val="24"/>
                <w:lang w:val="id-ID"/>
              </w:rPr>
            </w:pPr>
            <w:r w:rsidRPr="00D32C1D">
              <w:rPr>
                <w:rFonts w:ascii="Book Antiqua" w:hAnsi="Book Antiqua"/>
                <w:sz w:val="24"/>
                <w:szCs w:val="24"/>
              </w:rPr>
              <w:t xml:space="preserve">What is the ruling on asking for more in an </w:t>
            </w:r>
            <w:r w:rsidRPr="00D32C1D">
              <w:rPr>
                <w:rFonts w:ascii="Book Antiqua" w:hAnsi="Book Antiqua"/>
                <w:i/>
                <w:iCs/>
                <w:sz w:val="24"/>
                <w:szCs w:val="24"/>
              </w:rPr>
              <w:t>al-Qardh</w:t>
            </w:r>
            <w:r w:rsidRPr="00D32C1D">
              <w:rPr>
                <w:rFonts w:ascii="Book Antiqua" w:hAnsi="Book Antiqua"/>
                <w:sz w:val="24"/>
                <w:szCs w:val="24"/>
              </w:rPr>
              <w:t xml:space="preserve"> contract</w:t>
            </w:r>
          </w:p>
        </w:tc>
        <w:tc>
          <w:tcPr>
            <w:tcW w:w="2049" w:type="pct"/>
          </w:tcPr>
          <w:p w:rsidR="001B6DE9" w:rsidRPr="001038BB" w:rsidRDefault="00D32C1D" w:rsidP="00065C87">
            <w:pPr>
              <w:pStyle w:val="TableParagraph"/>
              <w:ind w:left="127" w:right="115"/>
              <w:jc w:val="both"/>
              <w:rPr>
                <w:rFonts w:ascii="Book Antiqua" w:hAnsi="Book Antiqua"/>
                <w:sz w:val="24"/>
                <w:szCs w:val="24"/>
                <w:lang w:val="id-ID"/>
              </w:rPr>
            </w:pPr>
            <w:r w:rsidRPr="00D32C1D">
              <w:rPr>
                <w:rFonts w:ascii="Book Antiqua" w:hAnsi="Book Antiqua"/>
                <w:i/>
                <w:iCs/>
                <w:sz w:val="24"/>
                <w:szCs w:val="24"/>
              </w:rPr>
              <w:t>It is permissible, in the way that the debtor makes a vow.</w:t>
            </w:r>
          </w:p>
        </w:tc>
      </w:tr>
      <w:tr w:rsidR="001B6DE9" w:rsidRPr="001038BB" w:rsidTr="00A024BE">
        <w:trPr>
          <w:trHeight w:val="838"/>
        </w:trPr>
        <w:tc>
          <w:tcPr>
            <w:tcW w:w="321" w:type="pct"/>
            <w:vMerge/>
          </w:tcPr>
          <w:p w:rsidR="001B6DE9" w:rsidRPr="001038BB" w:rsidRDefault="001B6DE9" w:rsidP="00065C87">
            <w:pPr>
              <w:pStyle w:val="TableParagraph"/>
              <w:ind w:left="92" w:right="87"/>
              <w:jc w:val="center"/>
              <w:rPr>
                <w:rFonts w:ascii="Book Antiqua" w:hAnsi="Book Antiqua"/>
                <w:sz w:val="24"/>
                <w:szCs w:val="24"/>
              </w:rPr>
            </w:pPr>
          </w:p>
        </w:tc>
        <w:tc>
          <w:tcPr>
            <w:tcW w:w="1084" w:type="pct"/>
            <w:vMerge/>
          </w:tcPr>
          <w:p w:rsidR="001B6DE9" w:rsidRPr="001038BB" w:rsidRDefault="001B6DE9" w:rsidP="00065C87">
            <w:pPr>
              <w:pStyle w:val="TableParagraph"/>
              <w:ind w:left="105"/>
              <w:rPr>
                <w:rFonts w:ascii="Book Antiqua" w:hAnsi="Book Antiqua"/>
                <w:sz w:val="24"/>
                <w:szCs w:val="24"/>
                <w:lang w:val="id-ID"/>
              </w:rPr>
            </w:pPr>
          </w:p>
        </w:tc>
        <w:tc>
          <w:tcPr>
            <w:tcW w:w="1546" w:type="pct"/>
            <w:hideMark/>
          </w:tcPr>
          <w:p w:rsidR="001B6DE9" w:rsidRPr="001038BB" w:rsidRDefault="00D32C1D" w:rsidP="00065C87">
            <w:pPr>
              <w:pStyle w:val="TableParagraph"/>
              <w:tabs>
                <w:tab w:val="left" w:pos="1558"/>
              </w:tabs>
              <w:ind w:left="108" w:right="93"/>
              <w:rPr>
                <w:rFonts w:ascii="Book Antiqua" w:hAnsi="Book Antiqua"/>
                <w:sz w:val="24"/>
                <w:szCs w:val="24"/>
                <w:lang w:val="id-ID"/>
              </w:rPr>
            </w:pPr>
            <w:r w:rsidRPr="00D32C1D">
              <w:rPr>
                <w:rFonts w:ascii="Book Antiqua" w:hAnsi="Book Antiqua"/>
                <w:sz w:val="24"/>
                <w:szCs w:val="24"/>
              </w:rPr>
              <w:t xml:space="preserve">What is the ruling on making a vow in an </w:t>
            </w:r>
            <w:r w:rsidRPr="00D32C1D">
              <w:rPr>
                <w:rFonts w:ascii="Book Antiqua" w:hAnsi="Book Antiqua"/>
                <w:i/>
                <w:iCs/>
                <w:sz w:val="24"/>
                <w:szCs w:val="24"/>
              </w:rPr>
              <w:t>al-Qardh</w:t>
            </w:r>
            <w:r w:rsidRPr="00D32C1D">
              <w:rPr>
                <w:rFonts w:ascii="Book Antiqua" w:hAnsi="Book Antiqua"/>
                <w:sz w:val="24"/>
                <w:szCs w:val="24"/>
              </w:rPr>
              <w:t xml:space="preserve"> contract with the aim of obtaining additional funds</w:t>
            </w:r>
          </w:p>
        </w:tc>
        <w:tc>
          <w:tcPr>
            <w:tcW w:w="2049" w:type="pct"/>
          </w:tcPr>
          <w:p w:rsidR="001B6DE9" w:rsidRPr="001038BB" w:rsidRDefault="00B17E92" w:rsidP="00065C87">
            <w:pPr>
              <w:pStyle w:val="TableParagraph"/>
              <w:ind w:left="127" w:right="115"/>
              <w:jc w:val="both"/>
              <w:rPr>
                <w:rFonts w:ascii="Book Antiqua" w:hAnsi="Book Antiqua"/>
                <w:sz w:val="24"/>
                <w:szCs w:val="24"/>
                <w:lang w:val="id-ID"/>
              </w:rPr>
            </w:pPr>
            <w:r w:rsidRPr="00B17E92">
              <w:rPr>
                <w:rFonts w:ascii="Book Antiqua" w:hAnsi="Book Antiqua"/>
                <w:i/>
                <w:iCs/>
                <w:sz w:val="24"/>
                <w:szCs w:val="24"/>
              </w:rPr>
              <w:t>It's okay and you get the reward of shodaqoh</w:t>
            </w:r>
          </w:p>
        </w:tc>
      </w:tr>
    </w:tbl>
    <w:p w:rsidR="00A024BE" w:rsidRPr="00A024BE" w:rsidRDefault="00A024BE" w:rsidP="00A024BE">
      <w:pPr>
        <w:tabs>
          <w:tab w:val="left" w:pos="360"/>
        </w:tabs>
        <w:spacing w:after="0" w:line="240" w:lineRule="auto"/>
        <w:ind w:left="710"/>
        <w:jc w:val="both"/>
        <w:rPr>
          <w:rFonts w:ascii="Book Antiqua" w:hAnsi="Book Antiqua" w:cs="Times New Roman"/>
          <w:sz w:val="24"/>
          <w:szCs w:val="24"/>
          <w:lang w:val="id-ID"/>
        </w:rPr>
      </w:pPr>
    </w:p>
    <w:p w:rsidR="00A46B30" w:rsidRPr="001038BB" w:rsidRDefault="00A46B30" w:rsidP="001B6DE9">
      <w:pPr>
        <w:pStyle w:val="ListParagraph"/>
        <w:numPr>
          <w:ilvl w:val="1"/>
          <w:numId w:val="55"/>
        </w:numPr>
        <w:tabs>
          <w:tab w:val="left" w:pos="360"/>
        </w:tabs>
        <w:spacing w:after="0" w:line="240" w:lineRule="auto"/>
        <w:ind w:left="720" w:hanging="720"/>
        <w:jc w:val="both"/>
        <w:rPr>
          <w:rFonts w:ascii="Book Antiqua" w:hAnsi="Book Antiqua" w:cs="Times New Roman"/>
          <w:sz w:val="24"/>
          <w:szCs w:val="24"/>
          <w:lang w:val="id-ID"/>
        </w:rPr>
      </w:pPr>
      <w:r w:rsidRPr="001038BB">
        <w:rPr>
          <w:rFonts w:ascii="Book Antiqua" w:hAnsi="Book Antiqua" w:cs="Times New Roman"/>
          <w:sz w:val="24"/>
          <w:szCs w:val="24"/>
          <w:lang w:val="id-ID"/>
        </w:rPr>
        <w:t>KH Nawawi Abdurrahman</w:t>
      </w:r>
    </w:p>
    <w:tbl>
      <w:tblPr>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
        <w:gridCol w:w="1875"/>
        <w:gridCol w:w="2673"/>
        <w:gridCol w:w="3544"/>
      </w:tblGrid>
      <w:tr w:rsidR="00A46B30" w:rsidRPr="001038BB" w:rsidTr="00A024BE">
        <w:trPr>
          <w:trHeight w:val="553"/>
        </w:trPr>
        <w:tc>
          <w:tcPr>
            <w:tcW w:w="555" w:type="dxa"/>
            <w:shd w:val="clear" w:color="auto" w:fill="8EAADB"/>
            <w:vAlign w:val="center"/>
            <w:hideMark/>
          </w:tcPr>
          <w:p w:rsidR="00A46B30" w:rsidRPr="001038BB" w:rsidRDefault="00A46B30" w:rsidP="00A024BE">
            <w:pPr>
              <w:pStyle w:val="TableParagraph"/>
              <w:ind w:left="92" w:right="87"/>
              <w:jc w:val="center"/>
              <w:rPr>
                <w:rFonts w:ascii="Book Antiqua" w:hAnsi="Book Antiqua"/>
                <w:b/>
              </w:rPr>
            </w:pPr>
            <w:r w:rsidRPr="001038BB">
              <w:rPr>
                <w:rFonts w:ascii="Book Antiqua" w:hAnsi="Book Antiqua"/>
                <w:b/>
              </w:rPr>
              <w:t>No.</w:t>
            </w:r>
          </w:p>
        </w:tc>
        <w:tc>
          <w:tcPr>
            <w:tcW w:w="1875" w:type="dxa"/>
            <w:shd w:val="clear" w:color="auto" w:fill="8EAADB"/>
            <w:vAlign w:val="center"/>
            <w:hideMark/>
          </w:tcPr>
          <w:p w:rsidR="00A46B30" w:rsidRPr="001038BB" w:rsidRDefault="00A024BE" w:rsidP="00A024BE">
            <w:pPr>
              <w:pStyle w:val="TableParagraph"/>
              <w:ind w:right="133"/>
              <w:jc w:val="center"/>
              <w:rPr>
                <w:rFonts w:ascii="Book Antiqua" w:hAnsi="Book Antiqua"/>
                <w:b/>
              </w:rPr>
            </w:pPr>
            <w:r>
              <w:rPr>
                <w:rFonts w:ascii="Book Antiqua" w:hAnsi="Book Antiqua"/>
                <w:b/>
              </w:rPr>
              <w:t>Name of Informant</w:t>
            </w:r>
          </w:p>
        </w:tc>
        <w:tc>
          <w:tcPr>
            <w:tcW w:w="2673" w:type="dxa"/>
            <w:shd w:val="clear" w:color="auto" w:fill="8EAADB"/>
            <w:vAlign w:val="center"/>
            <w:hideMark/>
          </w:tcPr>
          <w:p w:rsidR="00A46B30" w:rsidRPr="001038BB" w:rsidRDefault="00A024BE" w:rsidP="00A024BE">
            <w:pPr>
              <w:pStyle w:val="TableParagraph"/>
              <w:jc w:val="center"/>
              <w:rPr>
                <w:rFonts w:ascii="Book Antiqua" w:hAnsi="Book Antiqua"/>
                <w:b/>
                <w:lang w:val="id-ID"/>
              </w:rPr>
            </w:pPr>
            <w:r>
              <w:rPr>
                <w:rFonts w:ascii="Book Antiqua" w:hAnsi="Book Antiqua"/>
                <w:b/>
                <w:lang w:val="id-ID"/>
              </w:rPr>
              <w:t>Question</w:t>
            </w:r>
          </w:p>
        </w:tc>
        <w:tc>
          <w:tcPr>
            <w:tcW w:w="3544" w:type="dxa"/>
            <w:shd w:val="clear" w:color="auto" w:fill="8EAADB"/>
            <w:vAlign w:val="center"/>
          </w:tcPr>
          <w:p w:rsidR="00A46B30" w:rsidRPr="001038BB" w:rsidRDefault="00A024BE" w:rsidP="00A024BE">
            <w:pPr>
              <w:pStyle w:val="TableParagraph"/>
              <w:ind w:left="141" w:hanging="2"/>
              <w:jc w:val="center"/>
              <w:rPr>
                <w:rFonts w:ascii="Book Antiqua" w:hAnsi="Book Antiqua"/>
                <w:b/>
                <w:lang w:val="id-ID"/>
              </w:rPr>
            </w:pPr>
            <w:r>
              <w:rPr>
                <w:rFonts w:ascii="Book Antiqua" w:hAnsi="Book Antiqua"/>
                <w:b/>
                <w:lang w:val="id-ID"/>
              </w:rPr>
              <w:t>Answer</w:t>
            </w:r>
          </w:p>
        </w:tc>
      </w:tr>
      <w:tr w:rsidR="00A909E6" w:rsidRPr="001038BB" w:rsidTr="00461BE1">
        <w:trPr>
          <w:trHeight w:val="864"/>
        </w:trPr>
        <w:tc>
          <w:tcPr>
            <w:tcW w:w="555" w:type="dxa"/>
            <w:vMerge w:val="restart"/>
            <w:hideMark/>
          </w:tcPr>
          <w:p w:rsidR="00A909E6" w:rsidRPr="001038BB" w:rsidRDefault="00A909E6" w:rsidP="00065C87">
            <w:pPr>
              <w:pStyle w:val="TableParagraph"/>
              <w:ind w:left="92" w:right="87"/>
              <w:jc w:val="center"/>
              <w:rPr>
                <w:rFonts w:ascii="Book Antiqua" w:hAnsi="Book Antiqua"/>
              </w:rPr>
            </w:pPr>
            <w:r w:rsidRPr="001038BB">
              <w:rPr>
                <w:rFonts w:ascii="Book Antiqua" w:hAnsi="Book Antiqua"/>
              </w:rPr>
              <w:t>1.</w:t>
            </w:r>
          </w:p>
        </w:tc>
        <w:tc>
          <w:tcPr>
            <w:tcW w:w="1875" w:type="dxa"/>
            <w:vMerge w:val="restart"/>
            <w:hideMark/>
          </w:tcPr>
          <w:p w:rsidR="00A909E6" w:rsidRPr="001038BB" w:rsidRDefault="00A909E6" w:rsidP="00065C87">
            <w:pPr>
              <w:pStyle w:val="TableParagraph"/>
              <w:tabs>
                <w:tab w:val="left" w:pos="765"/>
              </w:tabs>
              <w:ind w:left="105" w:right="94"/>
              <w:rPr>
                <w:rFonts w:ascii="Book Antiqua" w:hAnsi="Book Antiqua"/>
                <w:lang w:val="id-ID"/>
              </w:rPr>
            </w:pPr>
            <w:r w:rsidRPr="001038BB">
              <w:rPr>
                <w:rFonts w:ascii="Book Antiqua" w:hAnsi="Book Antiqua"/>
                <w:lang w:val="id-ID"/>
              </w:rPr>
              <w:t>KH Nawawi Abdurrahman</w:t>
            </w:r>
          </w:p>
        </w:tc>
        <w:tc>
          <w:tcPr>
            <w:tcW w:w="2673" w:type="dxa"/>
            <w:hideMark/>
          </w:tcPr>
          <w:p w:rsidR="00A909E6" w:rsidRPr="001038BB" w:rsidRDefault="00D32C1D" w:rsidP="00065C87">
            <w:pPr>
              <w:pStyle w:val="TableParagraph"/>
              <w:ind w:left="108" w:right="92"/>
              <w:rPr>
                <w:rFonts w:ascii="Book Antiqua" w:hAnsi="Book Antiqua"/>
              </w:rPr>
            </w:pPr>
            <w:r w:rsidRPr="00D32C1D">
              <w:rPr>
                <w:rFonts w:ascii="Book Antiqua" w:hAnsi="Book Antiqua"/>
                <w:sz w:val="24"/>
                <w:szCs w:val="24"/>
              </w:rPr>
              <w:t xml:space="preserve">The position of the </w:t>
            </w:r>
            <w:r w:rsidRPr="00D32C1D">
              <w:rPr>
                <w:rFonts w:ascii="Book Antiqua" w:hAnsi="Book Antiqua"/>
                <w:i/>
                <w:iCs/>
                <w:sz w:val="24"/>
                <w:szCs w:val="24"/>
              </w:rPr>
              <w:t>al-Qardh</w:t>
            </w:r>
            <w:r w:rsidRPr="00D32C1D">
              <w:rPr>
                <w:rFonts w:ascii="Book Antiqua" w:hAnsi="Book Antiqua"/>
                <w:sz w:val="24"/>
                <w:szCs w:val="24"/>
              </w:rPr>
              <w:t xml:space="preserve"> contract is a social contract or tabarru' what is business</w:t>
            </w:r>
          </w:p>
        </w:tc>
        <w:tc>
          <w:tcPr>
            <w:tcW w:w="3544" w:type="dxa"/>
          </w:tcPr>
          <w:p w:rsidR="00A909E6" w:rsidRPr="001038BB" w:rsidRDefault="00B17E92" w:rsidP="00065C87">
            <w:pPr>
              <w:pStyle w:val="TableParagraph"/>
              <w:ind w:left="127" w:right="115"/>
              <w:jc w:val="both"/>
              <w:rPr>
                <w:rFonts w:ascii="Book Antiqua" w:hAnsi="Book Antiqua"/>
                <w:i/>
                <w:iCs/>
              </w:rPr>
            </w:pPr>
            <w:r w:rsidRPr="00B17E92">
              <w:rPr>
                <w:rFonts w:ascii="Book Antiqua" w:hAnsi="Book Antiqua"/>
                <w:i/>
                <w:iCs/>
              </w:rPr>
              <w:t>In essence, al-Qardh is lending, obviously there is no addition, because it is based on ta awun / helping, helping is part of tabarru', which is voluntary / social in nature.</w:t>
            </w:r>
          </w:p>
        </w:tc>
      </w:tr>
      <w:tr w:rsidR="00A909E6" w:rsidRPr="001038BB" w:rsidTr="00461BE1">
        <w:trPr>
          <w:trHeight w:val="841"/>
        </w:trPr>
        <w:tc>
          <w:tcPr>
            <w:tcW w:w="555" w:type="dxa"/>
            <w:vMerge/>
          </w:tcPr>
          <w:p w:rsidR="00A909E6" w:rsidRPr="001038BB" w:rsidRDefault="00A909E6" w:rsidP="00065C87">
            <w:pPr>
              <w:pStyle w:val="TableParagraph"/>
              <w:ind w:left="92" w:right="87"/>
              <w:jc w:val="center"/>
              <w:rPr>
                <w:rFonts w:ascii="Book Antiqua" w:hAnsi="Book Antiqua"/>
              </w:rPr>
            </w:pPr>
          </w:p>
        </w:tc>
        <w:tc>
          <w:tcPr>
            <w:tcW w:w="1875" w:type="dxa"/>
            <w:vMerge/>
          </w:tcPr>
          <w:p w:rsidR="00A909E6" w:rsidRPr="001038BB" w:rsidRDefault="00A909E6" w:rsidP="00065C87">
            <w:pPr>
              <w:pStyle w:val="TableParagraph"/>
              <w:ind w:left="105" w:right="95"/>
              <w:rPr>
                <w:rFonts w:ascii="Book Antiqua" w:hAnsi="Book Antiqua"/>
                <w:lang w:val="id-ID"/>
              </w:rPr>
            </w:pPr>
          </w:p>
        </w:tc>
        <w:tc>
          <w:tcPr>
            <w:tcW w:w="2673" w:type="dxa"/>
            <w:hideMark/>
          </w:tcPr>
          <w:p w:rsidR="00A909E6" w:rsidRPr="001038BB" w:rsidRDefault="00D32C1D" w:rsidP="00065C87">
            <w:pPr>
              <w:pStyle w:val="TableParagraph"/>
              <w:ind w:left="108"/>
              <w:rPr>
                <w:rFonts w:ascii="Book Antiqua" w:hAnsi="Book Antiqua"/>
                <w:lang w:val="id-ID"/>
              </w:rPr>
            </w:pPr>
            <w:r w:rsidRPr="00D32C1D">
              <w:rPr>
                <w:rFonts w:ascii="Book Antiqua" w:hAnsi="Book Antiqua"/>
                <w:sz w:val="24"/>
                <w:szCs w:val="24"/>
              </w:rPr>
              <w:t xml:space="preserve">What are the consequences of the </w:t>
            </w:r>
            <w:r w:rsidRPr="00D32C1D">
              <w:rPr>
                <w:rFonts w:ascii="Book Antiqua" w:hAnsi="Book Antiqua"/>
                <w:i/>
                <w:iCs/>
                <w:sz w:val="24"/>
                <w:szCs w:val="24"/>
              </w:rPr>
              <w:t>al-qardh</w:t>
            </w:r>
            <w:r w:rsidRPr="00D32C1D">
              <w:rPr>
                <w:rFonts w:ascii="Book Antiqua" w:hAnsi="Book Antiqua"/>
                <w:sz w:val="24"/>
                <w:szCs w:val="24"/>
              </w:rPr>
              <w:t xml:space="preserve"> contract as a social contract</w:t>
            </w:r>
          </w:p>
        </w:tc>
        <w:tc>
          <w:tcPr>
            <w:tcW w:w="3544" w:type="dxa"/>
          </w:tcPr>
          <w:p w:rsidR="00A909E6" w:rsidRPr="001038BB" w:rsidRDefault="00B17E92" w:rsidP="00065C87">
            <w:pPr>
              <w:pStyle w:val="TableParagraph"/>
              <w:ind w:left="127" w:right="115"/>
              <w:jc w:val="both"/>
              <w:rPr>
                <w:rFonts w:ascii="Book Antiqua" w:hAnsi="Book Antiqua"/>
                <w:i/>
                <w:iCs/>
                <w:lang w:val="id-ID"/>
              </w:rPr>
            </w:pPr>
            <w:r w:rsidRPr="00B17E92">
              <w:rPr>
                <w:rFonts w:ascii="Book Antiqua" w:hAnsi="Book Antiqua"/>
                <w:i/>
                <w:iCs/>
              </w:rPr>
              <w:t>No additions</w:t>
            </w:r>
          </w:p>
        </w:tc>
      </w:tr>
      <w:tr w:rsidR="00A909E6" w:rsidRPr="001038BB" w:rsidTr="00461BE1">
        <w:trPr>
          <w:trHeight w:val="844"/>
        </w:trPr>
        <w:tc>
          <w:tcPr>
            <w:tcW w:w="555" w:type="dxa"/>
            <w:vMerge/>
          </w:tcPr>
          <w:p w:rsidR="00A909E6" w:rsidRPr="001038BB" w:rsidRDefault="00A909E6" w:rsidP="00065C87">
            <w:pPr>
              <w:pStyle w:val="TableParagraph"/>
              <w:ind w:left="92" w:right="87"/>
              <w:jc w:val="center"/>
              <w:rPr>
                <w:rFonts w:ascii="Book Antiqua" w:hAnsi="Book Antiqua"/>
              </w:rPr>
            </w:pPr>
          </w:p>
        </w:tc>
        <w:tc>
          <w:tcPr>
            <w:tcW w:w="1875" w:type="dxa"/>
            <w:vMerge/>
          </w:tcPr>
          <w:p w:rsidR="00A909E6" w:rsidRPr="001038BB" w:rsidRDefault="00A909E6" w:rsidP="00065C87">
            <w:pPr>
              <w:pStyle w:val="TableParagraph"/>
              <w:ind w:left="105"/>
              <w:rPr>
                <w:rFonts w:ascii="Book Antiqua" w:hAnsi="Book Antiqua"/>
                <w:lang w:val="id-ID"/>
              </w:rPr>
            </w:pPr>
          </w:p>
        </w:tc>
        <w:tc>
          <w:tcPr>
            <w:tcW w:w="2673" w:type="dxa"/>
            <w:hideMark/>
          </w:tcPr>
          <w:p w:rsidR="00A909E6" w:rsidRPr="001038BB" w:rsidRDefault="00B17E92" w:rsidP="00065C87">
            <w:pPr>
              <w:pStyle w:val="TableParagraph"/>
              <w:tabs>
                <w:tab w:val="left" w:pos="1558"/>
              </w:tabs>
              <w:ind w:left="108" w:right="93"/>
              <w:rPr>
                <w:rFonts w:ascii="Book Antiqua" w:hAnsi="Book Antiqua"/>
                <w:lang w:val="id-ID"/>
              </w:rPr>
            </w:pPr>
            <w:r w:rsidRPr="00D32C1D">
              <w:rPr>
                <w:rFonts w:ascii="Book Antiqua" w:hAnsi="Book Antiqua"/>
                <w:sz w:val="24"/>
                <w:szCs w:val="24"/>
              </w:rPr>
              <w:t xml:space="preserve">Can the BMT Cooperative apply aqad </w:t>
            </w:r>
            <w:r w:rsidRPr="00D32C1D">
              <w:rPr>
                <w:rFonts w:ascii="Book Antiqua" w:hAnsi="Book Antiqua"/>
                <w:i/>
                <w:iCs/>
                <w:sz w:val="24"/>
                <w:szCs w:val="24"/>
              </w:rPr>
              <w:t>al-Qardh</w:t>
            </w:r>
          </w:p>
        </w:tc>
        <w:tc>
          <w:tcPr>
            <w:tcW w:w="3544" w:type="dxa"/>
          </w:tcPr>
          <w:p w:rsidR="00A909E6" w:rsidRPr="001038BB" w:rsidRDefault="00B17E92" w:rsidP="00065C87">
            <w:pPr>
              <w:pStyle w:val="TableParagraph"/>
              <w:ind w:left="127" w:right="115"/>
              <w:jc w:val="both"/>
              <w:rPr>
                <w:rFonts w:ascii="Book Antiqua" w:hAnsi="Book Antiqua"/>
                <w:lang w:val="id-ID"/>
              </w:rPr>
            </w:pPr>
            <w:r w:rsidRPr="00B17E92">
              <w:rPr>
                <w:rFonts w:ascii="Book Antiqua" w:hAnsi="Book Antiqua"/>
                <w:i/>
                <w:iCs/>
              </w:rPr>
              <w:t>Yes, because it is a suitable contract solution for members.</w:t>
            </w:r>
          </w:p>
        </w:tc>
      </w:tr>
      <w:tr w:rsidR="00A909E6" w:rsidRPr="001038BB" w:rsidTr="00461BE1">
        <w:trPr>
          <w:trHeight w:val="700"/>
        </w:trPr>
        <w:tc>
          <w:tcPr>
            <w:tcW w:w="555" w:type="dxa"/>
            <w:vMerge/>
          </w:tcPr>
          <w:p w:rsidR="00A909E6" w:rsidRPr="001038BB" w:rsidRDefault="00A909E6" w:rsidP="00065C87">
            <w:pPr>
              <w:pStyle w:val="TableParagraph"/>
              <w:ind w:left="92" w:right="87"/>
              <w:jc w:val="center"/>
              <w:rPr>
                <w:rFonts w:ascii="Book Antiqua" w:hAnsi="Book Antiqua"/>
              </w:rPr>
            </w:pPr>
          </w:p>
        </w:tc>
        <w:tc>
          <w:tcPr>
            <w:tcW w:w="1875" w:type="dxa"/>
            <w:vMerge/>
          </w:tcPr>
          <w:p w:rsidR="00A909E6" w:rsidRPr="001038BB" w:rsidRDefault="00A909E6" w:rsidP="00065C87">
            <w:pPr>
              <w:pStyle w:val="TableParagraph"/>
              <w:ind w:left="105"/>
              <w:rPr>
                <w:rFonts w:ascii="Book Antiqua" w:hAnsi="Book Antiqua"/>
                <w:lang w:val="id-ID"/>
              </w:rPr>
            </w:pPr>
          </w:p>
        </w:tc>
        <w:tc>
          <w:tcPr>
            <w:tcW w:w="2673" w:type="dxa"/>
            <w:hideMark/>
          </w:tcPr>
          <w:p w:rsidR="00A909E6" w:rsidRPr="001038BB" w:rsidRDefault="00B17E92" w:rsidP="00065C87">
            <w:pPr>
              <w:pStyle w:val="TableParagraph"/>
              <w:tabs>
                <w:tab w:val="left" w:pos="1558"/>
              </w:tabs>
              <w:ind w:left="108" w:right="93"/>
              <w:rPr>
                <w:rFonts w:ascii="Book Antiqua" w:hAnsi="Book Antiqua"/>
                <w:lang w:val="id-ID"/>
              </w:rPr>
            </w:pPr>
            <w:r w:rsidRPr="00D32C1D">
              <w:rPr>
                <w:rFonts w:ascii="Book Antiqua" w:hAnsi="Book Antiqua"/>
                <w:sz w:val="24"/>
                <w:szCs w:val="24"/>
              </w:rPr>
              <w:t xml:space="preserve">What is the ruling on asking for more in an </w:t>
            </w:r>
            <w:r w:rsidRPr="00D32C1D">
              <w:rPr>
                <w:rFonts w:ascii="Book Antiqua" w:hAnsi="Book Antiqua"/>
                <w:i/>
                <w:iCs/>
                <w:sz w:val="24"/>
                <w:szCs w:val="24"/>
              </w:rPr>
              <w:t>al-Qardh</w:t>
            </w:r>
            <w:r w:rsidRPr="00D32C1D">
              <w:rPr>
                <w:rFonts w:ascii="Book Antiqua" w:hAnsi="Book Antiqua"/>
                <w:sz w:val="24"/>
                <w:szCs w:val="24"/>
              </w:rPr>
              <w:t xml:space="preserve"> contract</w:t>
            </w:r>
          </w:p>
        </w:tc>
        <w:tc>
          <w:tcPr>
            <w:tcW w:w="3544" w:type="dxa"/>
          </w:tcPr>
          <w:p w:rsidR="00A909E6" w:rsidRPr="001038BB" w:rsidRDefault="00B17E92" w:rsidP="00065C87">
            <w:pPr>
              <w:pStyle w:val="TableParagraph"/>
              <w:ind w:left="127" w:right="115"/>
              <w:jc w:val="both"/>
              <w:rPr>
                <w:rFonts w:ascii="Book Antiqua" w:hAnsi="Book Antiqua"/>
                <w:lang w:val="id-ID"/>
              </w:rPr>
            </w:pPr>
            <w:r w:rsidRPr="00B17E92">
              <w:rPr>
                <w:rFonts w:ascii="Book Antiqua" w:hAnsi="Book Antiqua"/>
                <w:i/>
                <w:iCs/>
              </w:rPr>
              <w:t>You can</w:t>
            </w:r>
          </w:p>
        </w:tc>
      </w:tr>
      <w:tr w:rsidR="00A909E6" w:rsidRPr="001038BB" w:rsidTr="00461BE1">
        <w:trPr>
          <w:trHeight w:val="838"/>
        </w:trPr>
        <w:tc>
          <w:tcPr>
            <w:tcW w:w="555" w:type="dxa"/>
            <w:vMerge/>
          </w:tcPr>
          <w:p w:rsidR="00A909E6" w:rsidRPr="001038BB" w:rsidRDefault="00A909E6" w:rsidP="00065C87">
            <w:pPr>
              <w:pStyle w:val="TableParagraph"/>
              <w:ind w:left="92" w:right="87"/>
              <w:jc w:val="center"/>
              <w:rPr>
                <w:rFonts w:ascii="Book Antiqua" w:hAnsi="Book Antiqua"/>
              </w:rPr>
            </w:pPr>
          </w:p>
        </w:tc>
        <w:tc>
          <w:tcPr>
            <w:tcW w:w="1875" w:type="dxa"/>
            <w:vMerge/>
          </w:tcPr>
          <w:p w:rsidR="00A909E6" w:rsidRPr="001038BB" w:rsidRDefault="00A909E6" w:rsidP="00065C87">
            <w:pPr>
              <w:pStyle w:val="TableParagraph"/>
              <w:ind w:left="105"/>
              <w:rPr>
                <w:rFonts w:ascii="Book Antiqua" w:hAnsi="Book Antiqua"/>
                <w:lang w:val="id-ID"/>
              </w:rPr>
            </w:pPr>
          </w:p>
        </w:tc>
        <w:tc>
          <w:tcPr>
            <w:tcW w:w="2673" w:type="dxa"/>
            <w:hideMark/>
          </w:tcPr>
          <w:p w:rsidR="00A909E6" w:rsidRPr="001038BB" w:rsidRDefault="00B17E92" w:rsidP="00065C87">
            <w:pPr>
              <w:pStyle w:val="TableParagraph"/>
              <w:tabs>
                <w:tab w:val="left" w:pos="1558"/>
              </w:tabs>
              <w:ind w:left="108" w:right="93"/>
              <w:rPr>
                <w:rFonts w:ascii="Book Antiqua" w:hAnsi="Book Antiqua"/>
                <w:lang w:val="id-ID"/>
              </w:rPr>
            </w:pPr>
            <w:r w:rsidRPr="00D32C1D">
              <w:rPr>
                <w:rFonts w:ascii="Book Antiqua" w:hAnsi="Book Antiqua"/>
                <w:sz w:val="24"/>
                <w:szCs w:val="24"/>
              </w:rPr>
              <w:t xml:space="preserve">What is the ruling on making a vow in an </w:t>
            </w:r>
            <w:r w:rsidRPr="00D32C1D">
              <w:rPr>
                <w:rFonts w:ascii="Book Antiqua" w:hAnsi="Book Antiqua"/>
                <w:i/>
                <w:iCs/>
                <w:sz w:val="24"/>
                <w:szCs w:val="24"/>
              </w:rPr>
              <w:t>al-Qardh</w:t>
            </w:r>
            <w:r w:rsidRPr="00D32C1D">
              <w:rPr>
                <w:rFonts w:ascii="Book Antiqua" w:hAnsi="Book Antiqua"/>
                <w:sz w:val="24"/>
                <w:szCs w:val="24"/>
              </w:rPr>
              <w:t xml:space="preserve"> contract with the aim of obtaining additional funds</w:t>
            </w:r>
          </w:p>
        </w:tc>
        <w:tc>
          <w:tcPr>
            <w:tcW w:w="3544" w:type="dxa"/>
          </w:tcPr>
          <w:p w:rsidR="00A909E6" w:rsidRPr="001038BB" w:rsidRDefault="00B17E92" w:rsidP="00065C87">
            <w:pPr>
              <w:pStyle w:val="TableParagraph"/>
              <w:ind w:left="127" w:right="115"/>
              <w:jc w:val="both"/>
              <w:rPr>
                <w:rFonts w:ascii="Book Antiqua" w:hAnsi="Book Antiqua"/>
                <w:lang w:val="id-ID"/>
              </w:rPr>
            </w:pPr>
            <w:r w:rsidRPr="00B17E92">
              <w:rPr>
                <w:rFonts w:ascii="Book Antiqua" w:hAnsi="Book Antiqua"/>
                <w:i/>
                <w:iCs/>
              </w:rPr>
              <w:t>It's okay and you get the reward of shodaqoh</w:t>
            </w:r>
          </w:p>
        </w:tc>
      </w:tr>
    </w:tbl>
    <w:p w:rsidR="00A024BE" w:rsidRDefault="00A024BE" w:rsidP="00A024BE">
      <w:pPr>
        <w:pStyle w:val="ListParagraph"/>
        <w:tabs>
          <w:tab w:val="left" w:pos="540"/>
        </w:tabs>
        <w:spacing w:after="0" w:line="240" w:lineRule="auto"/>
        <w:ind w:left="360"/>
        <w:jc w:val="both"/>
        <w:rPr>
          <w:rFonts w:ascii="Book Antiqua" w:hAnsi="Book Antiqua" w:cs="Times New Roman"/>
          <w:sz w:val="24"/>
          <w:szCs w:val="24"/>
          <w:lang w:val="id-ID"/>
        </w:rPr>
      </w:pPr>
    </w:p>
    <w:p w:rsidR="00A46B30" w:rsidRPr="001038BB" w:rsidRDefault="00A46B30" w:rsidP="00A909E6">
      <w:pPr>
        <w:pStyle w:val="ListParagraph"/>
        <w:numPr>
          <w:ilvl w:val="1"/>
          <w:numId w:val="55"/>
        </w:numPr>
        <w:tabs>
          <w:tab w:val="left" w:pos="540"/>
        </w:tabs>
        <w:spacing w:after="0" w:line="240" w:lineRule="auto"/>
        <w:ind w:left="360" w:hanging="270"/>
        <w:jc w:val="both"/>
        <w:rPr>
          <w:rFonts w:ascii="Book Antiqua" w:hAnsi="Book Antiqua" w:cs="Times New Roman"/>
          <w:sz w:val="24"/>
          <w:szCs w:val="24"/>
          <w:lang w:val="id-ID"/>
        </w:rPr>
      </w:pPr>
      <w:r w:rsidRPr="001038BB">
        <w:rPr>
          <w:rFonts w:ascii="Book Antiqua" w:hAnsi="Book Antiqua" w:cs="Times New Roman"/>
          <w:sz w:val="24"/>
          <w:szCs w:val="24"/>
          <w:lang w:val="id-ID"/>
        </w:rPr>
        <w:t xml:space="preserve">KH </w:t>
      </w:r>
      <w:r w:rsidR="00EC6AC1" w:rsidRPr="001038BB">
        <w:rPr>
          <w:rFonts w:ascii="Book Antiqua" w:hAnsi="Book Antiqua" w:cs="Times New Roman"/>
          <w:sz w:val="24"/>
          <w:szCs w:val="24"/>
        </w:rPr>
        <w:t>Abd.</w:t>
      </w:r>
      <w:r w:rsidRPr="001038BB">
        <w:rPr>
          <w:rFonts w:ascii="Book Antiqua" w:hAnsi="Book Antiqua" w:cs="Times New Roman"/>
          <w:sz w:val="24"/>
          <w:szCs w:val="24"/>
          <w:lang w:val="id-ID"/>
        </w:rPr>
        <w:t>Ghofur</w:t>
      </w:r>
    </w:p>
    <w:tbl>
      <w:tblPr>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
        <w:gridCol w:w="1875"/>
        <w:gridCol w:w="2673"/>
        <w:gridCol w:w="3544"/>
      </w:tblGrid>
      <w:tr w:rsidR="00A46B30" w:rsidRPr="001038BB" w:rsidTr="00A024BE">
        <w:trPr>
          <w:trHeight w:val="553"/>
        </w:trPr>
        <w:tc>
          <w:tcPr>
            <w:tcW w:w="555" w:type="dxa"/>
            <w:shd w:val="clear" w:color="auto" w:fill="8EAADB"/>
            <w:vAlign w:val="center"/>
            <w:hideMark/>
          </w:tcPr>
          <w:p w:rsidR="00A46B30" w:rsidRPr="001038BB" w:rsidRDefault="00A46B30" w:rsidP="00A024BE">
            <w:pPr>
              <w:pStyle w:val="TableParagraph"/>
              <w:ind w:left="92" w:right="87"/>
              <w:jc w:val="center"/>
              <w:rPr>
                <w:rFonts w:ascii="Book Antiqua" w:hAnsi="Book Antiqua"/>
                <w:b/>
              </w:rPr>
            </w:pPr>
            <w:r w:rsidRPr="001038BB">
              <w:rPr>
                <w:rFonts w:ascii="Book Antiqua" w:hAnsi="Book Antiqua"/>
                <w:b/>
              </w:rPr>
              <w:t>No.</w:t>
            </w:r>
          </w:p>
        </w:tc>
        <w:tc>
          <w:tcPr>
            <w:tcW w:w="1875" w:type="dxa"/>
            <w:shd w:val="clear" w:color="auto" w:fill="8EAADB"/>
            <w:vAlign w:val="center"/>
            <w:hideMark/>
          </w:tcPr>
          <w:p w:rsidR="00A46B30" w:rsidRPr="001038BB" w:rsidRDefault="00A024BE" w:rsidP="00A024BE">
            <w:pPr>
              <w:pStyle w:val="TableParagraph"/>
              <w:ind w:right="133"/>
              <w:jc w:val="center"/>
              <w:rPr>
                <w:rFonts w:ascii="Book Antiqua" w:hAnsi="Book Antiqua"/>
                <w:b/>
              </w:rPr>
            </w:pPr>
            <w:r>
              <w:rPr>
                <w:rFonts w:ascii="Book Antiqua" w:hAnsi="Book Antiqua"/>
                <w:b/>
              </w:rPr>
              <w:t>Name of Informant</w:t>
            </w:r>
          </w:p>
        </w:tc>
        <w:tc>
          <w:tcPr>
            <w:tcW w:w="2673" w:type="dxa"/>
            <w:shd w:val="clear" w:color="auto" w:fill="8EAADB"/>
            <w:vAlign w:val="center"/>
            <w:hideMark/>
          </w:tcPr>
          <w:p w:rsidR="00A46B30" w:rsidRPr="001038BB" w:rsidRDefault="00A024BE" w:rsidP="00A024BE">
            <w:pPr>
              <w:pStyle w:val="TableParagraph"/>
              <w:jc w:val="center"/>
              <w:rPr>
                <w:rFonts w:ascii="Book Antiqua" w:hAnsi="Book Antiqua"/>
                <w:b/>
                <w:lang w:val="id-ID"/>
              </w:rPr>
            </w:pPr>
            <w:r>
              <w:rPr>
                <w:rFonts w:ascii="Book Antiqua" w:hAnsi="Book Antiqua"/>
                <w:b/>
                <w:lang w:val="id-ID"/>
              </w:rPr>
              <w:t>Question</w:t>
            </w:r>
          </w:p>
        </w:tc>
        <w:tc>
          <w:tcPr>
            <w:tcW w:w="3544" w:type="dxa"/>
            <w:shd w:val="clear" w:color="auto" w:fill="8EAADB"/>
            <w:vAlign w:val="center"/>
          </w:tcPr>
          <w:p w:rsidR="00A46B30" w:rsidRPr="001038BB" w:rsidRDefault="00A024BE" w:rsidP="00A024BE">
            <w:pPr>
              <w:pStyle w:val="TableParagraph"/>
              <w:ind w:left="141" w:hanging="2"/>
              <w:jc w:val="center"/>
              <w:rPr>
                <w:rFonts w:ascii="Book Antiqua" w:hAnsi="Book Antiqua"/>
                <w:b/>
                <w:lang w:val="id-ID"/>
              </w:rPr>
            </w:pPr>
            <w:r>
              <w:rPr>
                <w:rFonts w:ascii="Book Antiqua" w:hAnsi="Book Antiqua"/>
                <w:b/>
                <w:lang w:val="id-ID"/>
              </w:rPr>
              <w:t>Answer</w:t>
            </w:r>
          </w:p>
        </w:tc>
      </w:tr>
      <w:tr w:rsidR="00A909E6" w:rsidRPr="001038BB" w:rsidTr="00461BE1">
        <w:trPr>
          <w:trHeight w:val="864"/>
        </w:trPr>
        <w:tc>
          <w:tcPr>
            <w:tcW w:w="555" w:type="dxa"/>
            <w:vMerge w:val="restart"/>
            <w:hideMark/>
          </w:tcPr>
          <w:p w:rsidR="00A909E6" w:rsidRPr="001038BB" w:rsidRDefault="00A909E6" w:rsidP="00065C87">
            <w:pPr>
              <w:pStyle w:val="TableParagraph"/>
              <w:ind w:left="92" w:right="87"/>
              <w:jc w:val="center"/>
              <w:rPr>
                <w:rFonts w:ascii="Book Antiqua" w:hAnsi="Book Antiqua"/>
              </w:rPr>
            </w:pPr>
            <w:r w:rsidRPr="001038BB">
              <w:rPr>
                <w:rFonts w:ascii="Book Antiqua" w:hAnsi="Book Antiqua"/>
              </w:rPr>
              <w:t>1.</w:t>
            </w:r>
          </w:p>
        </w:tc>
        <w:tc>
          <w:tcPr>
            <w:tcW w:w="1875" w:type="dxa"/>
            <w:vMerge w:val="restart"/>
            <w:hideMark/>
          </w:tcPr>
          <w:p w:rsidR="00A909E6" w:rsidRPr="001038BB" w:rsidRDefault="00A909E6" w:rsidP="00065C87">
            <w:pPr>
              <w:pStyle w:val="TableParagraph"/>
              <w:tabs>
                <w:tab w:val="left" w:pos="765"/>
              </w:tabs>
              <w:ind w:left="105" w:right="94"/>
              <w:rPr>
                <w:rFonts w:ascii="Book Antiqua" w:hAnsi="Book Antiqua"/>
                <w:lang w:val="id-ID"/>
              </w:rPr>
            </w:pPr>
            <w:r w:rsidRPr="001038BB">
              <w:rPr>
                <w:rFonts w:ascii="Book Antiqua" w:hAnsi="Book Antiqua"/>
                <w:lang w:val="id-ID"/>
              </w:rPr>
              <w:t>KH Ghofur</w:t>
            </w:r>
          </w:p>
        </w:tc>
        <w:tc>
          <w:tcPr>
            <w:tcW w:w="2673" w:type="dxa"/>
            <w:hideMark/>
          </w:tcPr>
          <w:p w:rsidR="00A909E6" w:rsidRPr="001038BB" w:rsidRDefault="00D32C1D" w:rsidP="00065C87">
            <w:pPr>
              <w:pStyle w:val="TableParagraph"/>
              <w:ind w:left="108" w:right="92"/>
              <w:rPr>
                <w:rFonts w:ascii="Book Antiqua" w:hAnsi="Book Antiqua"/>
              </w:rPr>
            </w:pPr>
            <w:r w:rsidRPr="00D32C1D">
              <w:rPr>
                <w:rFonts w:ascii="Book Antiqua" w:hAnsi="Book Antiqua"/>
              </w:rPr>
              <w:t xml:space="preserve">The position of the </w:t>
            </w:r>
            <w:r w:rsidRPr="00D32C1D">
              <w:rPr>
                <w:rFonts w:ascii="Book Antiqua" w:hAnsi="Book Antiqua"/>
                <w:i/>
                <w:iCs/>
              </w:rPr>
              <w:t>al-Qardh</w:t>
            </w:r>
            <w:r w:rsidRPr="00D32C1D">
              <w:rPr>
                <w:rFonts w:ascii="Book Antiqua" w:hAnsi="Book Antiqua"/>
              </w:rPr>
              <w:t xml:space="preserve"> contract is a social contract or tabarru' what is business</w:t>
            </w:r>
          </w:p>
        </w:tc>
        <w:tc>
          <w:tcPr>
            <w:tcW w:w="3544" w:type="dxa"/>
          </w:tcPr>
          <w:p w:rsidR="00A909E6" w:rsidRPr="001038BB" w:rsidRDefault="00B17E92" w:rsidP="00065C87">
            <w:pPr>
              <w:pStyle w:val="TableParagraph"/>
              <w:ind w:left="127" w:right="115"/>
              <w:jc w:val="both"/>
              <w:rPr>
                <w:rFonts w:ascii="Book Antiqua" w:hAnsi="Book Antiqua"/>
                <w:i/>
                <w:iCs/>
              </w:rPr>
            </w:pPr>
            <w:r w:rsidRPr="00B17E92">
              <w:rPr>
                <w:rFonts w:ascii="Book Antiqua" w:hAnsi="Book Antiqua"/>
                <w:i/>
                <w:iCs/>
              </w:rPr>
              <w:t>according to the definition of al-Qardh is lending, because it is based on helping / i anah, helping is part of tabarru', which is voluntary / social in nature.</w:t>
            </w:r>
          </w:p>
        </w:tc>
      </w:tr>
      <w:tr w:rsidR="00A909E6" w:rsidRPr="001038BB" w:rsidTr="00461BE1">
        <w:trPr>
          <w:trHeight w:val="841"/>
        </w:trPr>
        <w:tc>
          <w:tcPr>
            <w:tcW w:w="555" w:type="dxa"/>
            <w:vMerge/>
          </w:tcPr>
          <w:p w:rsidR="00A909E6" w:rsidRPr="001038BB" w:rsidRDefault="00A909E6" w:rsidP="00065C87">
            <w:pPr>
              <w:pStyle w:val="TableParagraph"/>
              <w:ind w:left="92" w:right="87"/>
              <w:jc w:val="center"/>
              <w:rPr>
                <w:rFonts w:ascii="Book Antiqua" w:hAnsi="Book Antiqua"/>
              </w:rPr>
            </w:pPr>
          </w:p>
        </w:tc>
        <w:tc>
          <w:tcPr>
            <w:tcW w:w="1875" w:type="dxa"/>
            <w:vMerge/>
          </w:tcPr>
          <w:p w:rsidR="00A909E6" w:rsidRPr="001038BB" w:rsidRDefault="00A909E6" w:rsidP="00065C87">
            <w:pPr>
              <w:pStyle w:val="TableParagraph"/>
              <w:ind w:left="105" w:right="95"/>
              <w:rPr>
                <w:rFonts w:ascii="Book Antiqua" w:hAnsi="Book Antiqua"/>
                <w:lang w:val="id-ID"/>
              </w:rPr>
            </w:pPr>
          </w:p>
        </w:tc>
        <w:tc>
          <w:tcPr>
            <w:tcW w:w="2673" w:type="dxa"/>
            <w:hideMark/>
          </w:tcPr>
          <w:p w:rsidR="00A909E6" w:rsidRPr="001038BB" w:rsidRDefault="00B17E92" w:rsidP="00065C87">
            <w:pPr>
              <w:pStyle w:val="TableParagraph"/>
              <w:ind w:left="108"/>
              <w:rPr>
                <w:rFonts w:ascii="Book Antiqua" w:hAnsi="Book Antiqua"/>
                <w:lang w:val="id-ID"/>
              </w:rPr>
            </w:pPr>
            <w:r w:rsidRPr="00D32C1D">
              <w:rPr>
                <w:rFonts w:ascii="Book Antiqua" w:hAnsi="Book Antiqua"/>
                <w:sz w:val="24"/>
                <w:szCs w:val="24"/>
              </w:rPr>
              <w:t xml:space="preserve">What are the consequences of the </w:t>
            </w:r>
            <w:r w:rsidRPr="00D32C1D">
              <w:rPr>
                <w:rFonts w:ascii="Book Antiqua" w:hAnsi="Book Antiqua"/>
                <w:i/>
                <w:iCs/>
                <w:sz w:val="24"/>
                <w:szCs w:val="24"/>
              </w:rPr>
              <w:t>al-qardh</w:t>
            </w:r>
            <w:r w:rsidRPr="00D32C1D">
              <w:rPr>
                <w:rFonts w:ascii="Book Antiqua" w:hAnsi="Book Antiqua"/>
                <w:sz w:val="24"/>
                <w:szCs w:val="24"/>
              </w:rPr>
              <w:t xml:space="preserve"> contract as a social contract</w:t>
            </w:r>
          </w:p>
        </w:tc>
        <w:tc>
          <w:tcPr>
            <w:tcW w:w="3544" w:type="dxa"/>
          </w:tcPr>
          <w:p w:rsidR="00A909E6" w:rsidRPr="001038BB" w:rsidRDefault="00B17E92" w:rsidP="00065C87">
            <w:pPr>
              <w:pStyle w:val="TableParagraph"/>
              <w:ind w:left="127" w:right="115"/>
              <w:jc w:val="both"/>
              <w:rPr>
                <w:rFonts w:ascii="Book Antiqua" w:hAnsi="Book Antiqua"/>
                <w:i/>
                <w:iCs/>
                <w:lang w:val="id-ID"/>
              </w:rPr>
            </w:pPr>
            <w:r w:rsidRPr="00B17E92">
              <w:rPr>
                <w:rFonts w:ascii="Book Antiqua" w:hAnsi="Book Antiqua"/>
                <w:i/>
                <w:iCs/>
              </w:rPr>
              <w:t>no extras, just return the principal</w:t>
            </w:r>
          </w:p>
        </w:tc>
      </w:tr>
      <w:tr w:rsidR="00A909E6" w:rsidRPr="001038BB" w:rsidTr="00461BE1">
        <w:trPr>
          <w:trHeight w:val="844"/>
        </w:trPr>
        <w:tc>
          <w:tcPr>
            <w:tcW w:w="555" w:type="dxa"/>
            <w:vMerge/>
          </w:tcPr>
          <w:p w:rsidR="00A909E6" w:rsidRPr="001038BB" w:rsidRDefault="00A909E6" w:rsidP="00065C87">
            <w:pPr>
              <w:pStyle w:val="TableParagraph"/>
              <w:ind w:left="92" w:right="87"/>
              <w:jc w:val="center"/>
              <w:rPr>
                <w:rFonts w:ascii="Book Antiqua" w:hAnsi="Book Antiqua"/>
              </w:rPr>
            </w:pPr>
          </w:p>
        </w:tc>
        <w:tc>
          <w:tcPr>
            <w:tcW w:w="1875" w:type="dxa"/>
            <w:vMerge/>
          </w:tcPr>
          <w:p w:rsidR="00A909E6" w:rsidRPr="001038BB" w:rsidRDefault="00A909E6" w:rsidP="00065C87">
            <w:pPr>
              <w:pStyle w:val="TableParagraph"/>
              <w:ind w:left="105"/>
              <w:rPr>
                <w:rFonts w:ascii="Book Antiqua" w:hAnsi="Book Antiqua"/>
                <w:lang w:val="id-ID"/>
              </w:rPr>
            </w:pPr>
          </w:p>
        </w:tc>
        <w:tc>
          <w:tcPr>
            <w:tcW w:w="2673" w:type="dxa"/>
            <w:hideMark/>
          </w:tcPr>
          <w:p w:rsidR="00A909E6" w:rsidRPr="001038BB" w:rsidRDefault="00B17E92" w:rsidP="00065C87">
            <w:pPr>
              <w:pStyle w:val="TableParagraph"/>
              <w:tabs>
                <w:tab w:val="left" w:pos="1558"/>
              </w:tabs>
              <w:ind w:left="108" w:right="93"/>
              <w:rPr>
                <w:rFonts w:ascii="Book Antiqua" w:hAnsi="Book Antiqua"/>
                <w:lang w:val="id-ID"/>
              </w:rPr>
            </w:pPr>
            <w:r w:rsidRPr="00D32C1D">
              <w:rPr>
                <w:rFonts w:ascii="Book Antiqua" w:hAnsi="Book Antiqua"/>
                <w:sz w:val="24"/>
                <w:szCs w:val="24"/>
              </w:rPr>
              <w:t xml:space="preserve">Can the BMT Cooperative apply aqad </w:t>
            </w:r>
            <w:r w:rsidRPr="00D32C1D">
              <w:rPr>
                <w:rFonts w:ascii="Book Antiqua" w:hAnsi="Book Antiqua"/>
                <w:i/>
                <w:iCs/>
                <w:sz w:val="24"/>
                <w:szCs w:val="24"/>
              </w:rPr>
              <w:t>al-Qardh</w:t>
            </w:r>
          </w:p>
        </w:tc>
        <w:tc>
          <w:tcPr>
            <w:tcW w:w="3544" w:type="dxa"/>
          </w:tcPr>
          <w:p w:rsidR="00A909E6" w:rsidRPr="001038BB" w:rsidRDefault="00B17E92" w:rsidP="00065C87">
            <w:pPr>
              <w:pStyle w:val="TableParagraph"/>
              <w:ind w:left="127" w:right="115"/>
              <w:jc w:val="both"/>
              <w:rPr>
                <w:rFonts w:ascii="Book Antiqua" w:hAnsi="Book Antiqua"/>
                <w:lang w:val="id-ID"/>
              </w:rPr>
            </w:pPr>
            <w:r w:rsidRPr="00B17E92">
              <w:rPr>
                <w:rFonts w:ascii="Book Antiqua" w:hAnsi="Book Antiqua"/>
                <w:i/>
                <w:iCs/>
              </w:rPr>
              <w:t>can be a suitable contract solution for members, fiqh-wise. In tasawwuf, it is not allowed</w:t>
            </w:r>
          </w:p>
        </w:tc>
      </w:tr>
      <w:tr w:rsidR="00A909E6" w:rsidRPr="001038BB" w:rsidTr="00461BE1">
        <w:trPr>
          <w:trHeight w:val="700"/>
        </w:trPr>
        <w:tc>
          <w:tcPr>
            <w:tcW w:w="555" w:type="dxa"/>
            <w:vMerge/>
          </w:tcPr>
          <w:p w:rsidR="00A909E6" w:rsidRPr="001038BB" w:rsidRDefault="00A909E6" w:rsidP="00065C87">
            <w:pPr>
              <w:pStyle w:val="TableParagraph"/>
              <w:ind w:left="92" w:right="87"/>
              <w:jc w:val="center"/>
              <w:rPr>
                <w:rFonts w:ascii="Book Antiqua" w:hAnsi="Book Antiqua"/>
              </w:rPr>
            </w:pPr>
          </w:p>
        </w:tc>
        <w:tc>
          <w:tcPr>
            <w:tcW w:w="1875" w:type="dxa"/>
            <w:vMerge/>
          </w:tcPr>
          <w:p w:rsidR="00A909E6" w:rsidRPr="001038BB" w:rsidRDefault="00A909E6" w:rsidP="00065C87">
            <w:pPr>
              <w:pStyle w:val="TableParagraph"/>
              <w:ind w:left="105"/>
              <w:rPr>
                <w:rFonts w:ascii="Book Antiqua" w:hAnsi="Book Antiqua"/>
                <w:lang w:val="id-ID"/>
              </w:rPr>
            </w:pPr>
          </w:p>
        </w:tc>
        <w:tc>
          <w:tcPr>
            <w:tcW w:w="2673" w:type="dxa"/>
            <w:hideMark/>
          </w:tcPr>
          <w:p w:rsidR="00A909E6" w:rsidRPr="001038BB" w:rsidRDefault="00B17E92" w:rsidP="00065C87">
            <w:pPr>
              <w:pStyle w:val="TableParagraph"/>
              <w:tabs>
                <w:tab w:val="left" w:pos="1558"/>
              </w:tabs>
              <w:ind w:left="108" w:right="93"/>
              <w:rPr>
                <w:rFonts w:ascii="Book Antiqua" w:hAnsi="Book Antiqua"/>
                <w:lang w:val="id-ID"/>
              </w:rPr>
            </w:pPr>
            <w:r w:rsidRPr="00D32C1D">
              <w:rPr>
                <w:rFonts w:ascii="Book Antiqua" w:hAnsi="Book Antiqua"/>
                <w:sz w:val="24"/>
                <w:szCs w:val="24"/>
              </w:rPr>
              <w:t xml:space="preserve">What is the ruling on asking for more in an </w:t>
            </w:r>
            <w:r w:rsidRPr="00D32C1D">
              <w:rPr>
                <w:rFonts w:ascii="Book Antiqua" w:hAnsi="Book Antiqua"/>
                <w:i/>
                <w:iCs/>
                <w:sz w:val="24"/>
                <w:szCs w:val="24"/>
              </w:rPr>
              <w:t>al-Qardh</w:t>
            </w:r>
            <w:r w:rsidRPr="00D32C1D">
              <w:rPr>
                <w:rFonts w:ascii="Book Antiqua" w:hAnsi="Book Antiqua"/>
                <w:sz w:val="24"/>
                <w:szCs w:val="24"/>
              </w:rPr>
              <w:t xml:space="preserve"> contract</w:t>
            </w:r>
          </w:p>
        </w:tc>
        <w:tc>
          <w:tcPr>
            <w:tcW w:w="3544" w:type="dxa"/>
          </w:tcPr>
          <w:p w:rsidR="00A909E6" w:rsidRPr="001038BB" w:rsidRDefault="00B17E92" w:rsidP="00065C87">
            <w:pPr>
              <w:pStyle w:val="TableParagraph"/>
              <w:ind w:left="127" w:right="115"/>
              <w:jc w:val="both"/>
              <w:rPr>
                <w:rFonts w:ascii="Book Antiqua" w:hAnsi="Book Antiqua"/>
                <w:lang w:val="id-ID"/>
              </w:rPr>
            </w:pPr>
            <w:r>
              <w:rPr>
                <w:rFonts w:ascii="Book Antiqua" w:hAnsi="Book Antiqua"/>
                <w:i/>
                <w:iCs/>
              </w:rPr>
              <w:t xml:space="preserve">You can </w:t>
            </w:r>
          </w:p>
        </w:tc>
      </w:tr>
      <w:tr w:rsidR="00A909E6" w:rsidRPr="001038BB" w:rsidTr="00461BE1">
        <w:trPr>
          <w:trHeight w:val="838"/>
        </w:trPr>
        <w:tc>
          <w:tcPr>
            <w:tcW w:w="555" w:type="dxa"/>
            <w:vMerge/>
          </w:tcPr>
          <w:p w:rsidR="00A909E6" w:rsidRPr="001038BB" w:rsidRDefault="00A909E6" w:rsidP="00065C87">
            <w:pPr>
              <w:pStyle w:val="TableParagraph"/>
              <w:ind w:left="92" w:right="87"/>
              <w:jc w:val="center"/>
              <w:rPr>
                <w:rFonts w:ascii="Book Antiqua" w:hAnsi="Book Antiqua"/>
              </w:rPr>
            </w:pPr>
          </w:p>
        </w:tc>
        <w:tc>
          <w:tcPr>
            <w:tcW w:w="1875" w:type="dxa"/>
            <w:vMerge/>
          </w:tcPr>
          <w:p w:rsidR="00A909E6" w:rsidRPr="001038BB" w:rsidRDefault="00A909E6" w:rsidP="00065C87">
            <w:pPr>
              <w:pStyle w:val="TableParagraph"/>
              <w:ind w:left="105"/>
              <w:rPr>
                <w:rFonts w:ascii="Book Antiqua" w:hAnsi="Book Antiqua"/>
                <w:lang w:val="id-ID"/>
              </w:rPr>
            </w:pPr>
          </w:p>
        </w:tc>
        <w:tc>
          <w:tcPr>
            <w:tcW w:w="2673" w:type="dxa"/>
            <w:hideMark/>
          </w:tcPr>
          <w:p w:rsidR="00A909E6" w:rsidRPr="001038BB" w:rsidRDefault="00B17E92" w:rsidP="00065C87">
            <w:pPr>
              <w:pStyle w:val="TableParagraph"/>
              <w:tabs>
                <w:tab w:val="left" w:pos="1558"/>
              </w:tabs>
              <w:ind w:left="108" w:right="93"/>
              <w:rPr>
                <w:rFonts w:ascii="Book Antiqua" w:hAnsi="Book Antiqua"/>
                <w:lang w:val="id-ID"/>
              </w:rPr>
            </w:pPr>
            <w:r w:rsidRPr="00D32C1D">
              <w:rPr>
                <w:rFonts w:ascii="Book Antiqua" w:hAnsi="Book Antiqua"/>
                <w:sz w:val="24"/>
                <w:szCs w:val="24"/>
              </w:rPr>
              <w:t xml:space="preserve">What is the ruling on making a vow in an </w:t>
            </w:r>
            <w:r w:rsidRPr="00D32C1D">
              <w:rPr>
                <w:rFonts w:ascii="Book Antiqua" w:hAnsi="Book Antiqua"/>
                <w:i/>
                <w:iCs/>
                <w:sz w:val="24"/>
                <w:szCs w:val="24"/>
              </w:rPr>
              <w:t>al-Qardh</w:t>
            </w:r>
            <w:r w:rsidRPr="00D32C1D">
              <w:rPr>
                <w:rFonts w:ascii="Book Antiqua" w:hAnsi="Book Antiqua"/>
                <w:sz w:val="24"/>
                <w:szCs w:val="24"/>
              </w:rPr>
              <w:t xml:space="preserve"> contract with the aim of obtaining additional funds</w:t>
            </w:r>
          </w:p>
        </w:tc>
        <w:tc>
          <w:tcPr>
            <w:tcW w:w="3544" w:type="dxa"/>
          </w:tcPr>
          <w:p w:rsidR="00A909E6" w:rsidRPr="001038BB" w:rsidRDefault="00B17E92" w:rsidP="00065C87">
            <w:pPr>
              <w:pStyle w:val="TableParagraph"/>
              <w:ind w:left="127" w:right="115"/>
              <w:jc w:val="both"/>
              <w:rPr>
                <w:rFonts w:ascii="Book Antiqua" w:hAnsi="Book Antiqua"/>
                <w:lang w:val="id-ID"/>
              </w:rPr>
            </w:pPr>
            <w:r w:rsidRPr="00B17E92">
              <w:rPr>
                <w:rFonts w:ascii="Book Antiqua" w:hAnsi="Book Antiqua"/>
                <w:i/>
                <w:iCs/>
              </w:rPr>
              <w:t>It's okay and you get the reward of shodaqoh</w:t>
            </w:r>
          </w:p>
        </w:tc>
      </w:tr>
    </w:tbl>
    <w:p w:rsidR="00A024BE" w:rsidRDefault="00A024BE" w:rsidP="00A024BE">
      <w:pPr>
        <w:pStyle w:val="ListParagraph"/>
        <w:tabs>
          <w:tab w:val="left" w:pos="540"/>
        </w:tabs>
        <w:spacing w:after="0" w:line="240" w:lineRule="auto"/>
        <w:ind w:left="450"/>
        <w:jc w:val="both"/>
        <w:rPr>
          <w:rFonts w:ascii="Book Antiqua" w:hAnsi="Book Antiqua" w:cs="Times New Roman"/>
          <w:sz w:val="24"/>
          <w:szCs w:val="24"/>
          <w:lang w:val="id-ID"/>
        </w:rPr>
      </w:pPr>
    </w:p>
    <w:p w:rsidR="00A46B30" w:rsidRPr="001038BB" w:rsidRDefault="00A46B30" w:rsidP="00A909E6">
      <w:pPr>
        <w:pStyle w:val="ListParagraph"/>
        <w:numPr>
          <w:ilvl w:val="1"/>
          <w:numId w:val="55"/>
        </w:numPr>
        <w:tabs>
          <w:tab w:val="left" w:pos="540"/>
        </w:tabs>
        <w:spacing w:after="0" w:line="240" w:lineRule="auto"/>
        <w:ind w:left="450"/>
        <w:jc w:val="both"/>
        <w:rPr>
          <w:rFonts w:ascii="Book Antiqua" w:hAnsi="Book Antiqua" w:cs="Times New Roman"/>
          <w:sz w:val="24"/>
          <w:szCs w:val="24"/>
          <w:lang w:val="id-ID"/>
        </w:rPr>
      </w:pPr>
      <w:r w:rsidRPr="001038BB">
        <w:rPr>
          <w:rFonts w:ascii="Book Antiqua" w:hAnsi="Book Antiqua" w:cs="Times New Roman"/>
          <w:sz w:val="24"/>
          <w:szCs w:val="24"/>
          <w:lang w:val="id-ID"/>
        </w:rPr>
        <w:t>KH Imron Mutamakkin</w:t>
      </w:r>
    </w:p>
    <w:tbl>
      <w:tblPr>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
        <w:gridCol w:w="1997"/>
        <w:gridCol w:w="2551"/>
        <w:gridCol w:w="3544"/>
      </w:tblGrid>
      <w:tr w:rsidR="00A46B30" w:rsidRPr="001038BB" w:rsidTr="00A024BE">
        <w:trPr>
          <w:trHeight w:val="553"/>
        </w:trPr>
        <w:tc>
          <w:tcPr>
            <w:tcW w:w="555" w:type="dxa"/>
            <w:shd w:val="clear" w:color="auto" w:fill="8EAADB"/>
            <w:vAlign w:val="center"/>
            <w:hideMark/>
          </w:tcPr>
          <w:p w:rsidR="00A46B30" w:rsidRPr="001038BB" w:rsidRDefault="00A46B30" w:rsidP="00A024BE">
            <w:pPr>
              <w:pStyle w:val="TableParagraph"/>
              <w:ind w:left="92" w:right="87"/>
              <w:jc w:val="center"/>
              <w:rPr>
                <w:rFonts w:ascii="Book Antiqua" w:hAnsi="Book Antiqua"/>
                <w:b/>
              </w:rPr>
            </w:pPr>
            <w:r w:rsidRPr="001038BB">
              <w:rPr>
                <w:rFonts w:ascii="Book Antiqua" w:hAnsi="Book Antiqua"/>
                <w:b/>
              </w:rPr>
              <w:t>No.</w:t>
            </w:r>
          </w:p>
        </w:tc>
        <w:tc>
          <w:tcPr>
            <w:tcW w:w="1997" w:type="dxa"/>
            <w:shd w:val="clear" w:color="auto" w:fill="8EAADB"/>
            <w:vAlign w:val="center"/>
            <w:hideMark/>
          </w:tcPr>
          <w:p w:rsidR="00A46B30" w:rsidRPr="001038BB" w:rsidRDefault="00A024BE" w:rsidP="00A024BE">
            <w:pPr>
              <w:pStyle w:val="TableParagraph"/>
              <w:ind w:right="133"/>
              <w:jc w:val="center"/>
              <w:rPr>
                <w:rFonts w:ascii="Book Antiqua" w:hAnsi="Book Antiqua"/>
                <w:b/>
              </w:rPr>
            </w:pPr>
            <w:r>
              <w:rPr>
                <w:rFonts w:ascii="Book Antiqua" w:hAnsi="Book Antiqua"/>
                <w:b/>
              </w:rPr>
              <w:t>Name of Informant</w:t>
            </w:r>
          </w:p>
        </w:tc>
        <w:tc>
          <w:tcPr>
            <w:tcW w:w="2551" w:type="dxa"/>
            <w:shd w:val="clear" w:color="auto" w:fill="8EAADB"/>
            <w:vAlign w:val="center"/>
            <w:hideMark/>
          </w:tcPr>
          <w:p w:rsidR="00A46B30" w:rsidRPr="001038BB" w:rsidRDefault="00A024BE" w:rsidP="00A024BE">
            <w:pPr>
              <w:pStyle w:val="TableParagraph"/>
              <w:jc w:val="center"/>
              <w:rPr>
                <w:rFonts w:ascii="Book Antiqua" w:hAnsi="Book Antiqua"/>
                <w:b/>
                <w:lang w:val="id-ID"/>
              </w:rPr>
            </w:pPr>
            <w:r>
              <w:rPr>
                <w:rFonts w:ascii="Book Antiqua" w:hAnsi="Book Antiqua"/>
                <w:b/>
                <w:lang w:val="id-ID"/>
              </w:rPr>
              <w:t>Queation</w:t>
            </w:r>
          </w:p>
        </w:tc>
        <w:tc>
          <w:tcPr>
            <w:tcW w:w="3544" w:type="dxa"/>
            <w:shd w:val="clear" w:color="auto" w:fill="8EAADB"/>
            <w:vAlign w:val="center"/>
          </w:tcPr>
          <w:p w:rsidR="00A46B30" w:rsidRPr="001038BB" w:rsidRDefault="00A024BE" w:rsidP="00A024BE">
            <w:pPr>
              <w:pStyle w:val="TableParagraph"/>
              <w:ind w:left="141" w:hanging="2"/>
              <w:jc w:val="center"/>
              <w:rPr>
                <w:rFonts w:ascii="Book Antiqua" w:hAnsi="Book Antiqua"/>
                <w:b/>
                <w:lang w:val="id-ID"/>
              </w:rPr>
            </w:pPr>
            <w:r>
              <w:rPr>
                <w:rFonts w:ascii="Book Antiqua" w:hAnsi="Book Antiqua"/>
                <w:b/>
                <w:lang w:val="id-ID"/>
              </w:rPr>
              <w:t>Answer</w:t>
            </w:r>
          </w:p>
        </w:tc>
      </w:tr>
      <w:tr w:rsidR="00F52291" w:rsidRPr="001038BB" w:rsidTr="00461BE1">
        <w:trPr>
          <w:trHeight w:val="864"/>
        </w:trPr>
        <w:tc>
          <w:tcPr>
            <w:tcW w:w="555" w:type="dxa"/>
            <w:vMerge w:val="restart"/>
            <w:hideMark/>
          </w:tcPr>
          <w:p w:rsidR="00F52291" w:rsidRPr="001038BB" w:rsidRDefault="00F52291" w:rsidP="00065C87">
            <w:pPr>
              <w:pStyle w:val="TableParagraph"/>
              <w:ind w:left="92" w:right="87"/>
              <w:jc w:val="center"/>
              <w:rPr>
                <w:rFonts w:ascii="Book Antiqua" w:hAnsi="Book Antiqua"/>
              </w:rPr>
            </w:pPr>
            <w:r w:rsidRPr="001038BB">
              <w:rPr>
                <w:rFonts w:ascii="Book Antiqua" w:hAnsi="Book Antiqua"/>
              </w:rPr>
              <w:t>1.</w:t>
            </w:r>
          </w:p>
        </w:tc>
        <w:tc>
          <w:tcPr>
            <w:tcW w:w="1997" w:type="dxa"/>
            <w:vMerge w:val="restart"/>
            <w:hideMark/>
          </w:tcPr>
          <w:p w:rsidR="00F52291" w:rsidRPr="001038BB" w:rsidRDefault="00F52291" w:rsidP="00065C87">
            <w:pPr>
              <w:pStyle w:val="TableParagraph"/>
              <w:tabs>
                <w:tab w:val="left" w:pos="765"/>
              </w:tabs>
              <w:ind w:left="105" w:right="94"/>
              <w:rPr>
                <w:rFonts w:ascii="Book Antiqua" w:hAnsi="Book Antiqua"/>
                <w:lang w:val="id-ID"/>
              </w:rPr>
            </w:pPr>
            <w:r w:rsidRPr="001038BB">
              <w:rPr>
                <w:rFonts w:ascii="Book Antiqua" w:hAnsi="Book Antiqua"/>
                <w:lang w:val="id-ID"/>
              </w:rPr>
              <w:t>KH Imron Mutamakkin</w:t>
            </w:r>
          </w:p>
        </w:tc>
        <w:tc>
          <w:tcPr>
            <w:tcW w:w="2551" w:type="dxa"/>
            <w:hideMark/>
          </w:tcPr>
          <w:p w:rsidR="00F52291" w:rsidRPr="001038BB" w:rsidRDefault="00B17E92" w:rsidP="00065C87">
            <w:pPr>
              <w:pStyle w:val="TableParagraph"/>
              <w:ind w:left="108" w:right="92"/>
              <w:rPr>
                <w:rFonts w:ascii="Book Antiqua" w:hAnsi="Book Antiqua"/>
              </w:rPr>
            </w:pPr>
            <w:r w:rsidRPr="00D32C1D">
              <w:rPr>
                <w:rFonts w:ascii="Book Antiqua" w:hAnsi="Book Antiqua"/>
              </w:rPr>
              <w:t xml:space="preserve">The position of the </w:t>
            </w:r>
            <w:r w:rsidRPr="00D32C1D">
              <w:rPr>
                <w:rFonts w:ascii="Book Antiqua" w:hAnsi="Book Antiqua"/>
                <w:i/>
                <w:iCs/>
              </w:rPr>
              <w:t>al-Qardh</w:t>
            </w:r>
            <w:r w:rsidRPr="00D32C1D">
              <w:rPr>
                <w:rFonts w:ascii="Book Antiqua" w:hAnsi="Book Antiqua"/>
              </w:rPr>
              <w:t xml:space="preserve"> contract is a social contract or tabarru' what is business</w:t>
            </w:r>
          </w:p>
        </w:tc>
        <w:tc>
          <w:tcPr>
            <w:tcW w:w="3544" w:type="dxa"/>
          </w:tcPr>
          <w:p w:rsidR="00F52291" w:rsidRPr="001038BB" w:rsidRDefault="00B17E92" w:rsidP="00065C87">
            <w:pPr>
              <w:pStyle w:val="TableParagraph"/>
              <w:ind w:left="127" w:right="115"/>
              <w:jc w:val="both"/>
              <w:rPr>
                <w:rFonts w:ascii="Book Antiqua" w:hAnsi="Book Antiqua"/>
                <w:i/>
                <w:iCs/>
              </w:rPr>
            </w:pPr>
            <w:r w:rsidRPr="00B17E92">
              <w:rPr>
                <w:rFonts w:ascii="Book Antiqua" w:hAnsi="Book Antiqua"/>
                <w:i/>
                <w:iCs/>
              </w:rPr>
              <w:t>Includes tabarru' contracts not tijari/business.</w:t>
            </w:r>
          </w:p>
        </w:tc>
      </w:tr>
      <w:tr w:rsidR="00F52291" w:rsidRPr="001038BB" w:rsidTr="00461BE1">
        <w:trPr>
          <w:trHeight w:val="841"/>
        </w:trPr>
        <w:tc>
          <w:tcPr>
            <w:tcW w:w="555" w:type="dxa"/>
            <w:vMerge/>
          </w:tcPr>
          <w:p w:rsidR="00F52291" w:rsidRPr="001038BB" w:rsidRDefault="00F52291" w:rsidP="00065C87">
            <w:pPr>
              <w:pStyle w:val="TableParagraph"/>
              <w:ind w:left="92" w:right="87"/>
              <w:jc w:val="center"/>
              <w:rPr>
                <w:rFonts w:ascii="Book Antiqua" w:hAnsi="Book Antiqua"/>
              </w:rPr>
            </w:pPr>
          </w:p>
        </w:tc>
        <w:tc>
          <w:tcPr>
            <w:tcW w:w="1997" w:type="dxa"/>
            <w:vMerge/>
          </w:tcPr>
          <w:p w:rsidR="00F52291" w:rsidRPr="001038BB" w:rsidRDefault="00F52291" w:rsidP="00065C87">
            <w:pPr>
              <w:pStyle w:val="TableParagraph"/>
              <w:ind w:left="105" w:right="95"/>
              <w:rPr>
                <w:rFonts w:ascii="Book Antiqua" w:hAnsi="Book Antiqua"/>
                <w:lang w:val="id-ID"/>
              </w:rPr>
            </w:pPr>
          </w:p>
        </w:tc>
        <w:tc>
          <w:tcPr>
            <w:tcW w:w="2551" w:type="dxa"/>
            <w:hideMark/>
          </w:tcPr>
          <w:p w:rsidR="00F52291" w:rsidRPr="001038BB" w:rsidRDefault="00B17E92" w:rsidP="00065C87">
            <w:pPr>
              <w:pStyle w:val="TableParagraph"/>
              <w:ind w:left="108"/>
              <w:rPr>
                <w:rFonts w:ascii="Book Antiqua" w:hAnsi="Book Antiqua"/>
                <w:lang w:val="id-ID"/>
              </w:rPr>
            </w:pPr>
            <w:r w:rsidRPr="00D32C1D">
              <w:rPr>
                <w:rFonts w:ascii="Book Antiqua" w:hAnsi="Book Antiqua"/>
                <w:sz w:val="24"/>
                <w:szCs w:val="24"/>
              </w:rPr>
              <w:t xml:space="preserve">What are the consequences of the </w:t>
            </w:r>
            <w:r w:rsidRPr="00D32C1D">
              <w:rPr>
                <w:rFonts w:ascii="Book Antiqua" w:hAnsi="Book Antiqua"/>
                <w:i/>
                <w:iCs/>
                <w:sz w:val="24"/>
                <w:szCs w:val="24"/>
              </w:rPr>
              <w:t>al-qardh</w:t>
            </w:r>
            <w:r w:rsidRPr="00D32C1D">
              <w:rPr>
                <w:rFonts w:ascii="Book Antiqua" w:hAnsi="Book Antiqua"/>
                <w:sz w:val="24"/>
                <w:szCs w:val="24"/>
              </w:rPr>
              <w:t xml:space="preserve"> contract as a social contract</w:t>
            </w:r>
          </w:p>
        </w:tc>
        <w:tc>
          <w:tcPr>
            <w:tcW w:w="3544" w:type="dxa"/>
          </w:tcPr>
          <w:p w:rsidR="00F52291" w:rsidRPr="001038BB" w:rsidRDefault="00B17E92" w:rsidP="00065C87">
            <w:pPr>
              <w:pStyle w:val="TableParagraph"/>
              <w:ind w:left="127" w:right="115"/>
              <w:jc w:val="both"/>
              <w:rPr>
                <w:rFonts w:ascii="Book Antiqua" w:hAnsi="Book Antiqua"/>
                <w:i/>
                <w:iCs/>
                <w:lang w:val="id-ID"/>
              </w:rPr>
            </w:pPr>
            <w:r w:rsidRPr="00B17E92">
              <w:rPr>
                <w:rFonts w:ascii="Book Antiqua" w:hAnsi="Book Antiqua"/>
                <w:i/>
                <w:iCs/>
              </w:rPr>
              <w:t>no reward for services</w:t>
            </w:r>
          </w:p>
        </w:tc>
      </w:tr>
      <w:tr w:rsidR="00F52291" w:rsidRPr="001038BB" w:rsidTr="00461BE1">
        <w:trPr>
          <w:trHeight w:val="844"/>
        </w:trPr>
        <w:tc>
          <w:tcPr>
            <w:tcW w:w="555" w:type="dxa"/>
            <w:vMerge/>
          </w:tcPr>
          <w:p w:rsidR="00F52291" w:rsidRPr="001038BB" w:rsidRDefault="00F52291" w:rsidP="00065C87">
            <w:pPr>
              <w:pStyle w:val="TableParagraph"/>
              <w:ind w:left="92" w:right="87"/>
              <w:jc w:val="center"/>
              <w:rPr>
                <w:rFonts w:ascii="Book Antiqua" w:hAnsi="Book Antiqua"/>
              </w:rPr>
            </w:pPr>
          </w:p>
        </w:tc>
        <w:tc>
          <w:tcPr>
            <w:tcW w:w="1997" w:type="dxa"/>
            <w:vMerge/>
          </w:tcPr>
          <w:p w:rsidR="00F52291" w:rsidRPr="001038BB" w:rsidRDefault="00F52291" w:rsidP="00065C87">
            <w:pPr>
              <w:pStyle w:val="TableParagraph"/>
              <w:ind w:left="105"/>
              <w:rPr>
                <w:rFonts w:ascii="Book Antiqua" w:hAnsi="Book Antiqua"/>
                <w:lang w:val="id-ID"/>
              </w:rPr>
            </w:pPr>
          </w:p>
        </w:tc>
        <w:tc>
          <w:tcPr>
            <w:tcW w:w="2551" w:type="dxa"/>
            <w:hideMark/>
          </w:tcPr>
          <w:p w:rsidR="00F52291" w:rsidRPr="001038BB" w:rsidRDefault="00B17E92" w:rsidP="00065C87">
            <w:pPr>
              <w:pStyle w:val="TableParagraph"/>
              <w:tabs>
                <w:tab w:val="left" w:pos="1558"/>
              </w:tabs>
              <w:ind w:left="108" w:right="93"/>
              <w:rPr>
                <w:rFonts w:ascii="Book Antiqua" w:hAnsi="Book Antiqua"/>
                <w:lang w:val="id-ID"/>
              </w:rPr>
            </w:pPr>
            <w:r w:rsidRPr="00D32C1D">
              <w:rPr>
                <w:rFonts w:ascii="Book Antiqua" w:hAnsi="Book Antiqua"/>
                <w:sz w:val="24"/>
                <w:szCs w:val="24"/>
              </w:rPr>
              <w:t xml:space="preserve">Can the BMT Cooperative apply aqad </w:t>
            </w:r>
            <w:r w:rsidRPr="00D32C1D">
              <w:rPr>
                <w:rFonts w:ascii="Book Antiqua" w:hAnsi="Book Antiqua"/>
                <w:i/>
                <w:iCs/>
                <w:sz w:val="24"/>
                <w:szCs w:val="24"/>
              </w:rPr>
              <w:t>al-Qardh</w:t>
            </w:r>
          </w:p>
        </w:tc>
        <w:tc>
          <w:tcPr>
            <w:tcW w:w="3544" w:type="dxa"/>
          </w:tcPr>
          <w:p w:rsidR="00F52291" w:rsidRPr="001038BB" w:rsidRDefault="00B17E92" w:rsidP="00065C87">
            <w:pPr>
              <w:pStyle w:val="TableParagraph"/>
              <w:ind w:left="127" w:right="115"/>
              <w:jc w:val="both"/>
              <w:rPr>
                <w:rFonts w:ascii="Book Antiqua" w:hAnsi="Book Antiqua"/>
                <w:lang w:val="id-ID"/>
              </w:rPr>
            </w:pPr>
            <w:r w:rsidRPr="00B17E92">
              <w:rPr>
                <w:rFonts w:ascii="Book Antiqua" w:hAnsi="Book Antiqua"/>
                <w:i/>
                <w:iCs/>
              </w:rPr>
              <w:t>Fiqh dhohir can be used as a suitable contract solution for members.</w:t>
            </w:r>
          </w:p>
        </w:tc>
      </w:tr>
      <w:tr w:rsidR="00F52291" w:rsidRPr="001038BB" w:rsidTr="00461BE1">
        <w:trPr>
          <w:trHeight w:val="700"/>
        </w:trPr>
        <w:tc>
          <w:tcPr>
            <w:tcW w:w="555" w:type="dxa"/>
            <w:vMerge/>
          </w:tcPr>
          <w:p w:rsidR="00F52291" w:rsidRPr="001038BB" w:rsidRDefault="00F52291" w:rsidP="00065C87">
            <w:pPr>
              <w:pStyle w:val="TableParagraph"/>
              <w:ind w:left="92" w:right="87"/>
              <w:jc w:val="center"/>
              <w:rPr>
                <w:rFonts w:ascii="Book Antiqua" w:hAnsi="Book Antiqua"/>
              </w:rPr>
            </w:pPr>
          </w:p>
        </w:tc>
        <w:tc>
          <w:tcPr>
            <w:tcW w:w="1997" w:type="dxa"/>
            <w:vMerge/>
          </w:tcPr>
          <w:p w:rsidR="00F52291" w:rsidRPr="001038BB" w:rsidRDefault="00F52291" w:rsidP="00065C87">
            <w:pPr>
              <w:pStyle w:val="TableParagraph"/>
              <w:ind w:left="105"/>
              <w:rPr>
                <w:rFonts w:ascii="Book Antiqua" w:hAnsi="Book Antiqua"/>
                <w:lang w:val="id-ID"/>
              </w:rPr>
            </w:pPr>
          </w:p>
        </w:tc>
        <w:tc>
          <w:tcPr>
            <w:tcW w:w="2551" w:type="dxa"/>
            <w:hideMark/>
          </w:tcPr>
          <w:p w:rsidR="00F52291" w:rsidRPr="001038BB" w:rsidRDefault="00B17E92" w:rsidP="00065C87">
            <w:pPr>
              <w:pStyle w:val="TableParagraph"/>
              <w:tabs>
                <w:tab w:val="left" w:pos="1558"/>
              </w:tabs>
              <w:ind w:left="108" w:right="93"/>
              <w:rPr>
                <w:rFonts w:ascii="Book Antiqua" w:hAnsi="Book Antiqua"/>
                <w:lang w:val="id-ID"/>
              </w:rPr>
            </w:pPr>
            <w:r w:rsidRPr="00D32C1D">
              <w:rPr>
                <w:rFonts w:ascii="Book Antiqua" w:hAnsi="Book Antiqua"/>
                <w:sz w:val="24"/>
                <w:szCs w:val="24"/>
              </w:rPr>
              <w:t xml:space="preserve">What is the ruling on asking for more in an </w:t>
            </w:r>
            <w:r w:rsidRPr="00D32C1D">
              <w:rPr>
                <w:rFonts w:ascii="Book Antiqua" w:hAnsi="Book Antiqua"/>
                <w:i/>
                <w:iCs/>
                <w:sz w:val="24"/>
                <w:szCs w:val="24"/>
              </w:rPr>
              <w:t>al-Qardh</w:t>
            </w:r>
            <w:r w:rsidRPr="00D32C1D">
              <w:rPr>
                <w:rFonts w:ascii="Book Antiqua" w:hAnsi="Book Antiqua"/>
                <w:sz w:val="24"/>
                <w:szCs w:val="24"/>
              </w:rPr>
              <w:t xml:space="preserve"> contract</w:t>
            </w:r>
          </w:p>
        </w:tc>
        <w:tc>
          <w:tcPr>
            <w:tcW w:w="3544" w:type="dxa"/>
          </w:tcPr>
          <w:p w:rsidR="00F52291" w:rsidRPr="001038BB" w:rsidRDefault="00B17E92" w:rsidP="00065C87">
            <w:pPr>
              <w:pStyle w:val="TableParagraph"/>
              <w:ind w:left="127" w:right="115"/>
              <w:jc w:val="both"/>
              <w:rPr>
                <w:rFonts w:ascii="Book Antiqua" w:hAnsi="Book Antiqua"/>
                <w:lang w:val="id-ID"/>
              </w:rPr>
            </w:pPr>
            <w:r w:rsidRPr="00B17E92">
              <w:rPr>
                <w:rFonts w:ascii="Book Antiqua" w:hAnsi="Book Antiqua"/>
                <w:i/>
                <w:iCs/>
              </w:rPr>
              <w:t>It is permissible, in the way that the forest person makes a vow (fiqh dhohir).</w:t>
            </w:r>
          </w:p>
        </w:tc>
      </w:tr>
      <w:tr w:rsidR="00F52291" w:rsidRPr="001038BB" w:rsidTr="00461BE1">
        <w:trPr>
          <w:trHeight w:val="838"/>
        </w:trPr>
        <w:tc>
          <w:tcPr>
            <w:tcW w:w="555" w:type="dxa"/>
            <w:vMerge/>
          </w:tcPr>
          <w:p w:rsidR="00F52291" w:rsidRPr="001038BB" w:rsidRDefault="00F52291" w:rsidP="00065C87">
            <w:pPr>
              <w:pStyle w:val="TableParagraph"/>
              <w:ind w:left="92" w:right="87"/>
              <w:jc w:val="center"/>
              <w:rPr>
                <w:rFonts w:ascii="Book Antiqua" w:hAnsi="Book Antiqua"/>
              </w:rPr>
            </w:pPr>
          </w:p>
        </w:tc>
        <w:tc>
          <w:tcPr>
            <w:tcW w:w="1997" w:type="dxa"/>
            <w:vMerge/>
          </w:tcPr>
          <w:p w:rsidR="00F52291" w:rsidRPr="001038BB" w:rsidRDefault="00F52291" w:rsidP="00065C87">
            <w:pPr>
              <w:pStyle w:val="TableParagraph"/>
              <w:ind w:left="105"/>
              <w:rPr>
                <w:rFonts w:ascii="Book Antiqua" w:hAnsi="Book Antiqua"/>
                <w:lang w:val="id-ID"/>
              </w:rPr>
            </w:pPr>
          </w:p>
        </w:tc>
        <w:tc>
          <w:tcPr>
            <w:tcW w:w="2551" w:type="dxa"/>
            <w:hideMark/>
          </w:tcPr>
          <w:p w:rsidR="00F52291" w:rsidRPr="001038BB" w:rsidRDefault="00B17E92" w:rsidP="00065C87">
            <w:pPr>
              <w:pStyle w:val="TableParagraph"/>
              <w:tabs>
                <w:tab w:val="left" w:pos="1558"/>
              </w:tabs>
              <w:ind w:left="108" w:right="93"/>
              <w:rPr>
                <w:rFonts w:ascii="Book Antiqua" w:hAnsi="Book Antiqua"/>
                <w:lang w:val="id-ID"/>
              </w:rPr>
            </w:pPr>
            <w:r w:rsidRPr="00D32C1D">
              <w:rPr>
                <w:rFonts w:ascii="Book Antiqua" w:hAnsi="Book Antiqua"/>
                <w:sz w:val="24"/>
                <w:szCs w:val="24"/>
              </w:rPr>
              <w:t xml:space="preserve">What is the ruling on making a vow in an </w:t>
            </w:r>
            <w:r w:rsidRPr="00D32C1D">
              <w:rPr>
                <w:rFonts w:ascii="Book Antiqua" w:hAnsi="Book Antiqua"/>
                <w:i/>
                <w:iCs/>
                <w:sz w:val="24"/>
                <w:szCs w:val="24"/>
              </w:rPr>
              <w:t>al-Qardh</w:t>
            </w:r>
            <w:r w:rsidRPr="00D32C1D">
              <w:rPr>
                <w:rFonts w:ascii="Book Antiqua" w:hAnsi="Book Antiqua"/>
                <w:sz w:val="24"/>
                <w:szCs w:val="24"/>
              </w:rPr>
              <w:t xml:space="preserve"> contract with the aim of obtaining additional funds</w:t>
            </w:r>
          </w:p>
        </w:tc>
        <w:tc>
          <w:tcPr>
            <w:tcW w:w="3544" w:type="dxa"/>
          </w:tcPr>
          <w:p w:rsidR="00B17E92" w:rsidRPr="00B17E92" w:rsidRDefault="00B17E92" w:rsidP="00B17E92">
            <w:pPr>
              <w:pStyle w:val="TableParagraph"/>
              <w:ind w:left="127" w:right="115"/>
              <w:jc w:val="both"/>
              <w:rPr>
                <w:rFonts w:ascii="Book Antiqua" w:hAnsi="Book Antiqua"/>
                <w:i/>
                <w:iCs/>
              </w:rPr>
            </w:pPr>
            <w:r w:rsidRPr="00B17E92">
              <w:rPr>
                <w:rFonts w:ascii="Book Antiqua" w:hAnsi="Book Antiqua"/>
                <w:i/>
                <w:iCs/>
              </w:rPr>
              <w:t>In fiqh dhohir, it is permissible and gets the reward of shodaqoh.</w:t>
            </w:r>
          </w:p>
          <w:p w:rsidR="00F52291" w:rsidRPr="001038BB" w:rsidRDefault="00B17E92" w:rsidP="00B17E92">
            <w:pPr>
              <w:pStyle w:val="TableParagraph"/>
              <w:ind w:left="127" w:right="115"/>
              <w:jc w:val="both"/>
              <w:rPr>
                <w:rFonts w:ascii="Book Antiqua" w:hAnsi="Book Antiqua"/>
                <w:lang w:val="id-ID"/>
              </w:rPr>
            </w:pPr>
            <w:r w:rsidRPr="00B17E92">
              <w:rPr>
                <w:rFonts w:ascii="Book Antiqua" w:hAnsi="Book Antiqua"/>
                <w:i/>
                <w:iCs/>
              </w:rPr>
              <w:t>In tasawwuf fiqh, it is not allowed.</w:t>
            </w:r>
          </w:p>
        </w:tc>
      </w:tr>
    </w:tbl>
    <w:p w:rsidR="00A024BE" w:rsidRDefault="00A024BE" w:rsidP="00A024BE">
      <w:pPr>
        <w:pStyle w:val="ListParagraph"/>
        <w:tabs>
          <w:tab w:val="left" w:pos="270"/>
        </w:tabs>
        <w:spacing w:after="0" w:line="240" w:lineRule="auto"/>
        <w:ind w:left="990"/>
        <w:jc w:val="both"/>
        <w:rPr>
          <w:rFonts w:ascii="Book Antiqua" w:hAnsi="Book Antiqua" w:cs="Times New Roman"/>
          <w:sz w:val="24"/>
          <w:szCs w:val="24"/>
          <w:lang w:val="id-ID"/>
        </w:rPr>
      </w:pPr>
    </w:p>
    <w:p w:rsidR="00A024BE" w:rsidRDefault="00A024BE" w:rsidP="00A024BE">
      <w:pPr>
        <w:pStyle w:val="ListParagraph"/>
        <w:tabs>
          <w:tab w:val="left" w:pos="270"/>
        </w:tabs>
        <w:spacing w:after="0" w:line="240" w:lineRule="auto"/>
        <w:ind w:left="990"/>
        <w:jc w:val="both"/>
        <w:rPr>
          <w:rFonts w:ascii="Book Antiqua" w:hAnsi="Book Antiqua" w:cs="Times New Roman"/>
          <w:sz w:val="24"/>
          <w:szCs w:val="24"/>
          <w:lang w:val="id-ID"/>
        </w:rPr>
      </w:pPr>
    </w:p>
    <w:p w:rsidR="00A024BE" w:rsidRDefault="00A024BE" w:rsidP="00A024BE">
      <w:pPr>
        <w:pStyle w:val="ListParagraph"/>
        <w:tabs>
          <w:tab w:val="left" w:pos="270"/>
        </w:tabs>
        <w:spacing w:after="0" w:line="240" w:lineRule="auto"/>
        <w:ind w:left="990"/>
        <w:jc w:val="both"/>
        <w:rPr>
          <w:rFonts w:ascii="Book Antiqua" w:hAnsi="Book Antiqua" w:cs="Times New Roman"/>
          <w:sz w:val="24"/>
          <w:szCs w:val="24"/>
          <w:lang w:val="id-ID"/>
        </w:rPr>
      </w:pPr>
    </w:p>
    <w:p w:rsidR="00A024BE" w:rsidRDefault="00A024BE" w:rsidP="00A024BE">
      <w:pPr>
        <w:pStyle w:val="ListParagraph"/>
        <w:tabs>
          <w:tab w:val="left" w:pos="270"/>
        </w:tabs>
        <w:spacing w:after="0" w:line="240" w:lineRule="auto"/>
        <w:ind w:left="990"/>
        <w:jc w:val="both"/>
        <w:rPr>
          <w:rFonts w:ascii="Book Antiqua" w:hAnsi="Book Antiqua" w:cs="Times New Roman"/>
          <w:sz w:val="24"/>
          <w:szCs w:val="24"/>
          <w:lang w:val="id-ID"/>
        </w:rPr>
      </w:pPr>
    </w:p>
    <w:p w:rsidR="00A024BE" w:rsidRDefault="00A024BE" w:rsidP="00A024BE">
      <w:pPr>
        <w:pStyle w:val="ListParagraph"/>
        <w:tabs>
          <w:tab w:val="left" w:pos="270"/>
        </w:tabs>
        <w:spacing w:after="0" w:line="240" w:lineRule="auto"/>
        <w:ind w:left="990"/>
        <w:jc w:val="both"/>
        <w:rPr>
          <w:rFonts w:ascii="Book Antiqua" w:hAnsi="Book Antiqua" w:cs="Times New Roman"/>
          <w:sz w:val="24"/>
          <w:szCs w:val="24"/>
          <w:lang w:val="id-ID"/>
        </w:rPr>
      </w:pPr>
    </w:p>
    <w:p w:rsidR="00A46B30" w:rsidRPr="001038BB" w:rsidRDefault="00A46B30" w:rsidP="00A909E6">
      <w:pPr>
        <w:pStyle w:val="ListParagraph"/>
        <w:numPr>
          <w:ilvl w:val="1"/>
          <w:numId w:val="55"/>
        </w:numPr>
        <w:tabs>
          <w:tab w:val="left" w:pos="270"/>
        </w:tabs>
        <w:spacing w:after="0" w:line="240" w:lineRule="auto"/>
        <w:ind w:left="990" w:hanging="980"/>
        <w:jc w:val="both"/>
        <w:rPr>
          <w:rFonts w:ascii="Book Antiqua" w:hAnsi="Book Antiqua" w:cs="Times New Roman"/>
          <w:sz w:val="24"/>
          <w:szCs w:val="24"/>
          <w:lang w:val="id-ID"/>
        </w:rPr>
      </w:pPr>
      <w:r w:rsidRPr="001038BB">
        <w:rPr>
          <w:rFonts w:ascii="Book Antiqua" w:hAnsi="Book Antiqua" w:cs="Times New Roman"/>
          <w:sz w:val="24"/>
          <w:szCs w:val="24"/>
          <w:lang w:val="id-ID"/>
        </w:rPr>
        <w:t>Dr. HM. Ilham Wahyudi, S.E.I., M.E.I.</w:t>
      </w:r>
    </w:p>
    <w:tbl>
      <w:tblPr>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
        <w:gridCol w:w="1997"/>
        <w:gridCol w:w="2551"/>
        <w:gridCol w:w="3544"/>
      </w:tblGrid>
      <w:tr w:rsidR="00A46B30" w:rsidRPr="001038BB" w:rsidTr="00A024BE">
        <w:trPr>
          <w:trHeight w:val="553"/>
        </w:trPr>
        <w:tc>
          <w:tcPr>
            <w:tcW w:w="555" w:type="dxa"/>
            <w:shd w:val="clear" w:color="auto" w:fill="8EAADB"/>
            <w:vAlign w:val="center"/>
            <w:hideMark/>
          </w:tcPr>
          <w:p w:rsidR="00A46B30" w:rsidRPr="001038BB" w:rsidRDefault="00A46B30" w:rsidP="00A024BE">
            <w:pPr>
              <w:pStyle w:val="TableParagraph"/>
              <w:ind w:left="92" w:right="87"/>
              <w:jc w:val="center"/>
              <w:rPr>
                <w:rFonts w:ascii="Book Antiqua" w:hAnsi="Book Antiqua"/>
                <w:b/>
              </w:rPr>
            </w:pPr>
            <w:r w:rsidRPr="001038BB">
              <w:rPr>
                <w:rFonts w:ascii="Book Antiqua" w:hAnsi="Book Antiqua"/>
                <w:b/>
              </w:rPr>
              <w:t>No.</w:t>
            </w:r>
          </w:p>
        </w:tc>
        <w:tc>
          <w:tcPr>
            <w:tcW w:w="1997" w:type="dxa"/>
            <w:shd w:val="clear" w:color="auto" w:fill="8EAADB"/>
            <w:vAlign w:val="center"/>
            <w:hideMark/>
          </w:tcPr>
          <w:p w:rsidR="00A46B30" w:rsidRPr="001038BB" w:rsidRDefault="00A024BE" w:rsidP="00A024BE">
            <w:pPr>
              <w:pStyle w:val="TableParagraph"/>
              <w:ind w:right="133"/>
              <w:jc w:val="center"/>
              <w:rPr>
                <w:rFonts w:ascii="Book Antiqua" w:hAnsi="Book Antiqua"/>
                <w:b/>
              </w:rPr>
            </w:pPr>
            <w:r>
              <w:rPr>
                <w:rFonts w:ascii="Book Antiqua" w:hAnsi="Book Antiqua"/>
                <w:b/>
              </w:rPr>
              <w:t>Name of Informant</w:t>
            </w:r>
          </w:p>
        </w:tc>
        <w:tc>
          <w:tcPr>
            <w:tcW w:w="2551" w:type="dxa"/>
            <w:shd w:val="clear" w:color="auto" w:fill="8EAADB"/>
            <w:vAlign w:val="center"/>
            <w:hideMark/>
          </w:tcPr>
          <w:p w:rsidR="00A46B30" w:rsidRPr="001038BB" w:rsidRDefault="00A024BE" w:rsidP="00A024BE">
            <w:pPr>
              <w:pStyle w:val="TableParagraph"/>
              <w:jc w:val="center"/>
              <w:rPr>
                <w:rFonts w:ascii="Book Antiqua" w:hAnsi="Book Antiqua"/>
                <w:b/>
                <w:lang w:val="id-ID"/>
              </w:rPr>
            </w:pPr>
            <w:r>
              <w:rPr>
                <w:rFonts w:ascii="Book Antiqua" w:hAnsi="Book Antiqua"/>
                <w:b/>
                <w:lang w:val="id-ID"/>
              </w:rPr>
              <w:t>Queation</w:t>
            </w:r>
          </w:p>
        </w:tc>
        <w:tc>
          <w:tcPr>
            <w:tcW w:w="3544" w:type="dxa"/>
            <w:shd w:val="clear" w:color="auto" w:fill="8EAADB"/>
            <w:vAlign w:val="center"/>
          </w:tcPr>
          <w:p w:rsidR="00A46B30" w:rsidRPr="001038BB" w:rsidRDefault="00A024BE" w:rsidP="00A024BE">
            <w:pPr>
              <w:pStyle w:val="TableParagraph"/>
              <w:ind w:left="141" w:hanging="2"/>
              <w:jc w:val="center"/>
              <w:rPr>
                <w:rFonts w:ascii="Book Antiqua" w:hAnsi="Book Antiqua"/>
                <w:b/>
                <w:lang w:val="id-ID"/>
              </w:rPr>
            </w:pPr>
            <w:r>
              <w:rPr>
                <w:rFonts w:ascii="Book Antiqua" w:hAnsi="Book Antiqua"/>
                <w:b/>
                <w:lang w:val="id-ID"/>
              </w:rPr>
              <w:t>Answer</w:t>
            </w:r>
          </w:p>
        </w:tc>
      </w:tr>
      <w:tr w:rsidR="00F52291" w:rsidRPr="001038BB" w:rsidTr="00461BE1">
        <w:trPr>
          <w:trHeight w:val="864"/>
        </w:trPr>
        <w:tc>
          <w:tcPr>
            <w:tcW w:w="555" w:type="dxa"/>
            <w:vMerge w:val="restart"/>
            <w:hideMark/>
          </w:tcPr>
          <w:p w:rsidR="00F52291" w:rsidRPr="001038BB" w:rsidRDefault="00F52291" w:rsidP="00065C87">
            <w:pPr>
              <w:pStyle w:val="TableParagraph"/>
              <w:ind w:left="92" w:right="87"/>
              <w:jc w:val="center"/>
              <w:rPr>
                <w:rFonts w:ascii="Book Antiqua" w:hAnsi="Book Antiqua"/>
              </w:rPr>
            </w:pPr>
            <w:r w:rsidRPr="001038BB">
              <w:rPr>
                <w:rFonts w:ascii="Book Antiqua" w:hAnsi="Book Antiqua"/>
              </w:rPr>
              <w:t>1.</w:t>
            </w:r>
          </w:p>
        </w:tc>
        <w:tc>
          <w:tcPr>
            <w:tcW w:w="1997" w:type="dxa"/>
            <w:vMerge w:val="restart"/>
            <w:hideMark/>
          </w:tcPr>
          <w:p w:rsidR="00F52291" w:rsidRPr="001038BB" w:rsidRDefault="00F52291" w:rsidP="00065C87">
            <w:pPr>
              <w:pStyle w:val="TableParagraph"/>
              <w:tabs>
                <w:tab w:val="left" w:pos="765"/>
              </w:tabs>
              <w:ind w:left="105" w:right="94"/>
              <w:rPr>
                <w:rFonts w:ascii="Book Antiqua" w:hAnsi="Book Antiqua"/>
                <w:lang w:val="id-ID"/>
              </w:rPr>
            </w:pPr>
            <w:r w:rsidRPr="001038BB">
              <w:rPr>
                <w:rFonts w:ascii="Book Antiqua" w:hAnsi="Book Antiqua"/>
                <w:lang w:val="id-ID"/>
              </w:rPr>
              <w:t>Dr. HM Ilham Wahyudi, S.E.I., M.E.I.</w:t>
            </w:r>
          </w:p>
        </w:tc>
        <w:tc>
          <w:tcPr>
            <w:tcW w:w="2551" w:type="dxa"/>
            <w:hideMark/>
          </w:tcPr>
          <w:p w:rsidR="00F52291" w:rsidRPr="001038BB" w:rsidRDefault="00B17E92" w:rsidP="00065C87">
            <w:pPr>
              <w:pStyle w:val="TableParagraph"/>
              <w:ind w:left="108" w:right="92"/>
              <w:rPr>
                <w:rFonts w:ascii="Book Antiqua" w:hAnsi="Book Antiqua"/>
              </w:rPr>
            </w:pPr>
            <w:r w:rsidRPr="00D32C1D">
              <w:rPr>
                <w:rFonts w:ascii="Book Antiqua" w:hAnsi="Book Antiqua"/>
              </w:rPr>
              <w:t xml:space="preserve">The position of the </w:t>
            </w:r>
            <w:r w:rsidRPr="00D32C1D">
              <w:rPr>
                <w:rFonts w:ascii="Book Antiqua" w:hAnsi="Book Antiqua"/>
                <w:i/>
                <w:iCs/>
              </w:rPr>
              <w:t>al-Qardh</w:t>
            </w:r>
            <w:r w:rsidRPr="00D32C1D">
              <w:rPr>
                <w:rFonts w:ascii="Book Antiqua" w:hAnsi="Book Antiqua"/>
              </w:rPr>
              <w:t xml:space="preserve"> contract is a social contract or tabarru' what is business</w:t>
            </w:r>
          </w:p>
        </w:tc>
        <w:tc>
          <w:tcPr>
            <w:tcW w:w="3544" w:type="dxa"/>
          </w:tcPr>
          <w:p w:rsidR="00F52291" w:rsidRPr="001038BB" w:rsidRDefault="00CB23A4" w:rsidP="00065C87">
            <w:pPr>
              <w:pStyle w:val="TableParagraph"/>
              <w:ind w:left="127" w:right="115"/>
              <w:jc w:val="both"/>
              <w:rPr>
                <w:rFonts w:ascii="Book Antiqua" w:hAnsi="Book Antiqua"/>
                <w:i/>
                <w:iCs/>
                <w:color w:val="000000" w:themeColor="text1"/>
              </w:rPr>
            </w:pPr>
            <w:r w:rsidRPr="00CB23A4">
              <w:rPr>
                <w:rFonts w:ascii="Book Antiqua" w:hAnsi="Book Antiqua"/>
                <w:i/>
                <w:iCs/>
                <w:color w:val="000000" w:themeColor="text1"/>
              </w:rPr>
              <w:t>Including social contracts / tabarru'</w:t>
            </w:r>
          </w:p>
        </w:tc>
      </w:tr>
      <w:tr w:rsidR="00F52291" w:rsidRPr="001038BB" w:rsidTr="00461BE1">
        <w:trPr>
          <w:trHeight w:val="841"/>
        </w:trPr>
        <w:tc>
          <w:tcPr>
            <w:tcW w:w="555" w:type="dxa"/>
            <w:vMerge/>
          </w:tcPr>
          <w:p w:rsidR="00F52291" w:rsidRPr="001038BB" w:rsidRDefault="00F52291" w:rsidP="00065C87">
            <w:pPr>
              <w:pStyle w:val="TableParagraph"/>
              <w:ind w:left="92" w:right="87"/>
              <w:jc w:val="center"/>
              <w:rPr>
                <w:rFonts w:ascii="Book Antiqua" w:hAnsi="Book Antiqua"/>
              </w:rPr>
            </w:pPr>
          </w:p>
        </w:tc>
        <w:tc>
          <w:tcPr>
            <w:tcW w:w="1997" w:type="dxa"/>
            <w:vMerge/>
          </w:tcPr>
          <w:p w:rsidR="00F52291" w:rsidRPr="001038BB" w:rsidRDefault="00F52291" w:rsidP="00065C87">
            <w:pPr>
              <w:pStyle w:val="TableParagraph"/>
              <w:ind w:left="105" w:right="95"/>
              <w:rPr>
                <w:rFonts w:ascii="Book Antiqua" w:hAnsi="Book Antiqua"/>
                <w:lang w:val="id-ID"/>
              </w:rPr>
            </w:pPr>
          </w:p>
        </w:tc>
        <w:tc>
          <w:tcPr>
            <w:tcW w:w="2551" w:type="dxa"/>
            <w:hideMark/>
          </w:tcPr>
          <w:p w:rsidR="00F52291" w:rsidRPr="001038BB" w:rsidRDefault="00B17E92" w:rsidP="00065C87">
            <w:pPr>
              <w:pStyle w:val="TableParagraph"/>
              <w:ind w:left="108"/>
              <w:rPr>
                <w:rFonts w:ascii="Book Antiqua" w:hAnsi="Book Antiqua"/>
                <w:lang w:val="id-ID"/>
              </w:rPr>
            </w:pPr>
            <w:r w:rsidRPr="00D32C1D">
              <w:rPr>
                <w:rFonts w:ascii="Book Antiqua" w:hAnsi="Book Antiqua"/>
                <w:sz w:val="24"/>
                <w:szCs w:val="24"/>
              </w:rPr>
              <w:t xml:space="preserve">What are the consequences of the </w:t>
            </w:r>
            <w:r w:rsidRPr="00D32C1D">
              <w:rPr>
                <w:rFonts w:ascii="Book Antiqua" w:hAnsi="Book Antiqua"/>
                <w:i/>
                <w:iCs/>
                <w:sz w:val="24"/>
                <w:szCs w:val="24"/>
              </w:rPr>
              <w:t>al-qardh</w:t>
            </w:r>
            <w:r w:rsidRPr="00D32C1D">
              <w:rPr>
                <w:rFonts w:ascii="Book Antiqua" w:hAnsi="Book Antiqua"/>
                <w:sz w:val="24"/>
                <w:szCs w:val="24"/>
              </w:rPr>
              <w:t xml:space="preserve"> contract as a social contract</w:t>
            </w:r>
          </w:p>
        </w:tc>
        <w:tc>
          <w:tcPr>
            <w:tcW w:w="3544" w:type="dxa"/>
          </w:tcPr>
          <w:p w:rsidR="00F52291" w:rsidRPr="001038BB" w:rsidRDefault="00B17E92" w:rsidP="00065C87">
            <w:pPr>
              <w:pStyle w:val="TableParagraph"/>
              <w:ind w:left="127" w:right="115"/>
              <w:jc w:val="both"/>
              <w:rPr>
                <w:rFonts w:ascii="Book Antiqua" w:hAnsi="Book Antiqua"/>
                <w:i/>
                <w:iCs/>
                <w:lang w:val="id-ID"/>
              </w:rPr>
            </w:pPr>
            <w:r w:rsidRPr="00B17E92">
              <w:rPr>
                <w:rFonts w:ascii="Book Antiqua" w:hAnsi="Book Antiqua"/>
                <w:i/>
                <w:iCs/>
              </w:rPr>
              <w:t>no additional or profit</w:t>
            </w:r>
          </w:p>
        </w:tc>
      </w:tr>
      <w:tr w:rsidR="00F52291" w:rsidRPr="001038BB" w:rsidTr="00461BE1">
        <w:trPr>
          <w:trHeight w:val="844"/>
        </w:trPr>
        <w:tc>
          <w:tcPr>
            <w:tcW w:w="555" w:type="dxa"/>
            <w:vMerge/>
          </w:tcPr>
          <w:p w:rsidR="00F52291" w:rsidRPr="001038BB" w:rsidRDefault="00F52291" w:rsidP="00065C87">
            <w:pPr>
              <w:pStyle w:val="TableParagraph"/>
              <w:ind w:left="92" w:right="87"/>
              <w:jc w:val="center"/>
              <w:rPr>
                <w:rFonts w:ascii="Book Antiqua" w:hAnsi="Book Antiqua"/>
              </w:rPr>
            </w:pPr>
          </w:p>
        </w:tc>
        <w:tc>
          <w:tcPr>
            <w:tcW w:w="1997" w:type="dxa"/>
            <w:vMerge/>
          </w:tcPr>
          <w:p w:rsidR="00F52291" w:rsidRPr="001038BB" w:rsidRDefault="00F52291" w:rsidP="00065C87">
            <w:pPr>
              <w:pStyle w:val="TableParagraph"/>
              <w:ind w:left="105"/>
              <w:rPr>
                <w:rFonts w:ascii="Book Antiqua" w:hAnsi="Book Antiqua"/>
                <w:lang w:val="id-ID"/>
              </w:rPr>
            </w:pPr>
          </w:p>
        </w:tc>
        <w:tc>
          <w:tcPr>
            <w:tcW w:w="2551" w:type="dxa"/>
            <w:hideMark/>
          </w:tcPr>
          <w:p w:rsidR="00F52291" w:rsidRPr="001038BB" w:rsidRDefault="00B17E92" w:rsidP="00065C87">
            <w:pPr>
              <w:pStyle w:val="TableParagraph"/>
              <w:tabs>
                <w:tab w:val="left" w:pos="1558"/>
              </w:tabs>
              <w:ind w:left="108" w:right="93"/>
              <w:rPr>
                <w:rFonts w:ascii="Book Antiqua" w:hAnsi="Book Antiqua"/>
                <w:lang w:val="id-ID"/>
              </w:rPr>
            </w:pPr>
            <w:r w:rsidRPr="00D32C1D">
              <w:rPr>
                <w:rFonts w:ascii="Book Antiqua" w:hAnsi="Book Antiqua"/>
                <w:sz w:val="24"/>
                <w:szCs w:val="24"/>
              </w:rPr>
              <w:t xml:space="preserve">Can the BMT Cooperative apply aqad </w:t>
            </w:r>
            <w:r w:rsidRPr="00D32C1D">
              <w:rPr>
                <w:rFonts w:ascii="Book Antiqua" w:hAnsi="Book Antiqua"/>
                <w:i/>
                <w:iCs/>
                <w:sz w:val="24"/>
                <w:szCs w:val="24"/>
              </w:rPr>
              <w:t>al-Qardh</w:t>
            </w:r>
          </w:p>
        </w:tc>
        <w:tc>
          <w:tcPr>
            <w:tcW w:w="3544" w:type="dxa"/>
          </w:tcPr>
          <w:p w:rsidR="00F52291" w:rsidRPr="001038BB" w:rsidRDefault="00B17E92" w:rsidP="00065C87">
            <w:pPr>
              <w:pStyle w:val="TableParagraph"/>
              <w:ind w:left="127" w:right="115"/>
              <w:jc w:val="both"/>
              <w:rPr>
                <w:rFonts w:ascii="Book Antiqua" w:hAnsi="Book Antiqua"/>
                <w:lang w:val="id-ID"/>
              </w:rPr>
            </w:pPr>
            <w:r w:rsidRPr="00B17E92">
              <w:rPr>
                <w:rFonts w:ascii="Book Antiqua" w:hAnsi="Book Antiqua"/>
                <w:i/>
                <w:iCs/>
              </w:rPr>
              <w:t>can be a suitable contract solution for members</w:t>
            </w:r>
          </w:p>
        </w:tc>
      </w:tr>
      <w:tr w:rsidR="00F52291" w:rsidRPr="001038BB" w:rsidTr="00461BE1">
        <w:trPr>
          <w:trHeight w:val="700"/>
        </w:trPr>
        <w:tc>
          <w:tcPr>
            <w:tcW w:w="555" w:type="dxa"/>
            <w:vMerge/>
          </w:tcPr>
          <w:p w:rsidR="00F52291" w:rsidRPr="001038BB" w:rsidRDefault="00F52291" w:rsidP="00065C87">
            <w:pPr>
              <w:pStyle w:val="TableParagraph"/>
              <w:ind w:left="92" w:right="87"/>
              <w:jc w:val="center"/>
              <w:rPr>
                <w:rFonts w:ascii="Book Antiqua" w:hAnsi="Book Antiqua"/>
              </w:rPr>
            </w:pPr>
          </w:p>
        </w:tc>
        <w:tc>
          <w:tcPr>
            <w:tcW w:w="1997" w:type="dxa"/>
            <w:vMerge/>
          </w:tcPr>
          <w:p w:rsidR="00F52291" w:rsidRPr="001038BB" w:rsidRDefault="00F52291" w:rsidP="00065C87">
            <w:pPr>
              <w:pStyle w:val="TableParagraph"/>
              <w:ind w:left="105"/>
              <w:rPr>
                <w:rFonts w:ascii="Book Antiqua" w:hAnsi="Book Antiqua"/>
                <w:lang w:val="id-ID"/>
              </w:rPr>
            </w:pPr>
          </w:p>
        </w:tc>
        <w:tc>
          <w:tcPr>
            <w:tcW w:w="2551" w:type="dxa"/>
            <w:hideMark/>
          </w:tcPr>
          <w:p w:rsidR="00F52291" w:rsidRPr="001038BB" w:rsidRDefault="00B17E92" w:rsidP="00065C87">
            <w:pPr>
              <w:pStyle w:val="TableParagraph"/>
              <w:tabs>
                <w:tab w:val="left" w:pos="1558"/>
              </w:tabs>
              <w:ind w:left="108" w:right="93"/>
              <w:rPr>
                <w:rFonts w:ascii="Book Antiqua" w:hAnsi="Book Antiqua"/>
                <w:lang w:val="id-ID"/>
              </w:rPr>
            </w:pPr>
            <w:r w:rsidRPr="00D32C1D">
              <w:rPr>
                <w:rFonts w:ascii="Book Antiqua" w:hAnsi="Book Antiqua"/>
                <w:sz w:val="24"/>
                <w:szCs w:val="24"/>
              </w:rPr>
              <w:t xml:space="preserve">What is the ruling on asking for more in an </w:t>
            </w:r>
            <w:r w:rsidRPr="00D32C1D">
              <w:rPr>
                <w:rFonts w:ascii="Book Antiqua" w:hAnsi="Book Antiqua"/>
                <w:i/>
                <w:iCs/>
                <w:sz w:val="24"/>
                <w:szCs w:val="24"/>
              </w:rPr>
              <w:t>al-Qardh</w:t>
            </w:r>
            <w:r w:rsidRPr="00D32C1D">
              <w:rPr>
                <w:rFonts w:ascii="Book Antiqua" w:hAnsi="Book Antiqua"/>
                <w:sz w:val="24"/>
                <w:szCs w:val="24"/>
              </w:rPr>
              <w:t xml:space="preserve"> contract</w:t>
            </w:r>
          </w:p>
        </w:tc>
        <w:tc>
          <w:tcPr>
            <w:tcW w:w="3544" w:type="dxa"/>
          </w:tcPr>
          <w:p w:rsidR="00F52291" w:rsidRPr="001038BB" w:rsidRDefault="00B17E92" w:rsidP="00065C87">
            <w:pPr>
              <w:pStyle w:val="TableParagraph"/>
              <w:ind w:left="127" w:right="115"/>
              <w:jc w:val="both"/>
              <w:rPr>
                <w:rFonts w:ascii="Book Antiqua" w:hAnsi="Book Antiqua"/>
                <w:lang w:val="id-ID"/>
              </w:rPr>
            </w:pPr>
            <w:r w:rsidRPr="00B17E92">
              <w:rPr>
                <w:rFonts w:ascii="Book Antiqua" w:hAnsi="Book Antiqua"/>
                <w:i/>
                <w:iCs/>
              </w:rPr>
              <w:t>It is permissible, in the way that the forest person makes a vow.</w:t>
            </w:r>
          </w:p>
        </w:tc>
      </w:tr>
      <w:tr w:rsidR="00F52291" w:rsidRPr="001038BB" w:rsidTr="00461BE1">
        <w:trPr>
          <w:trHeight w:val="838"/>
        </w:trPr>
        <w:tc>
          <w:tcPr>
            <w:tcW w:w="555" w:type="dxa"/>
            <w:vMerge/>
          </w:tcPr>
          <w:p w:rsidR="00F52291" w:rsidRPr="001038BB" w:rsidRDefault="00F52291" w:rsidP="00065C87">
            <w:pPr>
              <w:pStyle w:val="TableParagraph"/>
              <w:ind w:left="92" w:right="87"/>
              <w:jc w:val="center"/>
              <w:rPr>
                <w:rFonts w:ascii="Book Antiqua" w:hAnsi="Book Antiqua"/>
              </w:rPr>
            </w:pPr>
          </w:p>
        </w:tc>
        <w:tc>
          <w:tcPr>
            <w:tcW w:w="1997" w:type="dxa"/>
            <w:vMerge/>
          </w:tcPr>
          <w:p w:rsidR="00F52291" w:rsidRPr="001038BB" w:rsidRDefault="00F52291" w:rsidP="00065C87">
            <w:pPr>
              <w:pStyle w:val="TableParagraph"/>
              <w:ind w:left="105"/>
              <w:rPr>
                <w:rFonts w:ascii="Book Antiqua" w:hAnsi="Book Antiqua"/>
                <w:lang w:val="id-ID"/>
              </w:rPr>
            </w:pPr>
          </w:p>
        </w:tc>
        <w:tc>
          <w:tcPr>
            <w:tcW w:w="2551" w:type="dxa"/>
            <w:hideMark/>
          </w:tcPr>
          <w:p w:rsidR="00F52291" w:rsidRPr="001038BB" w:rsidRDefault="00B17E92" w:rsidP="00065C87">
            <w:pPr>
              <w:pStyle w:val="TableParagraph"/>
              <w:tabs>
                <w:tab w:val="left" w:pos="1558"/>
              </w:tabs>
              <w:ind w:left="108" w:right="93"/>
              <w:rPr>
                <w:rFonts w:ascii="Book Antiqua" w:hAnsi="Book Antiqua"/>
                <w:lang w:val="id-ID"/>
              </w:rPr>
            </w:pPr>
            <w:r w:rsidRPr="00D32C1D">
              <w:rPr>
                <w:rFonts w:ascii="Book Antiqua" w:hAnsi="Book Antiqua"/>
                <w:sz w:val="24"/>
                <w:szCs w:val="24"/>
              </w:rPr>
              <w:t xml:space="preserve">What is the ruling on making a vow in an </w:t>
            </w:r>
            <w:r w:rsidRPr="00D32C1D">
              <w:rPr>
                <w:rFonts w:ascii="Book Antiqua" w:hAnsi="Book Antiqua"/>
                <w:i/>
                <w:iCs/>
                <w:sz w:val="24"/>
                <w:szCs w:val="24"/>
              </w:rPr>
              <w:t>al-Qardh</w:t>
            </w:r>
            <w:r w:rsidRPr="00D32C1D">
              <w:rPr>
                <w:rFonts w:ascii="Book Antiqua" w:hAnsi="Book Antiqua"/>
                <w:sz w:val="24"/>
                <w:szCs w:val="24"/>
              </w:rPr>
              <w:t xml:space="preserve"> contract with the aim of obtaining additional funds</w:t>
            </w:r>
          </w:p>
        </w:tc>
        <w:tc>
          <w:tcPr>
            <w:tcW w:w="3544" w:type="dxa"/>
          </w:tcPr>
          <w:p w:rsidR="00F52291" w:rsidRPr="001038BB" w:rsidRDefault="00B17E92" w:rsidP="00065C87">
            <w:pPr>
              <w:pStyle w:val="TableParagraph"/>
              <w:ind w:left="127" w:right="115"/>
              <w:jc w:val="both"/>
              <w:rPr>
                <w:rFonts w:ascii="Book Antiqua" w:hAnsi="Book Antiqua"/>
                <w:lang w:val="id-ID"/>
              </w:rPr>
            </w:pPr>
            <w:r w:rsidRPr="00B17E92">
              <w:rPr>
                <w:rFonts w:ascii="Book Antiqua" w:hAnsi="Book Antiqua"/>
                <w:i/>
                <w:iCs/>
              </w:rPr>
              <w:t>It's okay and you get the reward of shodaqoh</w:t>
            </w:r>
          </w:p>
        </w:tc>
      </w:tr>
    </w:tbl>
    <w:p w:rsidR="0096430A" w:rsidRPr="001038BB" w:rsidRDefault="0096430A" w:rsidP="00292F38">
      <w:pPr>
        <w:pStyle w:val="ListParagraph"/>
        <w:tabs>
          <w:tab w:val="left" w:pos="450"/>
        </w:tabs>
        <w:spacing w:after="0" w:line="240" w:lineRule="auto"/>
        <w:jc w:val="both"/>
        <w:rPr>
          <w:rFonts w:ascii="Book Antiqua" w:hAnsi="Book Antiqua" w:cs="Times New Roman"/>
          <w:b/>
          <w:sz w:val="24"/>
          <w:szCs w:val="24"/>
          <w:lang w:val="sv-SE"/>
        </w:rPr>
      </w:pPr>
    </w:p>
    <w:p w:rsidR="004C62A3" w:rsidRPr="001038BB" w:rsidRDefault="00CB23A4" w:rsidP="0096430A">
      <w:pPr>
        <w:pStyle w:val="ListParagraph"/>
        <w:tabs>
          <w:tab w:val="left" w:pos="450"/>
        </w:tabs>
        <w:spacing w:after="0" w:line="240" w:lineRule="auto"/>
        <w:ind w:left="0"/>
        <w:jc w:val="both"/>
        <w:rPr>
          <w:rFonts w:ascii="Book Antiqua" w:hAnsi="Book Antiqua" w:cs="Times New Roman"/>
          <w:b/>
          <w:sz w:val="24"/>
          <w:szCs w:val="24"/>
          <w:u w:val="single"/>
          <w:lang w:val="es-ES"/>
        </w:rPr>
      </w:pPr>
      <w:r w:rsidRPr="00CB23A4">
        <w:rPr>
          <w:rFonts w:ascii="Book Antiqua" w:hAnsi="Book Antiqua" w:cs="Times New Roman"/>
          <w:b/>
          <w:sz w:val="24"/>
          <w:szCs w:val="24"/>
          <w:lang w:val="sv-SE"/>
        </w:rPr>
        <w:t xml:space="preserve">The view of Islamic scholars (kiai) on the additional profit of </w:t>
      </w:r>
      <w:r w:rsidRPr="00CB23A4">
        <w:rPr>
          <w:rFonts w:ascii="Book Antiqua" w:hAnsi="Book Antiqua" w:cs="Times New Roman"/>
          <w:b/>
          <w:i/>
          <w:iCs/>
          <w:sz w:val="24"/>
          <w:szCs w:val="24"/>
          <w:lang w:val="sv-SE"/>
        </w:rPr>
        <w:t>al-Qardh</w:t>
      </w:r>
      <w:r w:rsidRPr="00CB23A4">
        <w:rPr>
          <w:rFonts w:ascii="Book Antiqua" w:hAnsi="Book Antiqua" w:cs="Times New Roman"/>
          <w:b/>
          <w:sz w:val="24"/>
          <w:szCs w:val="24"/>
          <w:lang w:val="sv-SE"/>
        </w:rPr>
        <w:t xml:space="preserve"> financing on the nadzar system at LKMS-BMT Pasuruan.</w:t>
      </w:r>
    </w:p>
    <w:p w:rsidR="0073744E" w:rsidRPr="001038BB" w:rsidRDefault="0073744E" w:rsidP="0096430A">
      <w:pPr>
        <w:pStyle w:val="ListParagraph"/>
        <w:tabs>
          <w:tab w:val="left" w:pos="450"/>
        </w:tabs>
        <w:spacing w:after="0" w:line="240" w:lineRule="auto"/>
        <w:ind w:left="0"/>
        <w:jc w:val="both"/>
        <w:rPr>
          <w:rFonts w:ascii="Book Antiqua" w:hAnsi="Book Antiqua" w:cs="Times New Roman"/>
          <w:sz w:val="24"/>
          <w:szCs w:val="24"/>
          <w:lang w:val="id-ID"/>
        </w:rPr>
      </w:pPr>
      <w:r w:rsidRPr="001038BB">
        <w:rPr>
          <w:rFonts w:ascii="Book Antiqua" w:hAnsi="Book Antiqua" w:cs="Times New Roman"/>
          <w:sz w:val="24"/>
          <w:szCs w:val="24"/>
          <w:lang w:val="es-ES"/>
        </w:rPr>
        <w:tab/>
      </w:r>
      <w:r w:rsidR="00CB23A4" w:rsidRPr="00CB23A4">
        <w:rPr>
          <w:rFonts w:ascii="Book Antiqua" w:hAnsi="Book Antiqua" w:cs="Times New Roman"/>
          <w:sz w:val="24"/>
          <w:szCs w:val="24"/>
          <w:lang w:val="id-ID"/>
        </w:rPr>
        <w:t>In al-Qardh contract financing applied in BMT MFIs such as the case that occurred at BMT Maslahah Sidogiri, members provide additional benefits given to BMT MFIs. What is the opinion and view of Islamic scholars (kiai) about this kind of contract practice? Can the additional profit be used as income for LKMS BMT? What if the member does not want to pay the vow that has been promised? Researchers have conducted interviews related to some of the above with several scholars (kiai) in Pasuruan, including KH Abd Ghofur:</w:t>
      </w:r>
    </w:p>
    <w:p w:rsidR="00666DF0" w:rsidRPr="001038BB" w:rsidRDefault="00576AB6" w:rsidP="00CB23A4">
      <w:pPr>
        <w:pStyle w:val="ListParagraph"/>
        <w:tabs>
          <w:tab w:val="left" w:pos="450"/>
        </w:tabs>
        <w:spacing w:line="240" w:lineRule="auto"/>
        <w:ind w:left="0"/>
        <w:jc w:val="both"/>
        <w:rPr>
          <w:rFonts w:ascii="Book Antiqua" w:hAnsi="Book Antiqua" w:cs="Times New Roman"/>
          <w:i/>
          <w:iCs/>
          <w:sz w:val="24"/>
          <w:szCs w:val="24"/>
          <w:lang w:val="id-ID"/>
        </w:rPr>
      </w:pPr>
      <w:r w:rsidRPr="001038BB">
        <w:rPr>
          <w:rFonts w:ascii="Book Antiqua" w:hAnsi="Book Antiqua" w:cs="Times New Roman"/>
          <w:sz w:val="24"/>
          <w:szCs w:val="24"/>
          <w:lang w:val="id-ID"/>
        </w:rPr>
        <w:tab/>
      </w:r>
      <w:r w:rsidR="00CB23A4" w:rsidRPr="00CB23A4">
        <w:rPr>
          <w:rFonts w:ascii="Book Antiqua" w:hAnsi="Book Antiqua" w:cs="Times New Roman"/>
          <w:i/>
          <w:iCs/>
          <w:sz w:val="24"/>
          <w:szCs w:val="24"/>
          <w:lang w:val="id-ID"/>
        </w:rPr>
        <w:t>“My opinion about the al-Qardh contract by returning more or the person who owes provides additional profit given to the BMT, the law is permissible and even sunnah for the person who owes to provide additional profit, the additional profit is in the nadzar or alms or hibbah, but this additional profit cannot be made a condition in the al-Qardh financing contract. And this profit can be recognized as income for BMT, Only the weakness of the al-Qardh contract with this vow system, members do not want to pay the vow money and simply replace it with fasting for 3 days, although the BMT is still allowed and obliged to remind and collect the vow promise. But in fiqh tasawwuf it is not allowed”</w:t>
      </w:r>
    </w:p>
    <w:p w:rsidR="00C728E0" w:rsidRPr="001038BB" w:rsidRDefault="00576AB6" w:rsidP="0096430A">
      <w:pPr>
        <w:pStyle w:val="ListParagraph"/>
        <w:tabs>
          <w:tab w:val="left" w:pos="450"/>
        </w:tabs>
        <w:spacing w:after="0" w:line="240" w:lineRule="auto"/>
        <w:ind w:left="0" w:firstLine="450"/>
        <w:jc w:val="both"/>
        <w:rPr>
          <w:rFonts w:ascii="Book Antiqua" w:hAnsi="Book Antiqua" w:cs="Times New Roman"/>
          <w:i/>
          <w:iCs/>
          <w:sz w:val="24"/>
          <w:szCs w:val="24"/>
          <w:lang w:val="id-ID"/>
        </w:rPr>
      </w:pPr>
      <w:r w:rsidRPr="001038BB">
        <w:rPr>
          <w:rFonts w:ascii="Book Antiqua" w:hAnsi="Book Antiqua" w:cs="Times New Roman"/>
          <w:sz w:val="24"/>
          <w:szCs w:val="24"/>
          <w:lang w:val="id-ID"/>
        </w:rPr>
        <w:tab/>
      </w:r>
      <w:r w:rsidR="00CB23A4" w:rsidRPr="00CB23A4">
        <w:rPr>
          <w:rFonts w:ascii="Book Antiqua" w:hAnsi="Book Antiqua" w:cs="Times New Roman"/>
          <w:sz w:val="24"/>
          <w:szCs w:val="24"/>
          <w:lang w:val="id-ID"/>
        </w:rPr>
        <w:t xml:space="preserve">According to KH Abd Ghofur's view, it is permissible for BMT members to provide additional profit in the </w:t>
      </w:r>
      <w:r w:rsidR="00CB23A4" w:rsidRPr="00CB23A4">
        <w:rPr>
          <w:rFonts w:ascii="Book Antiqua" w:hAnsi="Book Antiqua" w:cs="Times New Roman"/>
          <w:i/>
          <w:iCs/>
          <w:sz w:val="24"/>
          <w:szCs w:val="24"/>
          <w:lang w:val="id-ID"/>
        </w:rPr>
        <w:t>al-Qardh</w:t>
      </w:r>
      <w:r w:rsidR="00CB23A4" w:rsidRPr="00CB23A4">
        <w:rPr>
          <w:rFonts w:ascii="Book Antiqua" w:hAnsi="Book Antiqua" w:cs="Times New Roman"/>
          <w:sz w:val="24"/>
          <w:szCs w:val="24"/>
          <w:lang w:val="id-ID"/>
        </w:rPr>
        <w:t xml:space="preserve"> contract. The additional profit can be in the nadzar contract or alms or hibbah but what is mostly applied in LKMS-BMT is the nadzar contract. And the additional profit can be recognized as income by LKMS BMT. Not much different from his view was also conveyed by Ust.  Dr. H. Ilham Wahyudi, according to him, it is also permissible to provide additional profit in financing the </w:t>
      </w:r>
      <w:r w:rsidR="00CB23A4" w:rsidRPr="00CB23A4">
        <w:rPr>
          <w:rFonts w:ascii="Book Antiqua" w:hAnsi="Book Antiqua" w:cs="Times New Roman"/>
          <w:i/>
          <w:iCs/>
          <w:sz w:val="24"/>
          <w:szCs w:val="24"/>
          <w:lang w:val="id-ID"/>
        </w:rPr>
        <w:t>al-Qardh</w:t>
      </w:r>
      <w:r w:rsidR="00CB23A4" w:rsidRPr="00CB23A4">
        <w:rPr>
          <w:rFonts w:ascii="Book Antiqua" w:hAnsi="Book Antiqua" w:cs="Times New Roman"/>
          <w:sz w:val="24"/>
          <w:szCs w:val="24"/>
          <w:lang w:val="id-ID"/>
        </w:rPr>
        <w:t xml:space="preserve"> contract, even people who owe money by returning more will get the reward of alms.</w:t>
      </w:r>
    </w:p>
    <w:p w:rsidR="00CB23A4" w:rsidRDefault="00CB23A4" w:rsidP="0096430A">
      <w:pPr>
        <w:spacing w:after="0" w:line="240" w:lineRule="auto"/>
        <w:ind w:firstLine="562"/>
        <w:jc w:val="both"/>
        <w:rPr>
          <w:rFonts w:ascii="Book Antiqua" w:hAnsi="Book Antiqua" w:cs="Times New Roman"/>
          <w:sz w:val="24"/>
          <w:szCs w:val="24"/>
          <w:lang w:val="id-ID"/>
        </w:rPr>
      </w:pPr>
      <w:r w:rsidRPr="00CB23A4">
        <w:rPr>
          <w:rFonts w:ascii="Book Antiqua" w:hAnsi="Book Antiqua" w:cs="Times New Roman"/>
          <w:sz w:val="24"/>
          <w:szCs w:val="24"/>
          <w:lang w:val="id-ID"/>
        </w:rPr>
        <w:t xml:space="preserve">In contrast to KH Imron Mutamakkin's view, giving additional profit in an </w:t>
      </w:r>
      <w:r w:rsidRPr="00CB23A4">
        <w:rPr>
          <w:rFonts w:ascii="Book Antiqua" w:hAnsi="Book Antiqua" w:cs="Times New Roman"/>
          <w:i/>
          <w:iCs/>
          <w:sz w:val="24"/>
          <w:szCs w:val="24"/>
          <w:lang w:val="id-ID"/>
        </w:rPr>
        <w:t>al-Qardh</w:t>
      </w:r>
      <w:r w:rsidRPr="00CB23A4">
        <w:rPr>
          <w:rFonts w:ascii="Book Antiqua" w:hAnsi="Book Antiqua" w:cs="Times New Roman"/>
          <w:sz w:val="24"/>
          <w:szCs w:val="24"/>
          <w:lang w:val="id-ID"/>
        </w:rPr>
        <w:t xml:space="preserve"> contract in tashawwuf science is not permissible. So, according to KH Imron Mutamakkin's view, additional profit in an </w:t>
      </w:r>
      <w:r w:rsidRPr="00CB23A4">
        <w:rPr>
          <w:rFonts w:ascii="Book Antiqua" w:hAnsi="Book Antiqua" w:cs="Times New Roman"/>
          <w:i/>
          <w:iCs/>
          <w:sz w:val="24"/>
          <w:szCs w:val="24"/>
          <w:lang w:val="id-ID"/>
        </w:rPr>
        <w:t>al-Qardh</w:t>
      </w:r>
      <w:r w:rsidRPr="00CB23A4">
        <w:rPr>
          <w:rFonts w:ascii="Book Antiqua" w:hAnsi="Book Antiqua" w:cs="Times New Roman"/>
          <w:sz w:val="24"/>
          <w:szCs w:val="24"/>
          <w:lang w:val="id-ID"/>
        </w:rPr>
        <w:t xml:space="preserve"> contract is still haram from the point of view of inner fiqh or tashawwuf. And if the member provides additional profit, it should not be recognized as income for the BMT LKMS.</w:t>
      </w:r>
    </w:p>
    <w:p w:rsidR="004C4F63" w:rsidRPr="001038BB" w:rsidRDefault="00CB23A4" w:rsidP="0096430A">
      <w:pPr>
        <w:spacing w:after="0" w:line="240" w:lineRule="auto"/>
        <w:ind w:firstLine="562"/>
        <w:jc w:val="both"/>
        <w:rPr>
          <w:rFonts w:ascii="Book Antiqua" w:hAnsi="Book Antiqua" w:cs="Times New Roman"/>
          <w:sz w:val="24"/>
          <w:szCs w:val="24"/>
          <w:lang w:val="sv-SE"/>
        </w:rPr>
      </w:pPr>
      <w:r w:rsidRPr="00CB23A4">
        <w:rPr>
          <w:rFonts w:ascii="Book Antiqua" w:hAnsi="Book Antiqua" w:cs="Times New Roman"/>
          <w:sz w:val="24"/>
          <w:szCs w:val="24"/>
          <w:lang w:val="id-ID"/>
        </w:rPr>
        <w:t xml:space="preserve">Islamic financial institutions were present in Indonesia for the first time around 1992, and long before that conventional financial institutions had been established with the concept of credit and interest. So that to implement ideal sharia contracts is still an obstacle in itself, with the practice of the nadzar system in financing the </w:t>
      </w:r>
      <w:r w:rsidRPr="00CB23A4">
        <w:rPr>
          <w:rFonts w:ascii="Book Antiqua" w:hAnsi="Book Antiqua" w:cs="Times New Roman"/>
          <w:i/>
          <w:iCs/>
          <w:sz w:val="24"/>
          <w:szCs w:val="24"/>
          <w:lang w:val="id-ID"/>
        </w:rPr>
        <w:t>al-Qardh</w:t>
      </w:r>
      <w:r w:rsidRPr="00CB23A4">
        <w:rPr>
          <w:rFonts w:ascii="Book Antiqua" w:hAnsi="Book Antiqua" w:cs="Times New Roman"/>
          <w:sz w:val="24"/>
          <w:szCs w:val="24"/>
          <w:lang w:val="id-ID"/>
        </w:rPr>
        <w:t xml:space="preserve"> contract, this can be a solution for members (customers) and LKMS-BMT in Pasuruan to implement a sharia system and avoid usury which is forbidden by Allah SWT. According to the opinion of the Kyai Pesantren, it is permissible for the nadzar system in financing the </w:t>
      </w:r>
      <w:r w:rsidRPr="00CB23A4">
        <w:rPr>
          <w:rFonts w:ascii="Book Antiqua" w:hAnsi="Book Antiqua" w:cs="Times New Roman"/>
          <w:i/>
          <w:iCs/>
          <w:sz w:val="24"/>
          <w:szCs w:val="24"/>
          <w:lang w:val="id-ID"/>
        </w:rPr>
        <w:t>al-Qardh</w:t>
      </w:r>
      <w:r w:rsidRPr="00CB23A4">
        <w:rPr>
          <w:rFonts w:ascii="Book Antiqua" w:hAnsi="Book Antiqua" w:cs="Times New Roman"/>
          <w:sz w:val="24"/>
          <w:szCs w:val="24"/>
          <w:lang w:val="id-ID"/>
        </w:rPr>
        <w:t xml:space="preserve"> contract and is in accordance with Islamic sharia because it is a solution to get benefits and get out of ribawi-shaped misfortunes.</w:t>
      </w:r>
    </w:p>
    <w:p w:rsidR="00CB23A4" w:rsidRDefault="00CB23A4" w:rsidP="0096430A">
      <w:pPr>
        <w:spacing w:after="0" w:line="240" w:lineRule="auto"/>
        <w:ind w:firstLine="720"/>
        <w:jc w:val="both"/>
        <w:rPr>
          <w:rFonts w:ascii="Book Antiqua" w:hAnsi="Book Antiqua" w:cs="Times New Roman"/>
          <w:sz w:val="24"/>
          <w:szCs w:val="24"/>
          <w:lang w:val="sv-SE"/>
        </w:rPr>
      </w:pPr>
      <w:r w:rsidRPr="00CB23A4">
        <w:rPr>
          <w:rFonts w:ascii="Book Antiqua" w:hAnsi="Book Antiqua" w:cs="Times New Roman"/>
          <w:sz w:val="24"/>
          <w:szCs w:val="24"/>
          <w:lang w:val="sv-SE"/>
        </w:rPr>
        <w:t xml:space="preserve">According to pesantren scholars (kiai), understanding the vow system in financing the </w:t>
      </w:r>
      <w:r w:rsidRPr="00CB23A4">
        <w:rPr>
          <w:rFonts w:ascii="Book Antiqua" w:hAnsi="Book Antiqua" w:cs="Times New Roman"/>
          <w:i/>
          <w:iCs/>
          <w:sz w:val="24"/>
          <w:szCs w:val="24"/>
          <w:lang w:val="sv-SE"/>
        </w:rPr>
        <w:t>al-Qardh</w:t>
      </w:r>
      <w:r w:rsidRPr="00CB23A4">
        <w:rPr>
          <w:rFonts w:ascii="Book Antiqua" w:hAnsi="Book Antiqua" w:cs="Times New Roman"/>
          <w:sz w:val="24"/>
          <w:szCs w:val="24"/>
          <w:lang w:val="sv-SE"/>
        </w:rPr>
        <w:t xml:space="preserve"> contract will have an impact on the confidence of members (customers) when determining preferences, if members (customers) do not understand, then what they do will be fatal and will not get what they want in the form of blessings. The first factor that is no less important than understanding the </w:t>
      </w:r>
      <w:r w:rsidRPr="00CB23A4">
        <w:rPr>
          <w:rFonts w:ascii="Book Antiqua" w:hAnsi="Book Antiqua" w:cs="Times New Roman"/>
          <w:i/>
          <w:iCs/>
          <w:sz w:val="24"/>
          <w:szCs w:val="24"/>
          <w:lang w:val="sv-SE"/>
        </w:rPr>
        <w:t>al-Qardh</w:t>
      </w:r>
      <w:r w:rsidRPr="00CB23A4">
        <w:rPr>
          <w:rFonts w:ascii="Book Antiqua" w:hAnsi="Book Antiqua" w:cs="Times New Roman"/>
          <w:sz w:val="24"/>
          <w:szCs w:val="24"/>
          <w:lang w:val="sv-SE"/>
        </w:rPr>
        <w:t xml:space="preserve"> financing contract of the nadazar system requires a clear intention in the form of words. Besides that, members search for information through socialization members also get explanations from administrators and peers. The second factor is the level of knowledge of each member obtained through formal education, because education will have an impact on a person's level of maturity in determining decision making to choose what products and contracts are in accordance with their understanding.</w:t>
      </w:r>
    </w:p>
    <w:p w:rsidR="00CB23A4" w:rsidRDefault="00CB23A4" w:rsidP="0096430A">
      <w:pPr>
        <w:pStyle w:val="ListParagraph"/>
        <w:tabs>
          <w:tab w:val="left" w:pos="450"/>
        </w:tabs>
        <w:spacing w:after="0" w:line="240" w:lineRule="auto"/>
        <w:ind w:left="0" w:firstLine="634"/>
        <w:jc w:val="both"/>
        <w:rPr>
          <w:rFonts w:ascii="Book Antiqua" w:hAnsi="Book Antiqua" w:cs="Times New Roman"/>
          <w:sz w:val="24"/>
          <w:szCs w:val="24"/>
        </w:rPr>
      </w:pPr>
      <w:r w:rsidRPr="00CB23A4">
        <w:rPr>
          <w:rFonts w:ascii="Book Antiqua" w:hAnsi="Book Antiqua" w:cs="Times New Roman"/>
          <w:sz w:val="24"/>
          <w:szCs w:val="24"/>
        </w:rPr>
        <w:t xml:space="preserve">Another point of concern is to utter a definite and clear intention. As the sighat requirement in the vow system must be in the form of words or speech, because it is considered legally invalid </w:t>
      </w:r>
      <w:r w:rsidRPr="00CB23A4">
        <w:rPr>
          <w:rFonts w:ascii="Book Antiqua" w:hAnsi="Book Antiqua" w:cs="Times New Roman"/>
          <w:i/>
          <w:iCs/>
          <w:sz w:val="24"/>
          <w:szCs w:val="24"/>
        </w:rPr>
        <w:t>nadzar</w:t>
      </w:r>
      <w:r w:rsidRPr="00CB23A4">
        <w:rPr>
          <w:rFonts w:ascii="Book Antiqua" w:hAnsi="Book Antiqua" w:cs="Times New Roman"/>
          <w:sz w:val="24"/>
          <w:szCs w:val="24"/>
        </w:rPr>
        <w:t xml:space="preserve"> someone who is able to speak clearly but does not say with words, but people who are unable to speak, such as: speech impaired, then sign language as a substitute for words. The requirements for the person who makes a vow are to be Muslim, pubescent and of sound mind. This requirement is an absolute requirement for those who want to make a vow. The conditions relating to the thing vowed are: 1) the thing vowed is not contrary to Islamic Shari'a, 2) the vow is in the form of something to get closer to Allah SWT. The nadzar made by members (customers) is a conditional nadzar (muqayyad), namely a nadzar made because of obtaining certain favors. For example, making a vow when obtaining a profit from his business.</w:t>
      </w:r>
    </w:p>
    <w:p w:rsidR="00CB23A4" w:rsidRDefault="00CB23A4" w:rsidP="0096430A">
      <w:pPr>
        <w:spacing w:after="0" w:line="240" w:lineRule="auto"/>
        <w:ind w:firstLine="720"/>
        <w:jc w:val="both"/>
        <w:rPr>
          <w:rFonts w:ascii="Book Antiqua" w:hAnsi="Book Antiqua" w:cs="Times New Roman"/>
          <w:sz w:val="24"/>
          <w:szCs w:val="24"/>
          <w:lang w:val="id-ID"/>
        </w:rPr>
      </w:pPr>
      <w:r w:rsidRPr="00CB23A4">
        <w:rPr>
          <w:rFonts w:ascii="Book Antiqua" w:hAnsi="Book Antiqua" w:cs="Times New Roman"/>
          <w:sz w:val="24"/>
          <w:szCs w:val="24"/>
          <w:lang w:val="id-ID"/>
        </w:rPr>
        <w:t xml:space="preserve">However, some Kiai have different views and notes on the application of the nadzar system in financing the </w:t>
      </w:r>
      <w:r w:rsidRPr="00CB23A4">
        <w:rPr>
          <w:rFonts w:ascii="Book Antiqua" w:hAnsi="Book Antiqua" w:cs="Times New Roman"/>
          <w:i/>
          <w:iCs/>
          <w:sz w:val="24"/>
          <w:szCs w:val="24"/>
          <w:lang w:val="id-ID"/>
        </w:rPr>
        <w:t>al-Qardh</w:t>
      </w:r>
      <w:r w:rsidRPr="00CB23A4">
        <w:rPr>
          <w:rFonts w:ascii="Book Antiqua" w:hAnsi="Book Antiqua" w:cs="Times New Roman"/>
          <w:sz w:val="24"/>
          <w:szCs w:val="24"/>
          <w:lang w:val="id-ID"/>
        </w:rPr>
        <w:t xml:space="preserve"> contract.  According to KH Sholeh Romli, KH Nawawi Abdurahman, KH Abd Ghofur and Ust H Dr. Ilham Wahyudi. The practice of the nadzar system in financing an </w:t>
      </w:r>
      <w:r w:rsidRPr="00CB23A4">
        <w:rPr>
          <w:rFonts w:ascii="Book Antiqua" w:hAnsi="Book Antiqua" w:cs="Times New Roman"/>
          <w:i/>
          <w:iCs/>
          <w:sz w:val="24"/>
          <w:szCs w:val="24"/>
          <w:lang w:val="id-ID"/>
        </w:rPr>
        <w:t>al-Qardh</w:t>
      </w:r>
      <w:r w:rsidRPr="00CB23A4">
        <w:rPr>
          <w:rFonts w:ascii="Book Antiqua" w:hAnsi="Book Antiqua" w:cs="Times New Roman"/>
          <w:sz w:val="24"/>
          <w:szCs w:val="24"/>
          <w:lang w:val="id-ID"/>
        </w:rPr>
        <w:t xml:space="preserve"> contract is legal or permissible and even sunnah for members to provide additional benefits to LKMS BMT provided that the additional benefits or benefits are not required in the contract, meaning that it is voluntary and not binding. The opinion of the scholars (kiai) of this pesantren is based on the opinion of the Shafi'iyah scholars as in the description of the book fathul mu'in.</w:t>
      </w:r>
    </w:p>
    <w:p w:rsidR="004C4F63" w:rsidRPr="001038BB" w:rsidRDefault="00CB23A4" w:rsidP="0096430A">
      <w:pPr>
        <w:spacing w:after="0" w:line="240" w:lineRule="auto"/>
        <w:ind w:firstLine="720"/>
        <w:jc w:val="both"/>
        <w:rPr>
          <w:rFonts w:ascii="Book Antiqua" w:hAnsi="Book Antiqua" w:cs="Times New Roman"/>
          <w:sz w:val="24"/>
          <w:szCs w:val="24"/>
          <w:lang w:val="id-ID"/>
        </w:rPr>
      </w:pPr>
      <w:r w:rsidRPr="00CB23A4">
        <w:rPr>
          <w:rFonts w:ascii="Book Antiqua" w:hAnsi="Book Antiqua" w:cs="Times New Roman"/>
          <w:sz w:val="24"/>
          <w:szCs w:val="24"/>
          <w:lang w:val="id-ID"/>
        </w:rPr>
        <w:t xml:space="preserve">The views of these scholars (kiai) are the same as the MUI National Sharia Council Fatwa No. 19/DSN-MUI/III/2001 concerning </w:t>
      </w:r>
      <w:r w:rsidRPr="00CB23A4">
        <w:rPr>
          <w:rFonts w:ascii="Book Antiqua" w:hAnsi="Book Antiqua" w:cs="Times New Roman"/>
          <w:i/>
          <w:iCs/>
          <w:sz w:val="24"/>
          <w:szCs w:val="24"/>
          <w:lang w:val="id-ID"/>
        </w:rPr>
        <w:t>al-Qardh</w:t>
      </w:r>
      <w:r w:rsidRPr="00CB23A4">
        <w:rPr>
          <w:rFonts w:ascii="Book Antiqua" w:hAnsi="Book Antiqua" w:cs="Times New Roman"/>
          <w:sz w:val="24"/>
          <w:szCs w:val="24"/>
          <w:lang w:val="id-ID"/>
        </w:rPr>
        <w:t xml:space="preserve">: 19/DSN-MUI/III/2001 concerning </w:t>
      </w:r>
      <w:r w:rsidRPr="00CB23A4">
        <w:rPr>
          <w:rFonts w:ascii="Book Antiqua" w:hAnsi="Book Antiqua" w:cs="Times New Roman"/>
          <w:i/>
          <w:iCs/>
          <w:sz w:val="24"/>
          <w:szCs w:val="24"/>
          <w:lang w:val="id-ID"/>
        </w:rPr>
        <w:t>al-Qardh</w:t>
      </w:r>
      <w:r w:rsidRPr="00CB23A4">
        <w:rPr>
          <w:rFonts w:ascii="Book Antiqua" w:hAnsi="Book Antiqua" w:cs="Times New Roman"/>
          <w:sz w:val="24"/>
          <w:szCs w:val="24"/>
          <w:lang w:val="id-ID"/>
        </w:rPr>
        <w:t xml:space="preserve">, in this fatwa it is explained that </w:t>
      </w:r>
      <w:r w:rsidRPr="00CB23A4">
        <w:rPr>
          <w:rFonts w:ascii="Book Antiqua" w:hAnsi="Book Antiqua" w:cs="Times New Roman"/>
          <w:i/>
          <w:iCs/>
          <w:sz w:val="24"/>
          <w:szCs w:val="24"/>
          <w:lang w:val="id-ID"/>
        </w:rPr>
        <w:t>al-Qardh</w:t>
      </w:r>
      <w:r w:rsidRPr="00CB23A4">
        <w:rPr>
          <w:rFonts w:ascii="Book Antiqua" w:hAnsi="Book Antiqua" w:cs="Times New Roman"/>
          <w:sz w:val="24"/>
          <w:szCs w:val="24"/>
          <w:lang w:val="id-ID"/>
        </w:rPr>
        <w:t xml:space="preserve"> customers can provide additional (donations) voluntarily to LKMS-BMT as long as it is not agreed in the contract. It is also the same as the results of research conducted by Saifuddin Syuhri and Abd Ghafur in their research in the journal Ar Ribhu, Journal of Sharia Management and Finance entitled “Application of Nadzar Akad in </w:t>
      </w:r>
      <w:r w:rsidRPr="00CB23A4">
        <w:rPr>
          <w:rFonts w:ascii="Book Antiqua" w:hAnsi="Book Antiqua" w:cs="Times New Roman"/>
          <w:i/>
          <w:iCs/>
          <w:sz w:val="24"/>
          <w:szCs w:val="24"/>
          <w:lang w:val="id-ID"/>
        </w:rPr>
        <w:t>al-Qardh</w:t>
      </w:r>
      <w:r w:rsidRPr="00CB23A4">
        <w:rPr>
          <w:rFonts w:ascii="Book Antiqua" w:hAnsi="Book Antiqua" w:cs="Times New Roman"/>
          <w:sz w:val="24"/>
          <w:szCs w:val="24"/>
          <w:lang w:val="id-ID"/>
        </w:rPr>
        <w:t xml:space="preserve"> Financing (Study at the East Java BMT Maslahah Cooperative)”. In the study, it is explained that this nadzar agreement is carried out based on the internal fatwa of the LKMS-BMT Maslahah sharia supervisor, based on sharia provisions and several considerations and internal BMT provisions, namely for </w:t>
      </w:r>
      <w:r w:rsidRPr="00CB23A4">
        <w:rPr>
          <w:rFonts w:ascii="Book Antiqua" w:hAnsi="Book Antiqua" w:cs="Times New Roman"/>
          <w:i/>
          <w:iCs/>
          <w:sz w:val="24"/>
          <w:szCs w:val="24"/>
          <w:lang w:val="id-ID"/>
        </w:rPr>
        <w:t>al-Qardh</w:t>
      </w:r>
      <w:r w:rsidRPr="00CB23A4">
        <w:rPr>
          <w:rFonts w:ascii="Book Antiqua" w:hAnsi="Book Antiqua" w:cs="Times New Roman"/>
          <w:sz w:val="24"/>
          <w:szCs w:val="24"/>
          <w:lang w:val="id-ID"/>
        </w:rPr>
        <w:t xml:space="preserve"> financing, it has 1) special treatment for members who are included in the criteria set by BMT 2) including the decision to apply the nadzar agreement to qardh financing. 3) </w:t>
      </w:r>
      <w:r w:rsidRPr="00CB23A4">
        <w:rPr>
          <w:rFonts w:ascii="Book Antiqua" w:hAnsi="Book Antiqua" w:cs="Times New Roman"/>
          <w:i/>
          <w:iCs/>
          <w:sz w:val="24"/>
          <w:szCs w:val="24"/>
          <w:lang w:val="id-ID"/>
        </w:rPr>
        <w:t>Qardh</w:t>
      </w:r>
      <w:r w:rsidRPr="00CB23A4">
        <w:rPr>
          <w:rFonts w:ascii="Book Antiqua" w:hAnsi="Book Antiqua" w:cs="Times New Roman"/>
          <w:sz w:val="24"/>
          <w:szCs w:val="24"/>
          <w:lang w:val="id-ID"/>
        </w:rPr>
        <w:t xml:space="preserve"> financing is a complementary product to other types of financing, such as murabahah, mudharabah, musyarakah, ijarah and pawn. 4) nadzar contracts may be offered to willing members 5) nadzar contracts can be directed by BMT to members 6) free to give a nominal profit 7) can be done by speech and or in writing. This is based on the provisions in the Quran, hadith, Fatwa DSN MUI provisions and other sharia provisions that do not conflict with one another.</w:t>
      </w:r>
    </w:p>
    <w:p w:rsidR="00336940" w:rsidRDefault="00CB23A4" w:rsidP="00CB23A4">
      <w:pPr>
        <w:pStyle w:val="ListParagraph"/>
        <w:tabs>
          <w:tab w:val="left" w:pos="450"/>
        </w:tabs>
        <w:spacing w:after="0" w:line="240" w:lineRule="auto"/>
        <w:ind w:left="0" w:firstLine="634"/>
        <w:jc w:val="both"/>
        <w:rPr>
          <w:rFonts w:ascii="Book Antiqua" w:hAnsi="Book Antiqua" w:cs="Times New Roman"/>
          <w:sz w:val="24"/>
          <w:szCs w:val="24"/>
          <w:lang w:val="id-ID"/>
        </w:rPr>
      </w:pPr>
      <w:r w:rsidRPr="00CB23A4">
        <w:rPr>
          <w:rFonts w:ascii="Book Antiqua" w:hAnsi="Book Antiqua" w:cs="Times New Roman"/>
          <w:sz w:val="24"/>
          <w:szCs w:val="24"/>
          <w:lang w:val="id-ID"/>
        </w:rPr>
        <w:t xml:space="preserve">Thus, the view of pesantren scholars (kiai) on the practice of the nadzar system in financing the </w:t>
      </w:r>
      <w:r w:rsidRPr="00CB23A4">
        <w:rPr>
          <w:rFonts w:ascii="Book Antiqua" w:hAnsi="Book Antiqua" w:cs="Times New Roman"/>
          <w:i/>
          <w:iCs/>
          <w:sz w:val="24"/>
          <w:szCs w:val="24"/>
          <w:lang w:val="id-ID"/>
        </w:rPr>
        <w:t>al-Qardh</w:t>
      </w:r>
      <w:r w:rsidRPr="00CB23A4">
        <w:rPr>
          <w:rFonts w:ascii="Book Antiqua" w:hAnsi="Book Antiqua" w:cs="Times New Roman"/>
          <w:sz w:val="24"/>
          <w:szCs w:val="24"/>
          <w:lang w:val="id-ID"/>
        </w:rPr>
        <w:t xml:space="preserve"> contract as a solution for members (customers) at LKMS-BMT Pasuruan can be concluded that financing the </w:t>
      </w:r>
      <w:r w:rsidRPr="00CB23A4">
        <w:rPr>
          <w:rFonts w:ascii="Book Antiqua" w:hAnsi="Book Antiqua" w:cs="Times New Roman"/>
          <w:i/>
          <w:iCs/>
          <w:sz w:val="24"/>
          <w:szCs w:val="24"/>
          <w:lang w:val="id-ID"/>
        </w:rPr>
        <w:t>al-Qardh</w:t>
      </w:r>
      <w:r w:rsidRPr="00CB23A4">
        <w:rPr>
          <w:rFonts w:ascii="Book Antiqua" w:hAnsi="Book Antiqua" w:cs="Times New Roman"/>
          <w:sz w:val="24"/>
          <w:szCs w:val="24"/>
          <w:lang w:val="id-ID"/>
        </w:rPr>
        <w:t xml:space="preserve"> contract with the nadzar system is permissible provided that it is not made a condition in the contract agreement. This is based on the point of view of fiqh law. Meanwhile, according to the point of view of inner law or tashawwuf. Financing an </w:t>
      </w:r>
      <w:r w:rsidRPr="00CB23A4">
        <w:rPr>
          <w:rFonts w:ascii="Book Antiqua" w:hAnsi="Book Antiqua" w:cs="Times New Roman"/>
          <w:i/>
          <w:iCs/>
          <w:sz w:val="24"/>
          <w:szCs w:val="24"/>
          <w:lang w:val="id-ID"/>
        </w:rPr>
        <w:t>al-Qardh</w:t>
      </w:r>
      <w:r w:rsidRPr="00CB23A4">
        <w:rPr>
          <w:rFonts w:ascii="Book Antiqua" w:hAnsi="Book Antiqua" w:cs="Times New Roman"/>
          <w:sz w:val="24"/>
          <w:szCs w:val="24"/>
          <w:lang w:val="id-ID"/>
        </w:rPr>
        <w:t xml:space="preserve"> contract with a nadzar system is not allowed.</w:t>
      </w:r>
    </w:p>
    <w:p w:rsidR="00CB23A4" w:rsidRPr="001038BB" w:rsidRDefault="00CB23A4" w:rsidP="00CB23A4">
      <w:pPr>
        <w:pStyle w:val="ListParagraph"/>
        <w:tabs>
          <w:tab w:val="left" w:pos="450"/>
        </w:tabs>
        <w:spacing w:after="0" w:line="240" w:lineRule="auto"/>
        <w:ind w:left="0" w:firstLine="634"/>
        <w:jc w:val="both"/>
        <w:rPr>
          <w:rFonts w:ascii="Book Antiqua" w:hAnsi="Book Antiqua" w:cs="Times New Roman"/>
          <w:sz w:val="24"/>
          <w:szCs w:val="24"/>
        </w:rPr>
      </w:pPr>
    </w:p>
    <w:p w:rsidR="004C62A3" w:rsidRPr="001038BB" w:rsidRDefault="00CB23A4" w:rsidP="0096430A">
      <w:pPr>
        <w:spacing w:after="0" w:line="240" w:lineRule="auto"/>
        <w:jc w:val="both"/>
        <w:rPr>
          <w:rFonts w:ascii="Book Antiqua" w:hAnsi="Book Antiqua" w:cs="Times New Roman"/>
          <w:b/>
          <w:sz w:val="24"/>
          <w:szCs w:val="24"/>
          <w:lang w:val="es-ES"/>
        </w:rPr>
      </w:pPr>
      <w:r w:rsidRPr="00CB23A4">
        <w:rPr>
          <w:rFonts w:ascii="Book Antiqua" w:hAnsi="Book Antiqua" w:cs="Times New Roman"/>
          <w:b/>
          <w:sz w:val="24"/>
          <w:szCs w:val="24"/>
        </w:rPr>
        <w:t>Implications of the application of qordh contract financing with a vow system for SMFIs and their members</w:t>
      </w:r>
    </w:p>
    <w:p w:rsidR="00790627" w:rsidRDefault="001D1841" w:rsidP="00790627">
      <w:pPr>
        <w:pStyle w:val="ListParagraph"/>
        <w:tabs>
          <w:tab w:val="left" w:pos="450"/>
          <w:tab w:val="left" w:pos="1080"/>
          <w:tab w:val="left" w:pos="1170"/>
        </w:tabs>
        <w:spacing w:after="0" w:line="240" w:lineRule="auto"/>
        <w:ind w:left="0"/>
        <w:jc w:val="both"/>
        <w:rPr>
          <w:rFonts w:ascii="Book Antiqua" w:hAnsi="Book Antiqua" w:cs="Times New Roman"/>
          <w:i/>
          <w:iCs/>
          <w:sz w:val="24"/>
          <w:szCs w:val="24"/>
        </w:rPr>
      </w:pPr>
      <w:r w:rsidRPr="001038BB">
        <w:rPr>
          <w:rFonts w:ascii="Book Antiqua" w:hAnsi="Book Antiqua" w:cs="Times New Roman"/>
          <w:sz w:val="24"/>
          <w:szCs w:val="24"/>
        </w:rPr>
        <w:tab/>
      </w:r>
      <w:r w:rsidR="00CB23A4" w:rsidRPr="00CB23A4">
        <w:rPr>
          <w:rFonts w:ascii="Book Antiqua" w:hAnsi="Book Antiqua" w:cs="Times New Roman"/>
          <w:sz w:val="24"/>
          <w:szCs w:val="24"/>
        </w:rPr>
        <w:t xml:space="preserve">Financing channeled by LKMS BMT to members has various implications which in principle will return to LKMS-BMT itself and to members who receive financing, including financing in the </w:t>
      </w:r>
      <w:r w:rsidR="00CB23A4" w:rsidRPr="00CB23A4">
        <w:rPr>
          <w:rFonts w:ascii="Book Antiqua" w:hAnsi="Book Antiqua" w:cs="Times New Roman"/>
          <w:i/>
          <w:iCs/>
          <w:sz w:val="24"/>
          <w:szCs w:val="24"/>
        </w:rPr>
        <w:t>al-Qardh</w:t>
      </w:r>
      <w:r w:rsidR="00CB23A4" w:rsidRPr="00CB23A4">
        <w:rPr>
          <w:rFonts w:ascii="Book Antiqua" w:hAnsi="Book Antiqua" w:cs="Times New Roman"/>
          <w:sz w:val="24"/>
          <w:szCs w:val="24"/>
        </w:rPr>
        <w:t xml:space="preserve"> contract. Researchers conducted an interview with the Head of the Financing Division of one of the BMT LKMS in Pasuruan to Mr. Mambaul Ulum as Head of the KSPPS BMT Maslahah Sidogiri Financing Division about what are the implications of the application of al-Qardh contract financing with a vow system felt by BMT Maslahah, he said that: </w:t>
      </w:r>
      <w:r w:rsidR="00CB23A4" w:rsidRPr="00CB23A4">
        <w:rPr>
          <w:rFonts w:ascii="Book Antiqua" w:hAnsi="Book Antiqua" w:cs="Times New Roman"/>
          <w:i/>
          <w:iCs/>
          <w:sz w:val="24"/>
          <w:szCs w:val="24"/>
        </w:rPr>
        <w:t>“Financing the al-Qardh contract with the nadzar system has implications or we feel a very good positive impact on BMT, including it is not uncommon for members of al-Qardh financing to provide additional profit for BMT greater than the standard murabahah margin, which is per month equivalent to 1.5%, even though in the agreement there are no terms or conditions for the amount of profit, meaning that members voluntarily provide profit, especially financing with ceilings below Rp. 1 million. This will automatically help increase revenue for BMT”.</w:t>
      </w:r>
    </w:p>
    <w:p w:rsidR="00790627" w:rsidRDefault="00790627" w:rsidP="00790627">
      <w:pPr>
        <w:pStyle w:val="ListParagraph"/>
        <w:tabs>
          <w:tab w:val="left" w:pos="450"/>
          <w:tab w:val="left" w:pos="1080"/>
          <w:tab w:val="left" w:pos="1170"/>
        </w:tabs>
        <w:spacing w:after="0" w:line="240" w:lineRule="auto"/>
        <w:ind w:left="0"/>
        <w:jc w:val="both"/>
        <w:rPr>
          <w:rFonts w:ascii="Book Antiqua" w:hAnsi="Book Antiqua" w:cs="Times New Roman"/>
          <w:sz w:val="24"/>
          <w:szCs w:val="24"/>
        </w:rPr>
      </w:pPr>
      <w:r>
        <w:rPr>
          <w:rFonts w:ascii="Book Antiqua" w:hAnsi="Book Antiqua" w:cs="Times New Roman"/>
          <w:i/>
          <w:iCs/>
          <w:sz w:val="24"/>
          <w:szCs w:val="24"/>
        </w:rPr>
        <w:tab/>
      </w:r>
      <w:r w:rsidRPr="00790627">
        <w:rPr>
          <w:rFonts w:ascii="Book Antiqua" w:hAnsi="Book Antiqua" w:cs="Times New Roman"/>
          <w:sz w:val="24"/>
          <w:szCs w:val="24"/>
        </w:rPr>
        <w:t xml:space="preserve">From Mambaul Ulum's explanation, although the </w:t>
      </w:r>
      <w:r w:rsidRPr="00790627">
        <w:rPr>
          <w:rFonts w:ascii="Book Antiqua" w:hAnsi="Book Antiqua" w:cs="Times New Roman"/>
          <w:i/>
          <w:iCs/>
          <w:sz w:val="24"/>
          <w:szCs w:val="24"/>
        </w:rPr>
        <w:t>al-Qardh</w:t>
      </w:r>
      <w:r w:rsidRPr="00790627">
        <w:rPr>
          <w:rFonts w:ascii="Book Antiqua" w:hAnsi="Book Antiqua" w:cs="Times New Roman"/>
          <w:sz w:val="24"/>
          <w:szCs w:val="24"/>
        </w:rPr>
        <w:t xml:space="preserve"> contract financing with the nadzar system is not required to provide additional profit for LKMS BMT in the agreement, members still provide additional profit because it has become a habit, sometimes even the additional profit given to LKMS BMT is greater than the standard margin of the murabahah financing contract which is set at a minimum equivalent to 1.5% per month. </w:t>
      </w:r>
    </w:p>
    <w:p w:rsidR="001F0D9C" w:rsidRPr="001038BB" w:rsidRDefault="00790627" w:rsidP="00790627">
      <w:pPr>
        <w:pStyle w:val="ListParagraph"/>
        <w:tabs>
          <w:tab w:val="left" w:pos="450"/>
          <w:tab w:val="left" w:pos="1080"/>
          <w:tab w:val="left" w:pos="1170"/>
        </w:tabs>
        <w:spacing w:after="0" w:line="240" w:lineRule="auto"/>
        <w:ind w:left="0"/>
        <w:jc w:val="both"/>
        <w:rPr>
          <w:rFonts w:ascii="Book Antiqua" w:hAnsi="Book Antiqua" w:cs="Times New Roman"/>
          <w:sz w:val="24"/>
          <w:szCs w:val="24"/>
        </w:rPr>
      </w:pPr>
      <w:r>
        <w:rPr>
          <w:rFonts w:ascii="Book Antiqua" w:hAnsi="Book Antiqua" w:cs="Times New Roman"/>
          <w:sz w:val="24"/>
          <w:szCs w:val="24"/>
        </w:rPr>
        <w:tab/>
      </w:r>
      <w:r w:rsidRPr="00790627">
        <w:rPr>
          <w:rFonts w:ascii="Book Antiqua" w:hAnsi="Book Antiqua" w:cs="Times New Roman"/>
          <w:sz w:val="24"/>
          <w:szCs w:val="24"/>
        </w:rPr>
        <w:t xml:space="preserve">Researchers also asked whether there were other implications besides additional profits, Mr. Mambaul Ulum explained that </w:t>
      </w:r>
      <w:r w:rsidRPr="00790627">
        <w:rPr>
          <w:rFonts w:ascii="Book Antiqua" w:hAnsi="Book Antiqua" w:cs="Times New Roman"/>
          <w:i/>
          <w:iCs/>
          <w:sz w:val="24"/>
          <w:szCs w:val="24"/>
        </w:rPr>
        <w:t>al-Qardh</w:t>
      </w:r>
      <w:r w:rsidRPr="00790627">
        <w:rPr>
          <w:rFonts w:ascii="Book Antiqua" w:hAnsi="Book Antiqua" w:cs="Times New Roman"/>
          <w:sz w:val="24"/>
          <w:szCs w:val="24"/>
        </w:rPr>
        <w:t xml:space="preserve"> contract financing with a vow system can also increase member loyalty and can help the needs of members who have often been victims of loan sharks, thanks to the financing of the </w:t>
      </w:r>
      <w:r w:rsidRPr="00790627">
        <w:rPr>
          <w:rFonts w:ascii="Book Antiqua" w:hAnsi="Book Antiqua" w:cs="Times New Roman"/>
          <w:i/>
          <w:iCs/>
          <w:sz w:val="24"/>
          <w:szCs w:val="24"/>
        </w:rPr>
        <w:t>al-Qardh</w:t>
      </w:r>
      <w:r w:rsidRPr="00790627">
        <w:rPr>
          <w:rFonts w:ascii="Book Antiqua" w:hAnsi="Book Antiqua" w:cs="Times New Roman"/>
          <w:sz w:val="24"/>
          <w:szCs w:val="24"/>
        </w:rPr>
        <w:t xml:space="preserve"> contract at LKMS-BMT, they can be free from loan sharks. The implications of the application of </w:t>
      </w:r>
      <w:r w:rsidRPr="00790627">
        <w:rPr>
          <w:rFonts w:ascii="Book Antiqua" w:hAnsi="Book Antiqua" w:cs="Times New Roman"/>
          <w:i/>
          <w:iCs/>
          <w:sz w:val="24"/>
          <w:szCs w:val="24"/>
        </w:rPr>
        <w:t>al-Qardh</w:t>
      </w:r>
      <w:r w:rsidRPr="00790627">
        <w:rPr>
          <w:rFonts w:ascii="Book Antiqua" w:hAnsi="Book Antiqua" w:cs="Times New Roman"/>
          <w:sz w:val="24"/>
          <w:szCs w:val="24"/>
        </w:rPr>
        <w:t xml:space="preserve"> contract financing with a vow system are also felt by LKMS BMT members, he has done financing at LKMS-BMT Maslahah Sidogiri which is diakad </w:t>
      </w:r>
      <w:r w:rsidRPr="00790627">
        <w:rPr>
          <w:rFonts w:ascii="Book Antiqua" w:hAnsi="Book Antiqua" w:cs="Times New Roman"/>
          <w:i/>
          <w:iCs/>
          <w:sz w:val="24"/>
          <w:szCs w:val="24"/>
        </w:rPr>
        <w:t>al-Qardh</w:t>
      </w:r>
      <w:r w:rsidRPr="00790627">
        <w:rPr>
          <w:rFonts w:ascii="Book Antiqua" w:hAnsi="Book Antiqua" w:cs="Times New Roman"/>
          <w:sz w:val="24"/>
          <w:szCs w:val="24"/>
        </w:rPr>
        <w:t xml:space="preserve"> where the purpose of using the loan funds is for additional business capital.</w:t>
      </w:r>
    </w:p>
    <w:p w:rsidR="00126D84" w:rsidRDefault="00790627" w:rsidP="00790627">
      <w:pPr>
        <w:pStyle w:val="NormalWeb"/>
        <w:shd w:val="clear" w:color="auto" w:fill="FFFFFF"/>
        <w:spacing w:before="0" w:beforeAutospacing="0" w:after="0" w:afterAutospacing="0"/>
        <w:ind w:firstLine="720"/>
        <w:jc w:val="both"/>
        <w:rPr>
          <w:rFonts w:ascii="Book Antiqua" w:hAnsi="Book Antiqua" w:cs="LPMQ Isep Misbah"/>
          <w:szCs w:val="28"/>
          <w:lang w:val="id-ID"/>
        </w:rPr>
      </w:pPr>
      <w:r w:rsidRPr="00790627">
        <w:rPr>
          <w:rFonts w:ascii="Book Antiqua" w:hAnsi="Book Antiqua" w:cs="LPMQ Isep Misbah"/>
          <w:szCs w:val="28"/>
          <w:lang w:val="id-ID"/>
        </w:rPr>
        <w:t xml:space="preserve">Thus, it can be concluded that the application of </w:t>
      </w:r>
      <w:r w:rsidRPr="00790627">
        <w:rPr>
          <w:rFonts w:ascii="Book Antiqua" w:hAnsi="Book Antiqua" w:cs="LPMQ Isep Misbah"/>
          <w:i/>
          <w:iCs/>
          <w:szCs w:val="28"/>
          <w:lang w:val="id-ID"/>
        </w:rPr>
        <w:t>al-Qardh</w:t>
      </w:r>
      <w:r w:rsidRPr="00790627">
        <w:rPr>
          <w:rFonts w:ascii="Book Antiqua" w:hAnsi="Book Antiqua" w:cs="LPMQ Isep Misbah"/>
          <w:szCs w:val="28"/>
          <w:lang w:val="id-ID"/>
        </w:rPr>
        <w:t xml:space="preserve"> contract financing with this nadzar system has a positive impact on LKMS BMT, including being able to increase member loyalty and can help members free themselves from loan sharks. In addition, the </w:t>
      </w:r>
      <w:r w:rsidRPr="00790627">
        <w:rPr>
          <w:rFonts w:ascii="Book Antiqua" w:hAnsi="Book Antiqua" w:cs="LPMQ Isep Misbah"/>
          <w:i/>
          <w:iCs/>
          <w:szCs w:val="28"/>
          <w:lang w:val="id-ID"/>
        </w:rPr>
        <w:t>al-Qardh</w:t>
      </w:r>
      <w:r w:rsidRPr="00790627">
        <w:rPr>
          <w:rFonts w:ascii="Book Antiqua" w:hAnsi="Book Antiqua" w:cs="LPMQ Isep Misbah"/>
          <w:szCs w:val="28"/>
          <w:lang w:val="id-ID"/>
        </w:rPr>
        <w:t xml:space="preserve"> financing pattern of the nadzar system is seen by members (customers) as an easy and uncomplicated process that makes it very easy for members (customers) who need fast and precise financing. Therefore, when members (customers) of LKMS-BMT need fast financing, the first thought is how to get it right, get it in an easy way, in accordance with sharia principles, not burdening members (customers), getting excellent service, and last but not least getting blessings, benefits and economic justice oriented to the principle of helping.</w:t>
      </w:r>
    </w:p>
    <w:p w:rsidR="00790627" w:rsidRPr="001038BB" w:rsidRDefault="00790627" w:rsidP="00126D84">
      <w:pPr>
        <w:pStyle w:val="NormalWeb"/>
        <w:shd w:val="clear" w:color="auto" w:fill="FFFFFF"/>
        <w:spacing w:before="0" w:beforeAutospacing="0" w:after="0" w:afterAutospacing="0"/>
        <w:jc w:val="both"/>
        <w:rPr>
          <w:rFonts w:ascii="Book Antiqua" w:hAnsi="Book Antiqua"/>
          <w:bCs/>
          <w:lang w:val="id-ID"/>
        </w:rPr>
      </w:pPr>
    </w:p>
    <w:bookmarkEnd w:id="2"/>
    <w:p w:rsidR="005B7F3C" w:rsidRPr="001038BB" w:rsidRDefault="00790627" w:rsidP="0096430A">
      <w:pPr>
        <w:jc w:val="both"/>
        <w:rPr>
          <w:rFonts w:ascii="Book Antiqua" w:hAnsi="Book Antiqua" w:cs="Times New Roman"/>
          <w:b/>
          <w:bCs/>
          <w:kern w:val="32"/>
          <w:sz w:val="24"/>
          <w:szCs w:val="32"/>
          <w:lang w:val="id-ID"/>
        </w:rPr>
      </w:pPr>
      <w:r w:rsidRPr="00790627">
        <w:rPr>
          <w:rFonts w:ascii="Book Antiqua" w:hAnsi="Book Antiqua" w:cs="Times New Roman"/>
          <w:b/>
          <w:bCs/>
          <w:kern w:val="32"/>
          <w:sz w:val="24"/>
          <w:szCs w:val="32"/>
          <w:lang w:val="id-ID"/>
        </w:rPr>
        <w:t>Conclusion</w:t>
      </w:r>
    </w:p>
    <w:p w:rsidR="003A2BD3" w:rsidRPr="001038BB" w:rsidRDefault="0096430A" w:rsidP="0096430A">
      <w:pPr>
        <w:pStyle w:val="ListParagraph"/>
        <w:spacing w:after="0" w:line="240" w:lineRule="auto"/>
        <w:ind w:left="0" w:firstLine="90"/>
        <w:jc w:val="both"/>
        <w:rPr>
          <w:rFonts w:ascii="Book Antiqua" w:hAnsi="Book Antiqua" w:cs="Times New Roman"/>
          <w:sz w:val="24"/>
          <w:szCs w:val="24"/>
        </w:rPr>
      </w:pPr>
      <w:r w:rsidRPr="001038BB">
        <w:rPr>
          <w:rFonts w:ascii="Book Antiqua" w:hAnsi="Book Antiqua" w:cs="Times New Roman"/>
          <w:sz w:val="24"/>
          <w:szCs w:val="24"/>
          <w:rtl/>
        </w:rPr>
        <w:tab/>
      </w:r>
      <w:r w:rsidR="00790627" w:rsidRPr="00790627">
        <w:rPr>
          <w:rFonts w:ascii="Book Antiqua" w:hAnsi="Book Antiqua" w:cs="Times New Roman"/>
          <w:bCs/>
          <w:sz w:val="24"/>
          <w:szCs w:val="24"/>
          <w:lang w:val="id-ID"/>
        </w:rPr>
        <w:t xml:space="preserve">Based on the data and information found and the results of the analysis, it can be concluded that: the view of pesantren scholars (kiai) on the practice of the vow system in financing the </w:t>
      </w:r>
      <w:r w:rsidR="00790627" w:rsidRPr="00790627">
        <w:rPr>
          <w:rFonts w:ascii="Book Antiqua" w:hAnsi="Book Antiqua" w:cs="Times New Roman"/>
          <w:bCs/>
          <w:i/>
          <w:iCs/>
          <w:sz w:val="24"/>
          <w:szCs w:val="24"/>
          <w:lang w:val="id-ID"/>
        </w:rPr>
        <w:t>al-Qardh</w:t>
      </w:r>
      <w:r w:rsidR="00790627" w:rsidRPr="00790627">
        <w:rPr>
          <w:rFonts w:ascii="Book Antiqua" w:hAnsi="Book Antiqua" w:cs="Times New Roman"/>
          <w:bCs/>
          <w:sz w:val="24"/>
          <w:szCs w:val="24"/>
          <w:lang w:val="id-ID"/>
        </w:rPr>
        <w:t xml:space="preserve"> contract as a solution for members (customers) at LKMS-BMT Pasuruan is permissible provided that it is not made a condition in the contract agreement. This is based on the point of view of fiqh law, while according to the point of view of inner law or tashawwuf. Financing the </w:t>
      </w:r>
      <w:r w:rsidR="00790627" w:rsidRPr="00790627">
        <w:rPr>
          <w:rFonts w:ascii="Book Antiqua" w:hAnsi="Book Antiqua" w:cs="Times New Roman"/>
          <w:bCs/>
          <w:i/>
          <w:iCs/>
          <w:sz w:val="24"/>
          <w:szCs w:val="24"/>
          <w:lang w:val="id-ID"/>
        </w:rPr>
        <w:t xml:space="preserve">al-Qardh </w:t>
      </w:r>
      <w:r w:rsidR="00790627" w:rsidRPr="00790627">
        <w:rPr>
          <w:rFonts w:ascii="Book Antiqua" w:hAnsi="Book Antiqua" w:cs="Times New Roman"/>
          <w:bCs/>
          <w:sz w:val="24"/>
          <w:szCs w:val="24"/>
          <w:lang w:val="id-ID"/>
        </w:rPr>
        <w:t>contract with a vow system is still Riba or haram.</w:t>
      </w:r>
    </w:p>
    <w:p w:rsidR="008C1AF4" w:rsidRPr="001038BB" w:rsidRDefault="00790627" w:rsidP="0096430A">
      <w:pPr>
        <w:pStyle w:val="ListParagraph"/>
        <w:spacing w:after="0" w:line="240" w:lineRule="auto"/>
        <w:ind w:left="0" w:firstLine="360"/>
        <w:jc w:val="both"/>
        <w:rPr>
          <w:rFonts w:ascii="Book Antiqua" w:hAnsi="Book Antiqua" w:cs="Times New Roman"/>
          <w:sz w:val="24"/>
          <w:szCs w:val="24"/>
        </w:rPr>
      </w:pPr>
      <w:r w:rsidRPr="00790627">
        <w:rPr>
          <w:rFonts w:ascii="Book Antiqua" w:hAnsi="Book Antiqua" w:cs="Times New Roman"/>
          <w:sz w:val="24"/>
          <w:szCs w:val="24"/>
        </w:rPr>
        <w:t xml:space="preserve">The view of the pesantren ulama (kiai) on the additional profit of financing the </w:t>
      </w:r>
      <w:r w:rsidRPr="00790627">
        <w:rPr>
          <w:rFonts w:ascii="Book Antiqua" w:hAnsi="Book Antiqua" w:cs="Times New Roman"/>
          <w:i/>
          <w:iCs/>
          <w:sz w:val="24"/>
          <w:szCs w:val="24"/>
        </w:rPr>
        <w:t>al-Qardh</w:t>
      </w:r>
      <w:r w:rsidRPr="00790627">
        <w:rPr>
          <w:rFonts w:ascii="Book Antiqua" w:hAnsi="Book Antiqua" w:cs="Times New Roman"/>
          <w:sz w:val="24"/>
          <w:szCs w:val="24"/>
        </w:rPr>
        <w:t xml:space="preserve"> contract on the nadzar system at LKMS-BMT Pasuruan is in accordance with sharia principles as a solution to get benefits and get out of sharia compliance (sin of usury). However, according to the point of view of the inner law or tashawwuf, there should be no additional profit in the </w:t>
      </w:r>
      <w:r w:rsidRPr="00790627">
        <w:rPr>
          <w:rFonts w:ascii="Book Antiqua" w:hAnsi="Book Antiqua" w:cs="Times New Roman"/>
          <w:i/>
          <w:iCs/>
          <w:sz w:val="24"/>
          <w:szCs w:val="24"/>
        </w:rPr>
        <w:t>al-Qardh</w:t>
      </w:r>
      <w:r w:rsidRPr="00790627">
        <w:rPr>
          <w:rFonts w:ascii="Book Antiqua" w:hAnsi="Book Antiqua" w:cs="Times New Roman"/>
          <w:sz w:val="24"/>
          <w:szCs w:val="24"/>
        </w:rPr>
        <w:t xml:space="preserve"> contract. And if the member as a borrower provides additional profit, then this additional profit should not be used or recorded as income for LKMS BMT Pasuruan.</w:t>
      </w:r>
    </w:p>
    <w:p w:rsidR="007E4773" w:rsidRPr="001038BB" w:rsidRDefault="00790627" w:rsidP="0096430A">
      <w:pPr>
        <w:pStyle w:val="NoSpacing"/>
        <w:ind w:left="90" w:firstLine="446"/>
        <w:contextualSpacing/>
        <w:jc w:val="both"/>
        <w:rPr>
          <w:rFonts w:ascii="Book Antiqua" w:hAnsi="Book Antiqua" w:cs="Times New Roman"/>
          <w:sz w:val="24"/>
          <w:szCs w:val="24"/>
        </w:rPr>
      </w:pPr>
      <w:r w:rsidRPr="00790627">
        <w:rPr>
          <w:rFonts w:ascii="Book Antiqua" w:hAnsi="Book Antiqua" w:cs="Times New Roman"/>
          <w:sz w:val="24"/>
          <w:szCs w:val="24"/>
        </w:rPr>
        <w:t xml:space="preserve">The application of </w:t>
      </w:r>
      <w:r w:rsidRPr="00790627">
        <w:rPr>
          <w:rFonts w:ascii="Book Antiqua" w:hAnsi="Book Antiqua" w:cs="Times New Roman"/>
          <w:i/>
          <w:iCs/>
          <w:sz w:val="24"/>
          <w:szCs w:val="24"/>
        </w:rPr>
        <w:t>al-Qardh</w:t>
      </w:r>
      <w:r w:rsidRPr="00790627">
        <w:rPr>
          <w:rFonts w:ascii="Book Antiqua" w:hAnsi="Book Antiqua" w:cs="Times New Roman"/>
          <w:sz w:val="24"/>
          <w:szCs w:val="24"/>
        </w:rPr>
        <w:t xml:space="preserve"> contract financing with this nadzar system has a positive impact on LKMS BMT, including being able to increase member loyalty and can help members free themselves from loan sharks and usury laws. In addition, the </w:t>
      </w:r>
      <w:r w:rsidRPr="00790627">
        <w:rPr>
          <w:rFonts w:ascii="Book Antiqua" w:hAnsi="Book Antiqua" w:cs="Times New Roman"/>
          <w:i/>
          <w:iCs/>
          <w:sz w:val="24"/>
          <w:szCs w:val="24"/>
        </w:rPr>
        <w:t>al-Qardh</w:t>
      </w:r>
      <w:r w:rsidRPr="00790627">
        <w:rPr>
          <w:rFonts w:ascii="Book Antiqua" w:hAnsi="Book Antiqua" w:cs="Times New Roman"/>
          <w:sz w:val="24"/>
          <w:szCs w:val="24"/>
        </w:rPr>
        <w:t xml:space="preserve"> financing pattern of the nadzar system is seen by members (customers) as an easy process that is not complicated so that it is very convenient for members (customers) who need fast and precise financing.</w:t>
      </w:r>
    </w:p>
    <w:p w:rsidR="00AF05BE" w:rsidRPr="001038BB" w:rsidRDefault="00790627" w:rsidP="001038BB">
      <w:pPr>
        <w:pStyle w:val="Heading1"/>
        <w:tabs>
          <w:tab w:val="clear" w:pos="720"/>
          <w:tab w:val="num" w:pos="0"/>
        </w:tabs>
        <w:jc w:val="left"/>
        <w:rPr>
          <w:rFonts w:ascii="Book Antiqua" w:hAnsi="Book Antiqua"/>
        </w:rPr>
      </w:pPr>
      <w:r w:rsidRPr="00790627">
        <w:rPr>
          <w:rFonts w:ascii="Book Antiqua" w:hAnsi="Book Antiqua"/>
        </w:rPr>
        <w:t>Bibliography</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 xml:space="preserve">A. Mustofa Bisri, </w:t>
      </w:r>
      <w:r w:rsidRPr="00A024BE">
        <w:rPr>
          <w:rFonts w:ascii="Book Antiqua" w:hAnsi="Book Antiqua" w:cs="Times New Roman"/>
          <w:i/>
          <w:iCs/>
          <w:sz w:val="24"/>
          <w:szCs w:val="24"/>
        </w:rPr>
        <w:t>Percik-Percik Keteladanan Kyai Hamid Ahmad Pasuruan (Rembang: Lembaga Informasi Dan Studi Islam</w:t>
      </w:r>
      <w:r w:rsidRPr="00A024BE">
        <w:rPr>
          <w:rFonts w:ascii="Book Antiqua" w:hAnsi="Book Antiqua" w:cs="Times New Roman"/>
          <w:sz w:val="24"/>
          <w:szCs w:val="24"/>
        </w:rPr>
        <w:t xml:space="preserve"> (Pasuruan: Yayasan Ma`had as-Salafiyah, 2003)</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 xml:space="preserve">Antonio, Syafi’i, </w:t>
      </w:r>
      <w:r w:rsidRPr="00A024BE">
        <w:rPr>
          <w:rFonts w:ascii="Book Antiqua" w:hAnsi="Book Antiqua" w:cs="Times New Roman"/>
          <w:i/>
          <w:iCs/>
          <w:sz w:val="24"/>
          <w:szCs w:val="24"/>
        </w:rPr>
        <w:t>Bank Shariah: Dari Teori Ke Praktik</w:t>
      </w:r>
      <w:r w:rsidRPr="00A024BE">
        <w:rPr>
          <w:rFonts w:ascii="Book Antiqua" w:hAnsi="Book Antiqua" w:cs="Times New Roman"/>
          <w:sz w:val="24"/>
          <w:szCs w:val="24"/>
        </w:rPr>
        <w:t xml:space="preserve"> (Bogor: Tazkia, 2001)</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 xml:space="preserve">Ascarya, </w:t>
      </w:r>
      <w:r w:rsidRPr="00A024BE">
        <w:rPr>
          <w:rFonts w:ascii="Book Antiqua" w:hAnsi="Book Antiqua" w:cs="Times New Roman"/>
          <w:i/>
          <w:iCs/>
          <w:sz w:val="24"/>
          <w:szCs w:val="24"/>
        </w:rPr>
        <w:t>Akad Dan Produk Bank Shari’ah</w:t>
      </w:r>
      <w:r w:rsidRPr="00A024BE">
        <w:rPr>
          <w:rFonts w:ascii="Book Antiqua" w:hAnsi="Book Antiqua" w:cs="Times New Roman"/>
          <w:sz w:val="24"/>
          <w:szCs w:val="24"/>
        </w:rPr>
        <w:t xml:space="preserve"> (Depok: Rajawali Pers, 2017)</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Badarudin, ‘Manajemen Pembiayaan Produk Al-Qardhul Hasan’ (UIN Sunan Kalijaga Yogyakarta, 2011)</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 xml:space="preserve">Badruddin Hsubky, </w:t>
      </w:r>
      <w:r w:rsidRPr="00A024BE">
        <w:rPr>
          <w:rFonts w:ascii="Book Antiqua" w:hAnsi="Book Antiqua" w:cs="Times New Roman"/>
          <w:i/>
          <w:iCs/>
          <w:sz w:val="24"/>
          <w:szCs w:val="24"/>
        </w:rPr>
        <w:t>Delima Ulama’ Dalam Perubahan Zaman,</w:t>
      </w:r>
      <w:r w:rsidRPr="00A024BE">
        <w:rPr>
          <w:rFonts w:ascii="Book Antiqua" w:hAnsi="Book Antiqua" w:cs="Times New Roman"/>
          <w:sz w:val="24"/>
          <w:szCs w:val="24"/>
        </w:rPr>
        <w:t xml:space="preserve"> (Jakarta: Gema Insani Press, 1995)</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 xml:space="preserve">Ghafur, Saifuddin Syuhri dan Abd, ‘Penerapan Akad Nadzar Pada Pembiayaan Qardh (Studi Pada Koperasi BMT Maslahah Jawa Timur)’, </w:t>
      </w:r>
      <w:r w:rsidRPr="00A024BE">
        <w:rPr>
          <w:rFonts w:ascii="Book Antiqua" w:hAnsi="Book Antiqua" w:cs="Times New Roman"/>
          <w:i/>
          <w:iCs/>
          <w:sz w:val="24"/>
          <w:szCs w:val="24"/>
        </w:rPr>
        <w:t>Jurnal Ar Ribhu Manajemen Dan Keuangan Syariah</w:t>
      </w:r>
      <w:r w:rsidRPr="00A024BE">
        <w:rPr>
          <w:rFonts w:ascii="Book Antiqua" w:hAnsi="Book Antiqua" w:cs="Times New Roman"/>
          <w:sz w:val="24"/>
          <w:szCs w:val="24"/>
        </w:rPr>
        <w:t>, 02 No.1 (2022)</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 xml:space="preserve">Hamdan Rasyid, </w:t>
      </w:r>
      <w:r w:rsidRPr="00A024BE">
        <w:rPr>
          <w:rFonts w:ascii="Book Antiqua" w:hAnsi="Book Antiqua" w:cs="Times New Roman"/>
          <w:i/>
          <w:iCs/>
          <w:sz w:val="24"/>
          <w:szCs w:val="24"/>
        </w:rPr>
        <w:t>Bimbingan Ulama; Kepada Umara Dan Uma</w:t>
      </w:r>
      <w:r w:rsidRPr="00A024BE">
        <w:rPr>
          <w:rFonts w:ascii="Book Antiqua" w:hAnsi="Book Antiqua" w:cs="Times New Roman"/>
          <w:sz w:val="24"/>
          <w:szCs w:val="24"/>
        </w:rPr>
        <w:t xml:space="preserve"> (Jakarta: Pustaka Beta, 2007)</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Hendri Hermawandi Nugraha, ‘Sumber Dan Penggunaan Dana Al-Qardh Dan Qardhul Hasan Pada BRI Shariah Yogyakarta’ (UIN Sunan Kalijaga Yogyakarta, 2012)</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Hosriyah, ‘Analisis Penerapan Akad Al-Qardh Dan Ijarah. (Studi Pada PT. Bank Mandiri Sariah Cabang Bangkalan’ (UIN Sunan Ampel Surabaya, 2012)</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 xml:space="preserve">Imam Suprayogo, </w:t>
      </w:r>
      <w:r w:rsidRPr="00A024BE">
        <w:rPr>
          <w:rFonts w:ascii="Book Antiqua" w:hAnsi="Book Antiqua" w:cs="Times New Roman"/>
          <w:i/>
          <w:iCs/>
          <w:sz w:val="24"/>
          <w:szCs w:val="24"/>
        </w:rPr>
        <w:t>Kyai Dan Politik</w:t>
      </w:r>
      <w:r w:rsidRPr="00A024BE">
        <w:rPr>
          <w:rFonts w:ascii="Book Antiqua" w:hAnsi="Book Antiqua" w:cs="Times New Roman"/>
          <w:sz w:val="24"/>
          <w:szCs w:val="24"/>
        </w:rPr>
        <w:t xml:space="preserve"> (Malang: UIN Malang Press, 2009)</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Irawan Febianto dan Arimbi Madila Ashany, ‘The Impact of Qordhul Hasan Financing Using Zakah Funds on Economic Empowerment’ (UIN Sunan Ampel Surabaya, 2012)</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 xml:space="preserve">Iskandar, </w:t>
      </w:r>
      <w:r w:rsidRPr="00A024BE">
        <w:rPr>
          <w:rFonts w:ascii="Book Antiqua" w:hAnsi="Book Antiqua" w:cs="Times New Roman"/>
          <w:i/>
          <w:iCs/>
          <w:sz w:val="24"/>
          <w:szCs w:val="24"/>
        </w:rPr>
        <w:t>Metodologi Penelitian Pendidikan Dan Sosial, Kuantitatif Dan Kualitatif</w:t>
      </w:r>
      <w:r w:rsidRPr="00A024BE">
        <w:rPr>
          <w:rFonts w:ascii="Book Antiqua" w:hAnsi="Book Antiqua" w:cs="Times New Roman"/>
          <w:sz w:val="24"/>
          <w:szCs w:val="24"/>
        </w:rPr>
        <w:t xml:space="preserve"> (Jakarta: Gaung Persada Press, 2010)</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Istighfaroh, ‘Implementasi PSAK No.109 Terhadap Pembiayaan Al-Qardh Di BNI Shariah Cabang Pekalongan’ (IAIN Pekalongan, 2013)</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 xml:space="preserve">Juwaini, A, and N and Mintarti, </w:t>
      </w:r>
      <w:r w:rsidRPr="00A024BE">
        <w:rPr>
          <w:rFonts w:ascii="Book Antiqua" w:hAnsi="Book Antiqua" w:cs="Times New Roman"/>
          <w:i/>
          <w:iCs/>
          <w:sz w:val="24"/>
          <w:szCs w:val="24"/>
        </w:rPr>
        <w:t>BMT (Baitulmaal Wa Tamwil) Islamic Micro Financial Services for the Poor</w:t>
      </w:r>
      <w:r w:rsidRPr="00A024BE">
        <w:rPr>
          <w:rFonts w:ascii="Book Antiqua" w:hAnsi="Book Antiqua" w:cs="Times New Roman"/>
          <w:sz w:val="24"/>
          <w:szCs w:val="24"/>
        </w:rPr>
        <w:t xml:space="preserve"> (Bali: ISO/Copolco Workshop, 2010)</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Mimi Rahmawati, ‘Pengelolaan Dan Pengembangan Pembiayaan Al-Qardhul Hasan Di BMT Al-Ikhlas Yogyakarta’ (UIN Sunan Kalijaga Yogyakarta, 2013)</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 xml:space="preserve">Muhammad Ridwan, </w:t>
      </w:r>
      <w:r w:rsidRPr="00A024BE">
        <w:rPr>
          <w:rFonts w:ascii="Book Antiqua" w:hAnsi="Book Antiqua" w:cs="Times New Roman"/>
          <w:i/>
          <w:iCs/>
          <w:sz w:val="24"/>
          <w:szCs w:val="24"/>
        </w:rPr>
        <w:t>Manajemen Baitul Maal Wa Tamwil (BMT)</w:t>
      </w:r>
      <w:r w:rsidRPr="00A024BE">
        <w:rPr>
          <w:rFonts w:ascii="Book Antiqua" w:hAnsi="Book Antiqua" w:cs="Times New Roman"/>
          <w:sz w:val="24"/>
          <w:szCs w:val="24"/>
        </w:rPr>
        <w:t xml:space="preserve"> (Yogyakarta: UII Press, Cet. II, 2004)</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 xml:space="preserve">Munawar Fuad Noeh dan Mastuki HS, </w:t>
      </w:r>
      <w:r w:rsidRPr="00A024BE">
        <w:rPr>
          <w:rFonts w:ascii="Book Antiqua" w:hAnsi="Book Antiqua" w:cs="Times New Roman"/>
          <w:i/>
          <w:iCs/>
          <w:sz w:val="24"/>
          <w:szCs w:val="24"/>
        </w:rPr>
        <w:t>Menghidupkan Ruh Pemikiran KH Ahmad Shiddiq</w:t>
      </w:r>
      <w:r w:rsidRPr="00A024BE">
        <w:rPr>
          <w:rFonts w:ascii="Book Antiqua" w:hAnsi="Book Antiqua" w:cs="Times New Roman"/>
          <w:sz w:val="24"/>
          <w:szCs w:val="24"/>
        </w:rPr>
        <w:t xml:space="preserve"> (Jakarta: PT Gramedia Pustaka Utama, 2002)</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 xml:space="preserve">Nurhayati Djamas, </w:t>
      </w:r>
      <w:r w:rsidRPr="00A024BE">
        <w:rPr>
          <w:rFonts w:ascii="Book Antiqua" w:hAnsi="Book Antiqua" w:cs="Times New Roman"/>
          <w:i/>
          <w:iCs/>
          <w:sz w:val="24"/>
          <w:szCs w:val="24"/>
        </w:rPr>
        <w:t>Dinamika Pendidikan Islam Di Indonesia Pasca Kemerdekaan</w:t>
      </w:r>
      <w:r w:rsidRPr="00A024BE">
        <w:rPr>
          <w:rFonts w:ascii="Book Antiqua" w:hAnsi="Book Antiqua" w:cs="Times New Roman"/>
          <w:sz w:val="24"/>
          <w:szCs w:val="24"/>
        </w:rPr>
        <w:t xml:space="preserve"> (Jakarta: PT Raja Grafinda Persada, 2008)</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 xml:space="preserve">Oktavian, Ricky Dendi, and Renny Oktafia, </w:t>
      </w:r>
      <w:r w:rsidRPr="00A024BE">
        <w:rPr>
          <w:rFonts w:ascii="Book Antiqua" w:hAnsi="Book Antiqua" w:cs="Times New Roman"/>
          <w:i/>
          <w:iCs/>
          <w:sz w:val="24"/>
          <w:szCs w:val="24"/>
        </w:rPr>
        <w:t>Perkembangan Ekonomi Dan Lembaga Keuangan Syariah Di Indonesia</w:t>
      </w:r>
      <w:r w:rsidRPr="00A024BE">
        <w:rPr>
          <w:rFonts w:ascii="Book Antiqua" w:hAnsi="Book Antiqua" w:cs="Times New Roman"/>
          <w:sz w:val="24"/>
          <w:szCs w:val="24"/>
        </w:rPr>
        <w:t xml:space="preserve"> (Sidoarjo: Universitas Muhammadiyah Sidoarjo, 2015)</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 xml:space="preserve">Parmujianto, ‘Accounting, and Economics’, </w:t>
      </w:r>
      <w:r w:rsidRPr="00A024BE">
        <w:rPr>
          <w:rFonts w:ascii="Book Antiqua" w:hAnsi="Book Antiqua" w:cs="Times New Roman"/>
          <w:i/>
          <w:iCs/>
          <w:sz w:val="24"/>
          <w:szCs w:val="24"/>
        </w:rPr>
        <w:t>Conference on Islamic Management</w:t>
      </w:r>
      <w:r w:rsidRPr="00A024BE">
        <w:rPr>
          <w:rFonts w:ascii="Book Antiqua" w:hAnsi="Book Antiqua" w:cs="Times New Roman"/>
          <w:sz w:val="24"/>
          <w:szCs w:val="24"/>
        </w:rPr>
        <w:t xml:space="preserve"> (malaysia: (CIMAE) Malaysia)</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 xml:space="preserve">Saiful Akhyar Lubis, </w:t>
      </w:r>
      <w:r w:rsidRPr="00A024BE">
        <w:rPr>
          <w:rFonts w:ascii="Book Antiqua" w:hAnsi="Book Antiqua" w:cs="Times New Roman"/>
          <w:i/>
          <w:iCs/>
          <w:sz w:val="24"/>
          <w:szCs w:val="24"/>
        </w:rPr>
        <w:t>Konseling Islami Kyai Dan Pesantren</w:t>
      </w:r>
      <w:r w:rsidRPr="00A024BE">
        <w:rPr>
          <w:rFonts w:ascii="Book Antiqua" w:hAnsi="Book Antiqua" w:cs="Times New Roman"/>
          <w:sz w:val="24"/>
          <w:szCs w:val="24"/>
        </w:rPr>
        <w:t xml:space="preserve"> (Yogyakarta: LSAQ Press 2007, 2007)</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Siti Nur Mutia Andini, ‘Pengelolaan Dana Qardhul Hasan Terhadap Pembiayaan Kampung Sukamulya Di BAZ Kota Bogor’ (TAZKIA Bogor, 2013)</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Susantri, Dewi, ‘Peran Qardhul Hasan Terhadap Peningkatan Kinerja Usaha Mikro Kecamatan Rowosari Kabupaten Kendal’ (IAIN Salatiga, 2012)</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Uswatun, ‘Pengaruh Pembiayaan Qardhul Hasan Pada BNI Shariah Cabang Semarang Terhadap Perkembangan Usaha Kecil’ (UIN Walisongo Semarang, 2015)</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 xml:space="preserve">Wahbah Zuhayli, </w:t>
      </w:r>
      <w:r w:rsidRPr="00A024BE">
        <w:rPr>
          <w:rFonts w:ascii="Book Antiqua" w:hAnsi="Book Antiqua" w:cs="Times New Roman"/>
          <w:i/>
          <w:iCs/>
          <w:sz w:val="24"/>
          <w:szCs w:val="24"/>
        </w:rPr>
        <w:t>Transaksi Keuangan Dalam Fikih Islam,</w:t>
      </w:r>
      <w:r w:rsidRPr="00A024BE">
        <w:rPr>
          <w:rFonts w:ascii="Book Antiqua" w:hAnsi="Book Antiqua" w:cs="Times New Roman"/>
          <w:sz w:val="24"/>
          <w:szCs w:val="24"/>
        </w:rPr>
        <w:t xml:space="preserve"> (Damaskus: Diterjemahkan oleh, El-Gamal, A.) Dar al-Fikr, Damaskus, 2003)</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cs="Times New Roman"/>
          <w:sz w:val="24"/>
          <w:szCs w:val="24"/>
        </w:rPr>
      </w:pPr>
      <w:r w:rsidRPr="00A024BE">
        <w:rPr>
          <w:rFonts w:ascii="Book Antiqua" w:hAnsi="Book Antiqua" w:cs="Times New Roman"/>
          <w:sz w:val="24"/>
          <w:szCs w:val="24"/>
        </w:rPr>
        <w:t xml:space="preserve">Widiyanto, MC, and AG dan Ismail, ‘Keberlanjutan Pembiayaan BMT Untuk Mengembangkan Usaha Mikro’, in </w:t>
      </w:r>
      <w:r w:rsidRPr="00A024BE">
        <w:rPr>
          <w:rFonts w:ascii="Book Antiqua" w:hAnsi="Book Antiqua" w:cs="Times New Roman"/>
          <w:i/>
          <w:iCs/>
          <w:sz w:val="24"/>
          <w:szCs w:val="24"/>
        </w:rPr>
        <w:t>1</w:t>
      </w:r>
      <w:r w:rsidRPr="00A024BE">
        <w:rPr>
          <w:rFonts w:ascii="Book Antiqua" w:hAnsi="Book Antiqua" w:cs="Times New Roman"/>
          <w:sz w:val="24"/>
          <w:szCs w:val="24"/>
        </w:rPr>
        <w:t xml:space="preserve"> (Pasuruan: Departemen Ekonomi dan Keuangan Syariah - Bank Indonesia, 2007)</w:t>
      </w:r>
    </w:p>
    <w:p w:rsidR="00A024BE" w:rsidRPr="00A024BE" w:rsidRDefault="00A024BE" w:rsidP="00A024BE">
      <w:pPr>
        <w:widowControl w:val="0"/>
        <w:autoSpaceDE w:val="0"/>
        <w:autoSpaceDN w:val="0"/>
        <w:adjustRightInd w:val="0"/>
        <w:spacing w:after="140" w:line="288" w:lineRule="auto"/>
        <w:ind w:left="480" w:hanging="480"/>
        <w:jc w:val="both"/>
        <w:rPr>
          <w:rFonts w:ascii="Book Antiqua" w:hAnsi="Book Antiqua"/>
        </w:rPr>
      </w:pPr>
      <w:r w:rsidRPr="00A024BE">
        <w:rPr>
          <w:rFonts w:ascii="Book Antiqua" w:hAnsi="Book Antiqua" w:cs="Times New Roman"/>
          <w:sz w:val="24"/>
          <w:szCs w:val="24"/>
        </w:rPr>
        <w:t>Yovita Diah Aditriani, ‘Penerapan Pembiayaan Qardhul Hasan Di Bank Shariah Mandiri Cabang Semarang’ (UIN Walisongo Semarang, 2015)</w:t>
      </w:r>
    </w:p>
    <w:p w:rsidR="00E967DB" w:rsidRPr="00D50FF1" w:rsidRDefault="00E967DB" w:rsidP="00A024BE">
      <w:pPr>
        <w:widowControl w:val="0"/>
        <w:autoSpaceDE w:val="0"/>
        <w:autoSpaceDN w:val="0"/>
        <w:adjustRightInd w:val="0"/>
        <w:spacing w:after="140" w:line="288" w:lineRule="auto"/>
        <w:ind w:left="480" w:hanging="480"/>
        <w:jc w:val="both"/>
      </w:pPr>
    </w:p>
    <w:sectPr w:rsidR="00E967DB" w:rsidRPr="00D50FF1" w:rsidSect="00E31B70">
      <w:headerReference w:type="default" r:id="rId8"/>
      <w:footerReference w:type="default" r:id="rId9"/>
      <w:pgSz w:w="11907" w:h="16840" w:code="9"/>
      <w:pgMar w:top="1728" w:right="1699" w:bottom="1728" w:left="2045"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95543" w:rsidRDefault="00E95543" w:rsidP="0044354C">
      <w:pPr>
        <w:spacing w:after="0" w:line="240" w:lineRule="auto"/>
      </w:pPr>
      <w:r>
        <w:separator/>
      </w:r>
    </w:p>
  </w:endnote>
  <w:endnote w:type="continuationSeparator" w:id="0">
    <w:p w:rsidR="00E95543" w:rsidRDefault="00E95543" w:rsidP="00443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atang">
    <w:altName w:val="¡Ë¢ç¢®¡¿IoUAA"/>
    <w:panose1 w:val="02030600000101010101"/>
    <w:charset w:val="81"/>
    <w:family w:val="auto"/>
    <w:pitch w:val="fixed"/>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LPMQ Isep Misbah">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77388" w:rsidRDefault="00777388">
    <w:pPr>
      <w:pStyle w:val="Footer"/>
      <w:jc w:val="center"/>
    </w:pPr>
  </w:p>
  <w:p w:rsidR="00777388" w:rsidRDefault="007773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95543" w:rsidRDefault="00E95543" w:rsidP="0044354C">
      <w:pPr>
        <w:spacing w:after="0" w:line="240" w:lineRule="auto"/>
      </w:pPr>
      <w:r>
        <w:separator/>
      </w:r>
    </w:p>
  </w:footnote>
  <w:footnote w:type="continuationSeparator" w:id="0">
    <w:p w:rsidR="00E95543" w:rsidRDefault="00E95543" w:rsidP="0044354C">
      <w:pPr>
        <w:spacing w:after="0" w:line="240" w:lineRule="auto"/>
      </w:pPr>
      <w:r>
        <w:continuationSeparator/>
      </w:r>
    </w:p>
  </w:footnote>
  <w:footnote w:id="1">
    <w:p w:rsidR="00000000" w:rsidRDefault="00C30B52" w:rsidP="00C30B52">
      <w:pPr>
        <w:pStyle w:val="FootnoteText"/>
      </w:pPr>
      <w:r w:rsidRPr="00E02F22">
        <w:rPr>
          <w:rStyle w:val="FootnoteReference"/>
          <w:rFonts w:asciiTheme="majorBidi" w:hAnsiTheme="majorBidi"/>
        </w:rPr>
        <w:footnoteRef/>
      </w:r>
      <w:r w:rsidRPr="00E02F22">
        <w:rPr>
          <w:rFonts w:asciiTheme="majorBidi" w:hAnsiTheme="majorBidi" w:cs="Times New Roman"/>
        </w:rPr>
        <w:t xml:space="preserve"> </w:t>
      </w:r>
      <w:r w:rsidRPr="00E02F22">
        <w:rPr>
          <w:rStyle w:val="Strong"/>
          <w:rFonts w:asciiTheme="majorBidi" w:hAnsiTheme="majorBidi"/>
          <w:b w:val="0"/>
          <w:bCs w:val="0"/>
        </w:rPr>
        <w:t>Ricky Dendi Oktavian and Renny Oktafia</w:t>
      </w:r>
      <w:r w:rsidRPr="00E02F22">
        <w:rPr>
          <w:rFonts w:asciiTheme="majorBidi" w:hAnsiTheme="majorBidi" w:cs="Times New Roman"/>
        </w:rPr>
        <w:t xml:space="preserve">, </w:t>
      </w:r>
      <w:r w:rsidRPr="00E02F22">
        <w:rPr>
          <w:rStyle w:val="Emphasis"/>
          <w:rFonts w:asciiTheme="majorBidi" w:hAnsiTheme="majorBidi"/>
        </w:rPr>
        <w:t>Perkembangan Ekonomi Dan Lembaga Keuangan Syariah Di Indonesia</w:t>
      </w:r>
      <w:r w:rsidRPr="00E02F22">
        <w:rPr>
          <w:rFonts w:asciiTheme="majorBidi" w:hAnsiTheme="majorBidi" w:cs="Times New Roman"/>
        </w:rPr>
        <w:t xml:space="preserve"> (Sidoarjo: Universitas Muhammadiyah Sidoarjo, 2015).</w:t>
      </w:r>
    </w:p>
  </w:footnote>
  <w:footnote w:id="2">
    <w:p w:rsidR="00000000" w:rsidRDefault="00C30B52" w:rsidP="00C30B52">
      <w:pPr>
        <w:pStyle w:val="FootnoteText"/>
      </w:pPr>
      <w:r w:rsidRPr="00E02F22">
        <w:rPr>
          <w:rStyle w:val="FootnoteReference"/>
          <w:rFonts w:asciiTheme="majorBidi" w:hAnsiTheme="majorBidi"/>
        </w:rPr>
        <w:footnoteRef/>
      </w:r>
      <w:r w:rsidRPr="00E02F22">
        <w:rPr>
          <w:rFonts w:asciiTheme="majorBidi" w:hAnsiTheme="majorBidi" w:cs="Times New Roman"/>
        </w:rPr>
        <w:t xml:space="preserve"> </w:t>
      </w:r>
      <w:r w:rsidRPr="00E02F22">
        <w:rPr>
          <w:rStyle w:val="Strong"/>
          <w:rFonts w:asciiTheme="majorBidi" w:hAnsiTheme="majorBidi"/>
          <w:b w:val="0"/>
          <w:bCs w:val="0"/>
        </w:rPr>
        <w:t>Parmujianto</w:t>
      </w:r>
      <w:r w:rsidRPr="00E02F22">
        <w:rPr>
          <w:rFonts w:asciiTheme="majorBidi" w:hAnsiTheme="majorBidi" w:cs="Times New Roman"/>
        </w:rPr>
        <w:t xml:space="preserve">, </w:t>
      </w:r>
      <w:r w:rsidRPr="00E02F22">
        <w:rPr>
          <w:rStyle w:val="Emphasis"/>
          <w:rFonts w:asciiTheme="majorBidi" w:hAnsiTheme="majorBidi"/>
        </w:rPr>
        <w:t>‘Accounting, and Economics’</w:t>
      </w:r>
      <w:r w:rsidRPr="00E02F22">
        <w:rPr>
          <w:rFonts w:asciiTheme="majorBidi" w:hAnsiTheme="majorBidi" w:cs="Times New Roman"/>
        </w:rPr>
        <w:t>, Conference on Islamic Management (Malaysia: (CIMAE) Malaysia).</w:t>
      </w:r>
    </w:p>
  </w:footnote>
  <w:footnote w:id="3">
    <w:p w:rsidR="00000000" w:rsidRDefault="00C30B52" w:rsidP="00C30B52">
      <w:pPr>
        <w:pStyle w:val="FootnoteText"/>
      </w:pPr>
      <w:r w:rsidRPr="00E02F22">
        <w:rPr>
          <w:rStyle w:val="FootnoteReference"/>
          <w:rFonts w:asciiTheme="majorBidi" w:hAnsiTheme="majorBidi"/>
        </w:rPr>
        <w:footnoteRef/>
      </w:r>
      <w:r w:rsidRPr="00E02F22">
        <w:rPr>
          <w:rFonts w:asciiTheme="majorBidi" w:hAnsiTheme="majorBidi" w:cs="Times New Roman"/>
        </w:rPr>
        <w:t xml:space="preserve"> </w:t>
      </w:r>
      <w:r w:rsidRPr="00E02F22">
        <w:rPr>
          <w:rStyle w:val="Strong"/>
          <w:rFonts w:asciiTheme="majorBidi" w:hAnsiTheme="majorBidi"/>
          <w:b w:val="0"/>
          <w:bCs w:val="0"/>
        </w:rPr>
        <w:t>A Juwaini and N and Mintarti</w:t>
      </w:r>
      <w:r w:rsidRPr="00E02F22">
        <w:rPr>
          <w:rFonts w:asciiTheme="majorBidi" w:hAnsiTheme="majorBidi" w:cs="Times New Roman"/>
        </w:rPr>
        <w:t xml:space="preserve">, </w:t>
      </w:r>
      <w:r w:rsidRPr="00E02F22">
        <w:rPr>
          <w:rStyle w:val="Emphasis"/>
          <w:rFonts w:asciiTheme="majorBidi" w:hAnsiTheme="majorBidi"/>
        </w:rPr>
        <w:t>BMT (Baitulmaal Wa Tamwil) Islamic Micro Financial Services for the Poor</w:t>
      </w:r>
      <w:r w:rsidRPr="00E02F22">
        <w:rPr>
          <w:rFonts w:asciiTheme="majorBidi" w:hAnsiTheme="majorBidi" w:cs="Times New Roman"/>
        </w:rPr>
        <w:t xml:space="preserve"> (Bali: ISO/Copolco Workshop, 2010).</w:t>
      </w:r>
    </w:p>
  </w:footnote>
  <w:footnote w:id="4">
    <w:p w:rsidR="00000000" w:rsidRDefault="00C30B52" w:rsidP="00C30B52">
      <w:pPr>
        <w:pStyle w:val="FootnoteText"/>
      </w:pPr>
      <w:r w:rsidRPr="00E02F22">
        <w:rPr>
          <w:rStyle w:val="FootnoteReference"/>
          <w:rFonts w:asciiTheme="majorBidi" w:hAnsiTheme="majorBidi"/>
        </w:rPr>
        <w:footnoteRef/>
      </w:r>
      <w:r w:rsidRPr="00E02F22">
        <w:rPr>
          <w:rFonts w:asciiTheme="majorBidi" w:hAnsiTheme="majorBidi" w:cs="Times New Roman"/>
        </w:rPr>
        <w:t xml:space="preserve"> </w:t>
      </w:r>
      <w:r w:rsidRPr="00E02F22">
        <w:rPr>
          <w:rStyle w:val="Strong"/>
          <w:rFonts w:asciiTheme="majorBidi" w:hAnsiTheme="majorBidi"/>
          <w:b w:val="0"/>
          <w:bCs w:val="0"/>
        </w:rPr>
        <w:t>MC Widiyanto and AG dan Ismail</w:t>
      </w:r>
      <w:r w:rsidRPr="00E02F22">
        <w:rPr>
          <w:rFonts w:asciiTheme="majorBidi" w:hAnsiTheme="majorBidi" w:cs="Times New Roman"/>
        </w:rPr>
        <w:t xml:space="preserve">, </w:t>
      </w:r>
      <w:r w:rsidRPr="00E02F22">
        <w:rPr>
          <w:rStyle w:val="Emphasis"/>
          <w:rFonts w:asciiTheme="majorBidi" w:hAnsiTheme="majorBidi"/>
        </w:rPr>
        <w:t>‘Keberlanjutan Pembiayaan BMT Untuk Mengembangkan Usaha Mikro’</w:t>
      </w:r>
      <w:r w:rsidRPr="00E02F22">
        <w:rPr>
          <w:rFonts w:asciiTheme="majorBidi" w:hAnsiTheme="majorBidi" w:cs="Times New Roman"/>
        </w:rPr>
        <w:t>, in 1 (Pasuruan: Departemen Ekonomi dan Keuangan Syariah - Bank Indonesia, 2007).</w:t>
      </w:r>
    </w:p>
  </w:footnote>
  <w:footnote w:id="5">
    <w:p w:rsidR="00000000" w:rsidRDefault="00C30B52" w:rsidP="00C30B52">
      <w:pPr>
        <w:pStyle w:val="FootnoteText"/>
      </w:pPr>
      <w:r w:rsidRPr="00E02F22">
        <w:rPr>
          <w:rStyle w:val="FootnoteReference"/>
          <w:rFonts w:asciiTheme="majorBidi" w:hAnsiTheme="majorBidi"/>
        </w:rPr>
        <w:footnoteRef/>
      </w:r>
      <w:r w:rsidRPr="00E02F22">
        <w:rPr>
          <w:rFonts w:asciiTheme="majorBidi" w:hAnsiTheme="majorBidi" w:cs="Times New Roman"/>
        </w:rPr>
        <w:t xml:space="preserve"> </w:t>
      </w:r>
      <w:r w:rsidRPr="00E02F22">
        <w:rPr>
          <w:rStyle w:val="Strong"/>
          <w:rFonts w:asciiTheme="majorBidi" w:hAnsiTheme="majorBidi"/>
          <w:b w:val="0"/>
          <w:bCs w:val="0"/>
        </w:rPr>
        <w:t>Syafi’i Antonio</w:t>
      </w:r>
      <w:r w:rsidRPr="00E02F22">
        <w:rPr>
          <w:rFonts w:asciiTheme="majorBidi" w:hAnsiTheme="majorBidi" w:cs="Times New Roman"/>
        </w:rPr>
        <w:t xml:space="preserve">, </w:t>
      </w:r>
      <w:r w:rsidRPr="00E02F22">
        <w:rPr>
          <w:rStyle w:val="Emphasis"/>
          <w:rFonts w:asciiTheme="majorBidi" w:hAnsiTheme="majorBidi"/>
        </w:rPr>
        <w:t>Bank Shariah: Dari Teori Ke Praktik</w:t>
      </w:r>
      <w:r w:rsidRPr="00E02F22">
        <w:rPr>
          <w:rFonts w:asciiTheme="majorBidi" w:hAnsiTheme="majorBidi" w:cs="Times New Roman"/>
        </w:rPr>
        <w:t xml:space="preserve"> (Bogor: Tazkia, 2001).</w:t>
      </w:r>
    </w:p>
  </w:footnote>
  <w:footnote w:id="6">
    <w:p w:rsidR="00000000" w:rsidRDefault="00C30B52" w:rsidP="00C30B52">
      <w:pPr>
        <w:pStyle w:val="FootnoteText"/>
      </w:pPr>
      <w:r w:rsidRPr="00E02F22">
        <w:rPr>
          <w:rStyle w:val="FootnoteReference"/>
          <w:rFonts w:asciiTheme="majorBidi" w:hAnsiTheme="majorBidi"/>
        </w:rPr>
        <w:footnoteRef/>
      </w:r>
      <w:r w:rsidRPr="00E02F22">
        <w:rPr>
          <w:rFonts w:asciiTheme="majorBidi" w:hAnsiTheme="majorBidi" w:cs="Times New Roman"/>
        </w:rPr>
        <w:t xml:space="preserve"> </w:t>
      </w:r>
      <w:r w:rsidRPr="00E02F22">
        <w:rPr>
          <w:rStyle w:val="Strong"/>
          <w:rFonts w:asciiTheme="majorBidi" w:hAnsiTheme="majorBidi"/>
          <w:b w:val="0"/>
          <w:bCs w:val="0"/>
        </w:rPr>
        <w:t>Ascarya</w:t>
      </w:r>
      <w:r w:rsidRPr="00E02F22">
        <w:rPr>
          <w:rFonts w:asciiTheme="majorBidi" w:hAnsiTheme="majorBidi" w:cs="Times New Roman"/>
        </w:rPr>
        <w:t xml:space="preserve">, </w:t>
      </w:r>
      <w:r w:rsidRPr="00E02F22">
        <w:rPr>
          <w:rStyle w:val="Emphasis"/>
          <w:rFonts w:asciiTheme="majorBidi" w:hAnsiTheme="majorBidi"/>
        </w:rPr>
        <w:t>Akad Dan Produk Bank Shari’ah</w:t>
      </w:r>
      <w:r w:rsidRPr="00E02F22">
        <w:rPr>
          <w:rFonts w:asciiTheme="majorBidi" w:hAnsiTheme="majorBidi" w:cs="Times New Roman"/>
        </w:rPr>
        <w:t xml:space="preserve"> (Depok: Rajawali Pers, 2017).</w:t>
      </w:r>
    </w:p>
  </w:footnote>
  <w:footnote w:id="7">
    <w:p w:rsidR="00000000" w:rsidRDefault="00C30B52" w:rsidP="00C30B52">
      <w:pPr>
        <w:pStyle w:val="FootnoteText"/>
      </w:pPr>
      <w:r w:rsidRPr="00E02F22">
        <w:rPr>
          <w:rStyle w:val="FootnoteReference"/>
          <w:rFonts w:asciiTheme="majorBidi" w:hAnsiTheme="majorBidi"/>
        </w:rPr>
        <w:footnoteRef/>
      </w:r>
      <w:r w:rsidRPr="00E02F22">
        <w:rPr>
          <w:rFonts w:asciiTheme="majorBidi" w:hAnsiTheme="majorBidi" w:cs="Times New Roman"/>
        </w:rPr>
        <w:t xml:space="preserve"> </w:t>
      </w:r>
      <w:r w:rsidRPr="00E02F22">
        <w:rPr>
          <w:rFonts w:asciiTheme="majorBidi" w:hAnsiTheme="majorBidi" w:cs="Times New Roman"/>
          <w:lang w:val="id-ID"/>
        </w:rPr>
        <w:t>Antonio.</w:t>
      </w:r>
    </w:p>
  </w:footnote>
  <w:footnote w:id="8">
    <w:p w:rsidR="00000000" w:rsidRDefault="00C30B52" w:rsidP="00C30B52">
      <w:pPr>
        <w:pStyle w:val="FootnoteText"/>
      </w:pPr>
      <w:r w:rsidRPr="00E02F22">
        <w:rPr>
          <w:rStyle w:val="FootnoteReference"/>
          <w:rFonts w:asciiTheme="majorBidi" w:hAnsiTheme="majorBidi"/>
        </w:rPr>
        <w:footnoteRef/>
      </w:r>
      <w:r w:rsidRPr="00E02F22">
        <w:rPr>
          <w:rFonts w:asciiTheme="majorBidi" w:hAnsiTheme="majorBidi" w:cs="Times New Roman"/>
        </w:rPr>
        <w:t xml:space="preserve"> </w:t>
      </w:r>
      <w:r w:rsidRPr="00E02F22">
        <w:rPr>
          <w:rStyle w:val="Strong"/>
          <w:rFonts w:asciiTheme="majorBidi" w:hAnsiTheme="majorBidi"/>
          <w:b w:val="0"/>
          <w:bCs w:val="0"/>
        </w:rPr>
        <w:t>Wahbah Zuhayli</w:t>
      </w:r>
      <w:r w:rsidRPr="00E02F22">
        <w:rPr>
          <w:rFonts w:asciiTheme="majorBidi" w:hAnsiTheme="majorBidi" w:cs="Times New Roman"/>
        </w:rPr>
        <w:t xml:space="preserve">, </w:t>
      </w:r>
      <w:r w:rsidRPr="00E02F22">
        <w:rPr>
          <w:rStyle w:val="Emphasis"/>
          <w:rFonts w:asciiTheme="majorBidi" w:hAnsiTheme="majorBidi"/>
        </w:rPr>
        <w:t>Transaksi Keuangan Dalam Fikih Islam</w:t>
      </w:r>
      <w:r w:rsidRPr="00E02F22">
        <w:rPr>
          <w:rFonts w:asciiTheme="majorBidi" w:hAnsiTheme="majorBidi" w:cs="Times New Roman"/>
        </w:rPr>
        <w:t>, (Damaskus: Diterjemahkan oleh, El-Gamal, A.) Dar al-Fikr, Damaskus, 2003).</w:t>
      </w:r>
    </w:p>
  </w:footnote>
  <w:footnote w:id="9">
    <w:p w:rsidR="00000000" w:rsidRDefault="00C30B52" w:rsidP="00C30B52">
      <w:pPr>
        <w:pStyle w:val="FootnoteText"/>
      </w:pPr>
      <w:r w:rsidRPr="00E02F22">
        <w:rPr>
          <w:rStyle w:val="FootnoteReference"/>
          <w:rFonts w:asciiTheme="majorBidi" w:hAnsiTheme="majorBidi"/>
        </w:rPr>
        <w:footnoteRef/>
      </w:r>
      <w:r w:rsidRPr="00E02F22">
        <w:rPr>
          <w:rFonts w:asciiTheme="majorBidi" w:hAnsiTheme="majorBidi" w:cs="Times New Roman"/>
        </w:rPr>
        <w:t xml:space="preserve"> </w:t>
      </w:r>
      <w:r w:rsidRPr="00E02F22">
        <w:rPr>
          <w:rStyle w:val="Strong"/>
          <w:rFonts w:asciiTheme="majorBidi" w:hAnsiTheme="majorBidi"/>
          <w:b w:val="0"/>
          <w:bCs w:val="0"/>
        </w:rPr>
        <w:t>Badarudin</w:t>
      </w:r>
      <w:r w:rsidRPr="00E02F22">
        <w:rPr>
          <w:rFonts w:asciiTheme="majorBidi" w:hAnsiTheme="majorBidi" w:cs="Times New Roman"/>
        </w:rPr>
        <w:t xml:space="preserve">, </w:t>
      </w:r>
      <w:r w:rsidRPr="00E02F22">
        <w:rPr>
          <w:rStyle w:val="Emphasis"/>
          <w:rFonts w:asciiTheme="majorBidi" w:hAnsiTheme="majorBidi"/>
        </w:rPr>
        <w:t>‘Manajemen Pembiayaan Produk Al-Qardhul Hasan’</w:t>
      </w:r>
      <w:r w:rsidRPr="00E02F22">
        <w:rPr>
          <w:rFonts w:asciiTheme="majorBidi" w:hAnsiTheme="majorBidi" w:cs="Times New Roman"/>
        </w:rPr>
        <w:t xml:space="preserve"> (UIN Sunan Kalijaga Yogyakarta, 2011).</w:t>
      </w:r>
    </w:p>
  </w:footnote>
  <w:footnote w:id="10">
    <w:p w:rsidR="00000000" w:rsidRDefault="009A5011" w:rsidP="009A5011">
      <w:pPr>
        <w:pStyle w:val="FootnoteText"/>
      </w:pPr>
      <w:r w:rsidRPr="00E02F22">
        <w:rPr>
          <w:rStyle w:val="FootnoteReference"/>
          <w:rFonts w:asciiTheme="majorBidi" w:hAnsiTheme="majorBidi"/>
        </w:rPr>
        <w:footnoteRef/>
      </w:r>
      <w:r w:rsidRPr="00E02F22">
        <w:rPr>
          <w:rFonts w:asciiTheme="majorBidi" w:hAnsiTheme="majorBidi" w:cs="Times New Roman"/>
        </w:rPr>
        <w:t xml:space="preserve"> </w:t>
      </w:r>
      <w:r w:rsidRPr="00E02F22">
        <w:rPr>
          <w:rStyle w:val="Strong"/>
          <w:rFonts w:asciiTheme="majorBidi" w:hAnsiTheme="majorBidi"/>
          <w:b w:val="0"/>
          <w:bCs w:val="0"/>
        </w:rPr>
        <w:t>Dewi Susantri</w:t>
      </w:r>
      <w:r w:rsidRPr="00E02F22">
        <w:rPr>
          <w:rFonts w:asciiTheme="majorBidi" w:hAnsiTheme="majorBidi" w:cs="Times New Roman"/>
        </w:rPr>
        <w:t xml:space="preserve">, </w:t>
      </w:r>
      <w:r w:rsidRPr="00E02F22">
        <w:rPr>
          <w:rStyle w:val="Emphasis"/>
          <w:rFonts w:asciiTheme="majorBidi" w:hAnsiTheme="majorBidi"/>
        </w:rPr>
        <w:t>‘Peran Qardhul Hasan Terhadap Peningkatan Kinerja Usaha Mikro Kecamatan Rowosari Kabupaten Kendal’</w:t>
      </w:r>
      <w:r w:rsidRPr="00E02F22">
        <w:rPr>
          <w:rFonts w:asciiTheme="majorBidi" w:hAnsiTheme="majorBidi" w:cs="Times New Roman"/>
        </w:rPr>
        <w:t xml:space="preserve"> (IAIN Salatiga, 2012).</w:t>
      </w:r>
    </w:p>
  </w:footnote>
  <w:footnote w:id="11">
    <w:p w:rsidR="00000000" w:rsidRDefault="009A5011" w:rsidP="009A5011">
      <w:pPr>
        <w:pStyle w:val="FootnoteText"/>
      </w:pPr>
      <w:r w:rsidRPr="00E02F22">
        <w:rPr>
          <w:rStyle w:val="FootnoteReference"/>
          <w:rFonts w:asciiTheme="majorBidi" w:hAnsiTheme="majorBidi"/>
        </w:rPr>
        <w:footnoteRef/>
      </w:r>
      <w:r w:rsidRPr="00E02F22">
        <w:rPr>
          <w:rFonts w:asciiTheme="majorBidi" w:hAnsiTheme="majorBidi" w:cs="Times New Roman"/>
        </w:rPr>
        <w:t xml:space="preserve"> </w:t>
      </w:r>
      <w:r w:rsidRPr="00E02F22">
        <w:rPr>
          <w:rStyle w:val="Strong"/>
          <w:rFonts w:asciiTheme="majorBidi" w:hAnsiTheme="majorBidi"/>
          <w:b w:val="0"/>
          <w:bCs w:val="0"/>
        </w:rPr>
        <w:t>Hosriyah</w:t>
      </w:r>
      <w:r w:rsidRPr="00E02F22">
        <w:rPr>
          <w:rFonts w:asciiTheme="majorBidi" w:hAnsiTheme="majorBidi" w:cs="Times New Roman"/>
        </w:rPr>
        <w:t xml:space="preserve">, </w:t>
      </w:r>
      <w:r w:rsidRPr="00E02F22">
        <w:rPr>
          <w:rStyle w:val="Emphasis"/>
          <w:rFonts w:asciiTheme="majorBidi" w:hAnsiTheme="majorBidi"/>
        </w:rPr>
        <w:t>‘Analisis Penerapan Akad Al-Qardh Dan Ijarah. (Studi Pada PT. Bank Mandiri Sariah Cabang Bangkalan’</w:t>
      </w:r>
      <w:r w:rsidRPr="00E02F22">
        <w:rPr>
          <w:rFonts w:asciiTheme="majorBidi" w:hAnsiTheme="majorBidi" w:cs="Times New Roman"/>
        </w:rPr>
        <w:t xml:space="preserve"> (UIN Sunan Ampel Surabaya, 2012).</w:t>
      </w:r>
    </w:p>
  </w:footnote>
  <w:footnote w:id="12">
    <w:p w:rsidR="00000000" w:rsidRDefault="009A5011" w:rsidP="009A5011">
      <w:pPr>
        <w:pStyle w:val="FootnoteText"/>
      </w:pPr>
      <w:r w:rsidRPr="00E02F22">
        <w:rPr>
          <w:rStyle w:val="FootnoteReference"/>
          <w:rFonts w:asciiTheme="majorBidi" w:hAnsiTheme="majorBidi"/>
        </w:rPr>
        <w:footnoteRef/>
      </w:r>
      <w:r w:rsidRPr="00E02F22">
        <w:rPr>
          <w:rFonts w:asciiTheme="majorBidi" w:hAnsiTheme="majorBidi" w:cs="Times New Roman"/>
          <w:lang w:val="id-ID"/>
        </w:rPr>
        <w:t xml:space="preserve"> </w:t>
      </w:r>
      <w:r w:rsidRPr="00E02F22">
        <w:rPr>
          <w:rStyle w:val="Strong"/>
          <w:rFonts w:asciiTheme="majorBidi" w:hAnsiTheme="majorBidi"/>
          <w:b w:val="0"/>
          <w:bCs w:val="0"/>
          <w:lang w:val="id-ID"/>
        </w:rPr>
        <w:t>Hendri Hermawandi Nugraha</w:t>
      </w:r>
      <w:r w:rsidRPr="00E02F22">
        <w:rPr>
          <w:rFonts w:asciiTheme="majorBidi" w:hAnsiTheme="majorBidi" w:cs="Times New Roman"/>
          <w:lang w:val="id-ID"/>
        </w:rPr>
        <w:t xml:space="preserve">, </w:t>
      </w:r>
      <w:r w:rsidRPr="00E02F22">
        <w:rPr>
          <w:rStyle w:val="Emphasis"/>
          <w:rFonts w:asciiTheme="majorBidi" w:hAnsiTheme="majorBidi"/>
          <w:lang w:val="id-ID"/>
        </w:rPr>
        <w:t>‘Sumber Dan Penggunaan Dana Al-Qardh Dan Qardhul Hasan Pada BRI Shariah Yogyakarta’</w:t>
      </w:r>
      <w:r w:rsidRPr="00E02F22">
        <w:rPr>
          <w:rFonts w:asciiTheme="majorBidi" w:hAnsiTheme="majorBidi" w:cs="Times New Roman"/>
          <w:lang w:val="id-ID"/>
        </w:rPr>
        <w:t xml:space="preserve"> (UIN Sunan Kalijaga Yogyakarta, 2012).</w:t>
      </w:r>
    </w:p>
  </w:footnote>
  <w:footnote w:id="13">
    <w:p w:rsidR="00000000" w:rsidRDefault="009A5011" w:rsidP="009A5011">
      <w:pPr>
        <w:pStyle w:val="FootnoteText"/>
      </w:pPr>
      <w:r w:rsidRPr="00E02F22">
        <w:rPr>
          <w:rStyle w:val="FootnoteReference"/>
          <w:rFonts w:asciiTheme="majorBidi" w:hAnsiTheme="majorBidi"/>
        </w:rPr>
        <w:footnoteRef/>
      </w:r>
      <w:r w:rsidRPr="00E02F22">
        <w:rPr>
          <w:rFonts w:asciiTheme="majorBidi" w:hAnsiTheme="majorBidi" w:cs="Times New Roman"/>
        </w:rPr>
        <w:t xml:space="preserve"> </w:t>
      </w:r>
      <w:r w:rsidRPr="00E02F22">
        <w:rPr>
          <w:rStyle w:val="Strong"/>
          <w:rFonts w:asciiTheme="majorBidi" w:hAnsiTheme="majorBidi"/>
          <w:b w:val="0"/>
          <w:bCs w:val="0"/>
        </w:rPr>
        <w:t>Irawan Febianto dan Arimbi Madila Ashany</w:t>
      </w:r>
      <w:r w:rsidRPr="00E02F22">
        <w:rPr>
          <w:rFonts w:asciiTheme="majorBidi" w:hAnsiTheme="majorBidi" w:cs="Times New Roman"/>
        </w:rPr>
        <w:t xml:space="preserve">, </w:t>
      </w:r>
      <w:r w:rsidRPr="00E02F22">
        <w:rPr>
          <w:rStyle w:val="Emphasis"/>
          <w:rFonts w:asciiTheme="majorBidi" w:hAnsiTheme="majorBidi"/>
        </w:rPr>
        <w:t>‘The Impact of Qordhul Hasan Financing Using Zakah Funds on Economic Empowerment’</w:t>
      </w:r>
      <w:r w:rsidRPr="00E02F22">
        <w:rPr>
          <w:rFonts w:asciiTheme="majorBidi" w:hAnsiTheme="majorBidi" w:cs="Times New Roman"/>
        </w:rPr>
        <w:t xml:space="preserve"> (UIN Sunan Ampel Surabaya, 2012).</w:t>
      </w:r>
    </w:p>
  </w:footnote>
  <w:footnote w:id="14">
    <w:p w:rsidR="00000000" w:rsidRDefault="009A5011" w:rsidP="009A5011">
      <w:pPr>
        <w:pStyle w:val="FootnoteText"/>
      </w:pPr>
      <w:r w:rsidRPr="00E02F22">
        <w:rPr>
          <w:rStyle w:val="FootnoteReference"/>
          <w:rFonts w:asciiTheme="majorBidi" w:hAnsiTheme="majorBidi"/>
        </w:rPr>
        <w:footnoteRef/>
      </w:r>
      <w:r w:rsidRPr="00E02F22">
        <w:rPr>
          <w:rFonts w:asciiTheme="majorBidi" w:hAnsiTheme="majorBidi" w:cs="Times New Roman"/>
        </w:rPr>
        <w:t xml:space="preserve"> </w:t>
      </w:r>
      <w:r w:rsidRPr="00E02F22">
        <w:rPr>
          <w:rStyle w:val="Strong"/>
          <w:rFonts w:asciiTheme="majorBidi" w:hAnsiTheme="majorBidi"/>
          <w:b w:val="0"/>
          <w:bCs w:val="0"/>
        </w:rPr>
        <w:t>Istighfaroh</w:t>
      </w:r>
      <w:r w:rsidRPr="00E02F22">
        <w:rPr>
          <w:rFonts w:asciiTheme="majorBidi" w:hAnsiTheme="majorBidi" w:cs="Times New Roman"/>
        </w:rPr>
        <w:t xml:space="preserve">, </w:t>
      </w:r>
      <w:r w:rsidRPr="00E02F22">
        <w:rPr>
          <w:rStyle w:val="Emphasis"/>
          <w:rFonts w:asciiTheme="majorBidi" w:hAnsiTheme="majorBidi"/>
        </w:rPr>
        <w:t>‘Implementasi PSAK No.109 Terhadap Pembiayaan Al-Qardh Di BNI Shariah Cabang Pekalongan’</w:t>
      </w:r>
      <w:r w:rsidRPr="00E02F22">
        <w:rPr>
          <w:rFonts w:asciiTheme="majorBidi" w:hAnsiTheme="majorBidi" w:cs="Times New Roman"/>
        </w:rPr>
        <w:t xml:space="preserve"> (IAIN Pekalongan, 2013).</w:t>
      </w:r>
    </w:p>
  </w:footnote>
  <w:footnote w:id="15">
    <w:p w:rsidR="00000000" w:rsidRDefault="009A5011" w:rsidP="009A5011">
      <w:pPr>
        <w:pStyle w:val="FootnoteText"/>
      </w:pPr>
      <w:r w:rsidRPr="00E02F22">
        <w:rPr>
          <w:rStyle w:val="FootnoteReference"/>
          <w:rFonts w:asciiTheme="majorBidi" w:hAnsiTheme="majorBidi"/>
        </w:rPr>
        <w:footnoteRef/>
      </w:r>
      <w:r w:rsidRPr="00E02F22">
        <w:rPr>
          <w:rFonts w:asciiTheme="majorBidi" w:hAnsiTheme="majorBidi" w:cs="Times New Roman"/>
          <w:lang w:val="id-ID"/>
        </w:rPr>
        <w:t xml:space="preserve"> </w:t>
      </w:r>
      <w:r w:rsidRPr="00E02F22">
        <w:rPr>
          <w:rStyle w:val="Strong"/>
          <w:rFonts w:asciiTheme="majorBidi" w:hAnsiTheme="majorBidi"/>
          <w:b w:val="0"/>
          <w:bCs w:val="0"/>
          <w:lang w:val="id-ID"/>
        </w:rPr>
        <w:t>Mimi Rahmawati</w:t>
      </w:r>
      <w:r w:rsidRPr="00E02F22">
        <w:rPr>
          <w:rFonts w:asciiTheme="majorBidi" w:hAnsiTheme="majorBidi" w:cs="Times New Roman"/>
          <w:lang w:val="id-ID"/>
        </w:rPr>
        <w:t xml:space="preserve">, </w:t>
      </w:r>
      <w:r w:rsidRPr="00E02F22">
        <w:rPr>
          <w:rStyle w:val="Emphasis"/>
          <w:rFonts w:asciiTheme="majorBidi" w:hAnsiTheme="majorBidi"/>
          <w:lang w:val="id-ID"/>
        </w:rPr>
        <w:t>‘Pengelolaan Dan Pengembangan Pembiayaan Al-Qardhul Hasan Di BMT Al-Ikhlas Yogyakarta’</w:t>
      </w:r>
      <w:r w:rsidRPr="00E02F22">
        <w:rPr>
          <w:rFonts w:asciiTheme="majorBidi" w:hAnsiTheme="majorBidi" w:cs="Times New Roman"/>
          <w:lang w:val="id-ID"/>
        </w:rPr>
        <w:t xml:space="preserve"> (UIN Sunan Kalijaga Yogyakarta, 2013).</w:t>
      </w:r>
    </w:p>
  </w:footnote>
  <w:footnote w:id="16">
    <w:p w:rsidR="00000000" w:rsidRDefault="009A5011" w:rsidP="009A5011">
      <w:pPr>
        <w:pStyle w:val="FootnoteText"/>
      </w:pPr>
      <w:r w:rsidRPr="00E02F22">
        <w:rPr>
          <w:rStyle w:val="FootnoteReference"/>
          <w:rFonts w:asciiTheme="majorBidi" w:hAnsiTheme="majorBidi"/>
        </w:rPr>
        <w:footnoteRef/>
      </w:r>
      <w:r w:rsidRPr="00E02F22">
        <w:rPr>
          <w:rFonts w:asciiTheme="majorBidi" w:hAnsiTheme="majorBidi" w:cs="Times New Roman"/>
          <w:lang w:val="id-ID"/>
        </w:rPr>
        <w:t xml:space="preserve"> </w:t>
      </w:r>
      <w:r w:rsidRPr="00E02F22">
        <w:rPr>
          <w:rStyle w:val="Strong"/>
          <w:rFonts w:asciiTheme="majorBidi" w:hAnsiTheme="majorBidi"/>
          <w:b w:val="0"/>
          <w:bCs w:val="0"/>
          <w:lang w:val="id-ID"/>
        </w:rPr>
        <w:t>Siti Nur Mutia Andini</w:t>
      </w:r>
      <w:r w:rsidRPr="00E02F22">
        <w:rPr>
          <w:rFonts w:asciiTheme="majorBidi" w:hAnsiTheme="majorBidi" w:cs="Times New Roman"/>
          <w:lang w:val="id-ID"/>
        </w:rPr>
        <w:t xml:space="preserve">, </w:t>
      </w:r>
      <w:r w:rsidRPr="00E02F22">
        <w:rPr>
          <w:rStyle w:val="Emphasis"/>
          <w:rFonts w:asciiTheme="majorBidi" w:hAnsiTheme="majorBidi"/>
          <w:lang w:val="id-ID"/>
        </w:rPr>
        <w:t>‘Pengelolaan Dana Qardhul Hasan Terhadap Pembiayaan Kampung Sukamulya Di BAZ Kota Bogor’</w:t>
      </w:r>
      <w:r w:rsidRPr="00E02F22">
        <w:rPr>
          <w:rFonts w:asciiTheme="majorBidi" w:hAnsiTheme="majorBidi" w:cs="Times New Roman"/>
          <w:lang w:val="id-ID"/>
        </w:rPr>
        <w:t xml:space="preserve"> (TAZKIA Bogor, 2013).</w:t>
      </w:r>
    </w:p>
  </w:footnote>
  <w:footnote w:id="17">
    <w:p w:rsidR="00000000" w:rsidRDefault="009A5011" w:rsidP="009A5011">
      <w:pPr>
        <w:pStyle w:val="FootnoteText"/>
      </w:pPr>
      <w:r w:rsidRPr="00E02F22">
        <w:rPr>
          <w:rStyle w:val="FootnoteReference"/>
          <w:rFonts w:asciiTheme="majorBidi" w:hAnsiTheme="majorBidi"/>
        </w:rPr>
        <w:footnoteRef/>
      </w:r>
      <w:r w:rsidRPr="00E02F22">
        <w:rPr>
          <w:rFonts w:asciiTheme="majorBidi" w:hAnsiTheme="majorBidi" w:cs="Times New Roman"/>
        </w:rPr>
        <w:t xml:space="preserve"> </w:t>
      </w:r>
      <w:r w:rsidRPr="00E02F22">
        <w:rPr>
          <w:rStyle w:val="Strong"/>
          <w:rFonts w:asciiTheme="majorBidi" w:hAnsiTheme="majorBidi"/>
          <w:b w:val="0"/>
          <w:bCs w:val="0"/>
        </w:rPr>
        <w:t>Uswatun</w:t>
      </w:r>
      <w:r w:rsidRPr="00E02F22">
        <w:rPr>
          <w:rFonts w:asciiTheme="majorBidi" w:hAnsiTheme="majorBidi" w:cs="Times New Roman"/>
        </w:rPr>
        <w:t xml:space="preserve">, </w:t>
      </w:r>
      <w:r w:rsidRPr="00E02F22">
        <w:rPr>
          <w:rStyle w:val="Emphasis"/>
          <w:rFonts w:asciiTheme="majorBidi" w:hAnsiTheme="majorBidi"/>
        </w:rPr>
        <w:t>‘Pengaruh Pembiayaan Qardhul Hasan Pada BNI Shariah Cabang Semarang Terhadap Perkembangan Usaha Kecil’</w:t>
      </w:r>
      <w:r w:rsidRPr="00E02F22">
        <w:rPr>
          <w:rFonts w:asciiTheme="majorBidi" w:hAnsiTheme="majorBidi" w:cs="Times New Roman"/>
        </w:rPr>
        <w:t xml:space="preserve"> (UIN Walisongo Semarang, 2015).</w:t>
      </w:r>
    </w:p>
  </w:footnote>
  <w:footnote w:id="18">
    <w:p w:rsidR="00000000" w:rsidRDefault="009A5011" w:rsidP="009A5011">
      <w:pPr>
        <w:pStyle w:val="FootnoteText"/>
      </w:pPr>
      <w:r w:rsidRPr="00E02F22">
        <w:rPr>
          <w:rStyle w:val="FootnoteReference"/>
          <w:rFonts w:asciiTheme="majorBidi" w:hAnsiTheme="majorBidi"/>
        </w:rPr>
        <w:footnoteRef/>
      </w:r>
      <w:r w:rsidRPr="00E02F22">
        <w:rPr>
          <w:rFonts w:asciiTheme="majorBidi" w:hAnsiTheme="majorBidi" w:cs="Times New Roman"/>
        </w:rPr>
        <w:t xml:space="preserve"> </w:t>
      </w:r>
      <w:r w:rsidRPr="00E02F22">
        <w:rPr>
          <w:rStyle w:val="Strong"/>
          <w:rFonts w:asciiTheme="majorBidi" w:hAnsiTheme="majorBidi"/>
          <w:b w:val="0"/>
          <w:bCs w:val="0"/>
        </w:rPr>
        <w:t>Yovita Diah Aditriani</w:t>
      </w:r>
      <w:r w:rsidRPr="00E02F22">
        <w:rPr>
          <w:rFonts w:asciiTheme="majorBidi" w:hAnsiTheme="majorBidi" w:cs="Times New Roman"/>
        </w:rPr>
        <w:t xml:space="preserve">, </w:t>
      </w:r>
      <w:r w:rsidRPr="00E02F22">
        <w:rPr>
          <w:rStyle w:val="Emphasis"/>
          <w:rFonts w:asciiTheme="majorBidi" w:hAnsiTheme="majorBidi"/>
        </w:rPr>
        <w:t>‘Penerapan Pembiayaan Qardhul Hasan Di Bank Shariah Mandiri Cabang Semarang’</w:t>
      </w:r>
      <w:r w:rsidRPr="00E02F22">
        <w:rPr>
          <w:rFonts w:asciiTheme="majorBidi" w:hAnsiTheme="majorBidi" w:cs="Times New Roman"/>
        </w:rPr>
        <w:t xml:space="preserve"> (UIN Walisongo Semarang, 2015).</w:t>
      </w:r>
    </w:p>
  </w:footnote>
  <w:footnote w:id="19">
    <w:p w:rsidR="00000000" w:rsidRDefault="009A5011" w:rsidP="009A5011">
      <w:pPr>
        <w:pStyle w:val="FootnoteText"/>
      </w:pPr>
      <w:r w:rsidRPr="00E02F22">
        <w:rPr>
          <w:rStyle w:val="FootnoteReference"/>
          <w:rFonts w:asciiTheme="majorBidi" w:hAnsiTheme="majorBidi"/>
        </w:rPr>
        <w:footnoteRef/>
      </w:r>
      <w:r w:rsidRPr="00E02F22">
        <w:rPr>
          <w:rFonts w:asciiTheme="majorBidi" w:hAnsiTheme="majorBidi" w:cs="Times New Roman"/>
          <w:lang w:val="id-ID"/>
        </w:rPr>
        <w:t xml:space="preserve"> </w:t>
      </w:r>
      <w:r w:rsidRPr="00E02F22">
        <w:rPr>
          <w:rStyle w:val="Strong"/>
          <w:rFonts w:asciiTheme="majorBidi" w:hAnsiTheme="majorBidi"/>
          <w:b w:val="0"/>
          <w:bCs w:val="0"/>
          <w:lang w:val="id-ID"/>
        </w:rPr>
        <w:t>Saifuddin Syuhri dan Abd Ghafur</w:t>
      </w:r>
      <w:r w:rsidRPr="00E02F22">
        <w:rPr>
          <w:rFonts w:asciiTheme="majorBidi" w:hAnsiTheme="majorBidi" w:cs="Times New Roman"/>
          <w:i/>
          <w:iCs/>
          <w:lang w:val="id-ID"/>
        </w:rPr>
        <w:t xml:space="preserve">, </w:t>
      </w:r>
      <w:r w:rsidRPr="00E02F22">
        <w:rPr>
          <w:rStyle w:val="Emphasis"/>
          <w:rFonts w:asciiTheme="majorBidi" w:hAnsiTheme="majorBidi"/>
          <w:i w:val="0"/>
          <w:iCs w:val="0"/>
          <w:lang w:val="id-ID"/>
        </w:rPr>
        <w:t>‘Penerapan Akad Nadzar Pada Pembiayaan Qardh (Studi Pada Koperasi BMT Maslahah Jawa Timur)’</w:t>
      </w:r>
      <w:r w:rsidRPr="00E02F22">
        <w:rPr>
          <w:rFonts w:asciiTheme="majorBidi" w:hAnsiTheme="majorBidi" w:cs="Times New Roman"/>
          <w:i/>
          <w:iCs/>
          <w:lang w:val="id-ID"/>
        </w:rPr>
        <w:t>,</w:t>
      </w:r>
      <w:r w:rsidRPr="00E02F22">
        <w:rPr>
          <w:rFonts w:asciiTheme="majorBidi" w:hAnsiTheme="majorBidi" w:cs="Times New Roman"/>
          <w:lang w:val="id-ID"/>
        </w:rPr>
        <w:t xml:space="preserve"> </w:t>
      </w:r>
      <w:r w:rsidRPr="00E02F22">
        <w:rPr>
          <w:rStyle w:val="Emphasis"/>
          <w:rFonts w:asciiTheme="majorBidi" w:hAnsiTheme="majorBidi"/>
          <w:lang w:val="id-ID"/>
        </w:rPr>
        <w:t>Jurnal Ar Ribhu Manajemen Dan Keuangan Syariah</w:t>
      </w:r>
      <w:r w:rsidRPr="00E02F22">
        <w:rPr>
          <w:rFonts w:asciiTheme="majorBidi" w:hAnsiTheme="majorBidi" w:cs="Times New Roman"/>
          <w:lang w:val="id-ID"/>
        </w:rPr>
        <w:t>, 02 No.1 (2022).</w:t>
      </w:r>
    </w:p>
  </w:footnote>
  <w:footnote w:id="20">
    <w:p w:rsidR="00000000" w:rsidRDefault="009A5011" w:rsidP="009A5011">
      <w:pPr>
        <w:pStyle w:val="FootnoteText"/>
      </w:pPr>
      <w:r w:rsidRPr="00E02F22">
        <w:rPr>
          <w:rStyle w:val="FootnoteReference"/>
          <w:rFonts w:asciiTheme="majorBidi" w:hAnsiTheme="majorBidi"/>
        </w:rPr>
        <w:footnoteRef/>
      </w:r>
      <w:r w:rsidRPr="00E02F22">
        <w:rPr>
          <w:rFonts w:asciiTheme="majorBidi" w:hAnsiTheme="majorBidi" w:cs="Times New Roman"/>
        </w:rPr>
        <w:t xml:space="preserve"> </w:t>
      </w:r>
      <w:r w:rsidRPr="00E02F22">
        <w:rPr>
          <w:rStyle w:val="Strong"/>
          <w:rFonts w:asciiTheme="majorBidi" w:hAnsiTheme="majorBidi"/>
          <w:b w:val="0"/>
          <w:bCs w:val="0"/>
        </w:rPr>
        <w:t>Iskandar</w:t>
      </w:r>
      <w:r w:rsidRPr="00E02F22">
        <w:rPr>
          <w:rFonts w:asciiTheme="majorBidi" w:hAnsiTheme="majorBidi" w:cs="Times New Roman"/>
        </w:rPr>
        <w:t xml:space="preserve">, </w:t>
      </w:r>
      <w:r w:rsidRPr="00E02F22">
        <w:rPr>
          <w:rStyle w:val="Emphasis"/>
          <w:rFonts w:asciiTheme="majorBidi" w:hAnsiTheme="majorBidi"/>
        </w:rPr>
        <w:t>Metodologi Penelitian Pendidikan Dan Sosial, Kuantitatif Dan Kualitatif</w:t>
      </w:r>
      <w:r w:rsidRPr="00E02F22">
        <w:rPr>
          <w:rFonts w:asciiTheme="majorBidi" w:hAnsiTheme="majorBidi" w:cs="Times New Roman"/>
        </w:rPr>
        <w:t xml:space="preserve"> (Jakarta: Gaung Persada Press, 2010).</w:t>
      </w:r>
    </w:p>
  </w:footnote>
  <w:footnote w:id="21">
    <w:p w:rsidR="00000000" w:rsidRDefault="00FE13B0" w:rsidP="00FE13B0">
      <w:pPr>
        <w:pStyle w:val="FootnoteText"/>
      </w:pPr>
      <w:r>
        <w:rPr>
          <w:rStyle w:val="FootnoteReference"/>
          <w:rFonts w:cs="Arial"/>
        </w:rPr>
        <w:footnoteRef/>
      </w:r>
      <w:r>
        <w:t xml:space="preserve"> </w:t>
      </w:r>
      <w:r>
        <w:fldChar w:fldCharType="begin" w:fldLock="1"/>
      </w:r>
      <w:r>
        <w:instrText>ADDIN CSL_CITATION {"citationItems":[{"id":"ITEM-1","itemData":{"author":[{"dropping-particle":"","family":"Saiful Akhyar Lubis","given":"","non-dropping-particle":"","parse-names":false,"suffix":""}],"id":"ITEM-1","issued":{"date-parts":[["2007"]]},"publisher":"LSAQ Press 2007","publisher-place":"Yogyakarta","title":"Konseling Islami Kyai dan Pesantren","type":"book"},"uris":["http://www.mendeley.com/documents/?uuid=ce6a6cbd-37a3-4c5d-b696-014da006d950"]}],"mendeley":{"formattedCitation":"Saiful Akhyar Lubis, &lt;i&gt;Konseling Islami Kyai Dan Pesantren&lt;/i&gt; (Yogyakarta: LSAQ Press 2007, 2007).","plainTextFormattedCitation":"Saiful Akhyar Lubis, Konseling Islami Kyai Dan Pesantren (Yogyakarta: LSAQ Press 2007, 2007).","previouslyFormattedCitation":"Saiful Akhyar Lubis, &lt;i&gt;Konseling Islami Kyai Dan Pesantren&lt;/i&gt; (Yogyakarta: LSAQ Press 2007, 2007)."},"properties":{"noteIndex":21},"schema":"https://github.com/citation-style-language/schema/raw/master/csl-citation.json"}</w:instrText>
      </w:r>
      <w:r>
        <w:fldChar w:fldCharType="separate"/>
      </w:r>
      <w:r w:rsidRPr="00FE13B0">
        <w:rPr>
          <w:noProof/>
        </w:rPr>
        <w:t xml:space="preserve">Saiful Akhyar Lubis, </w:t>
      </w:r>
      <w:r w:rsidRPr="00FE13B0">
        <w:rPr>
          <w:i/>
          <w:noProof/>
        </w:rPr>
        <w:t>Konseling Islami Kyai Dan Pesantren</w:t>
      </w:r>
      <w:r w:rsidRPr="00FE13B0">
        <w:rPr>
          <w:noProof/>
        </w:rPr>
        <w:t xml:space="preserve"> (Yogyakarta: LSAQ Press, 2007).</w:t>
      </w:r>
      <w:r>
        <w:fldChar w:fldCharType="end"/>
      </w:r>
    </w:p>
  </w:footnote>
  <w:footnote w:id="22">
    <w:p w:rsidR="00000000" w:rsidRDefault="00277DCB" w:rsidP="00277DCB">
      <w:pPr>
        <w:pStyle w:val="FootnoteText"/>
      </w:pPr>
      <w:r>
        <w:rPr>
          <w:rStyle w:val="FootnoteReference"/>
        </w:rPr>
        <w:footnoteRef/>
      </w:r>
      <w:r>
        <w:t xml:space="preserve"> </w:t>
      </w:r>
      <w:r>
        <w:fldChar w:fldCharType="begin" w:fldLock="1"/>
      </w:r>
      <w:r>
        <w:instrText>ADDIN CSL_CITATION {"citationItems":[{"id":"ITEM-1","itemData":{"author":[{"dropping-particle":"","family":"Hamdan Rasyid","given":"","non-dropping-particle":"","parse-names":false,"suffix":""}],"id":"ITEM-1","issued":{"date-parts":[["2007"]]},"publisher":"Pustaka Beta","publisher-place":"Jakarta","title":"Bimbingan Ulama; Kepada Umara dan Uma","type":"book"},"uris":["http://www.mendeley.com/documents/?uuid=f9837725-2209-4ec9-8c41-81d4056652aa"]}],"mendeley":{"formattedCitation":"Hamdan Rasyid, &lt;i&gt;Bimbingan Ulama; Kepada Umara Dan Uma&lt;/i&gt; (Jakarta: Pustaka Beta, 2007).","plainTextFormattedCitation":"Hamdan Rasyid, Bimbingan Ulama; Kepada Umara Dan Uma (Jakarta: Pustaka Beta, 2007).","previouslyFormattedCitation":"Hamdan Rasyid, &lt;i&gt;Bimbingan Ulama; Kepada Umara Dan Uma&lt;/i&gt; (Jakarta: Pustaka Beta, 2007)."},"properties":{"noteIndex":22},"schema":"https://github.com/citation-style-language/schema/raw/master/csl-citation.json"}</w:instrText>
      </w:r>
      <w:r>
        <w:fldChar w:fldCharType="separate"/>
      </w:r>
      <w:r w:rsidRPr="00FE13B0">
        <w:rPr>
          <w:noProof/>
        </w:rPr>
        <w:t xml:space="preserve">Hamdan Rasyid, </w:t>
      </w:r>
      <w:r w:rsidRPr="00FE13B0">
        <w:rPr>
          <w:i/>
          <w:noProof/>
        </w:rPr>
        <w:t>Bimbingan Ulama; Kepada Umara Dan Uma</w:t>
      </w:r>
      <w:r w:rsidRPr="00FE13B0">
        <w:rPr>
          <w:noProof/>
        </w:rPr>
        <w:t xml:space="preserve"> (Jakarta: Pustaka Beta, 2007).</w:t>
      </w:r>
      <w:r>
        <w:fldChar w:fldCharType="end"/>
      </w:r>
    </w:p>
  </w:footnote>
  <w:footnote w:id="23">
    <w:p w:rsidR="00000000" w:rsidRDefault="00411E10" w:rsidP="00411E10">
      <w:pPr>
        <w:pStyle w:val="FootnoteText"/>
      </w:pPr>
      <w:r>
        <w:rPr>
          <w:rStyle w:val="FootnoteReference"/>
          <w:rFonts w:cs="Arial"/>
        </w:rPr>
        <w:footnoteRef/>
      </w:r>
      <w:r>
        <w:t xml:space="preserve"> </w:t>
      </w:r>
      <w:r>
        <w:fldChar w:fldCharType="begin" w:fldLock="1"/>
      </w:r>
      <w:r>
        <w:instrText>ADDIN CSL_CITATION {"citationItems":[{"id":"ITEM-1","itemData":{"author":[{"dropping-particle":"","family":"Nurhayati Djamas","given":"","non-dropping-particle":"","parse-names":false,"suffix":""}],"id":"ITEM-1","issued":{"date-parts":[["2008"]]},"publisher":"PT Raja Grafinda Persada","publisher-place":"Jakarta","title":"Dinamika Pendidikan Islam di Indonesia Pasca kemerdekaan","type":"book"},"uris":["http://www.mendeley.com/documents/?uuid=5c78d3eb-9437-40d7-8c8f-cb96d242c4c6"]}],"mendeley":{"formattedCitation":"Nurhayati Djamas, &lt;i&gt;Dinamika Pendidikan Islam Di Indonesia Pasca Kemerdekaan&lt;/i&gt; (Jakarta: PT Raja Grafinda Persada, 2008).","plainTextFormattedCitation":"Nurhayati Djamas, Dinamika Pendidikan Islam Di Indonesia Pasca Kemerdekaan (Jakarta: PT Raja Grafinda Persada, 2008).","previouslyFormattedCitation":"Nurhayati Djamas, &lt;i&gt;Dinamika Pendidikan Islam Di Indonesia Pasca Kemerdekaan&lt;/i&gt; (Jakarta: PT Raja Grafinda Persada, 2008)."},"properties":{"noteIndex":23},"schema":"https://github.com/citation-style-language/schema/raw/master/csl-citation.json"}</w:instrText>
      </w:r>
      <w:r>
        <w:fldChar w:fldCharType="separate"/>
      </w:r>
      <w:r w:rsidRPr="00411E10">
        <w:rPr>
          <w:noProof/>
        </w:rPr>
        <w:t xml:space="preserve">Nurhayati Djamas, </w:t>
      </w:r>
      <w:r w:rsidRPr="00411E10">
        <w:rPr>
          <w:i/>
          <w:noProof/>
        </w:rPr>
        <w:t>Dinamika Pendidikan Islam Di Indonesia Pasca Kemerdekaan</w:t>
      </w:r>
      <w:r w:rsidRPr="00411E10">
        <w:rPr>
          <w:noProof/>
        </w:rPr>
        <w:t xml:space="preserve"> (Jakarta: PT Raja Grafinda Persada, 2008).</w:t>
      </w:r>
      <w:r>
        <w:fldChar w:fldCharType="end"/>
      </w:r>
    </w:p>
  </w:footnote>
  <w:footnote w:id="24">
    <w:p w:rsidR="00000000" w:rsidRDefault="00411E10" w:rsidP="00411E10">
      <w:pPr>
        <w:pStyle w:val="FootnoteText"/>
      </w:pPr>
      <w:r>
        <w:rPr>
          <w:rStyle w:val="FootnoteReference"/>
          <w:rFonts w:cs="Arial"/>
        </w:rPr>
        <w:footnoteRef/>
      </w:r>
      <w:r>
        <w:t xml:space="preserve"> </w:t>
      </w:r>
      <w:r>
        <w:fldChar w:fldCharType="begin" w:fldLock="1"/>
      </w:r>
      <w:r>
        <w:instrText>ADDIN CSL_CITATION {"citationItems":[{"id":"ITEM-1","itemData":{"author":[{"dropping-particle":"","family":"A. Mustofa Bisri","given":"","non-dropping-particle":"","parse-names":false,"suffix":""}],"id":"ITEM-1","issued":{"date-parts":[["2003"]]},"publisher":"Yayasan Ma`had as-Salafiyah","publisher-place":"Pasuruan","title":"Percik-percik Keteladanan Kyai Hamid Ahmad Pasuruan (Rembang : Lembaga Informasi dan Studi Islam","type":"book"},"uris":["http://www.mendeley.com/documents/?uuid=dcb0ba77-5832-41ff-8a75-80c434e837d6"]}],"mendeley":{"formattedCitation":"A. Mustofa Bisri, &lt;i&gt;Percik-Percik Keteladanan Kyai Hamid Ahmad Pasuruan (Rembang : Lembaga Informasi Dan Studi Islam&lt;/i&gt; (Pasuruan: Yayasan Ma`had as-Salafiyah, 2003).","plainTextFormattedCitation":"A. Mustofa Bisri, Percik-Percik Keteladanan Kyai Hamid Ahmad Pasuruan (Rembang : Lembaga Informasi Dan Studi Islam (Pasuruan: Yayasan Ma`had as-Salafiyah, 2003).","previouslyFormattedCitation":"A. Mustofa Bisri, &lt;i&gt;Percik-Percik Keteladanan Kyai Hamid Ahmad Pasuruan (Rembang : Lembaga Informasi Dan Studi Islam&lt;/i&gt; (Pasuruan: Yayasan Ma`had as-Salafiyah, 2003)."},"properties":{"noteIndex":24},"schema":"https://github.com/citation-style-language/schema/raw/master/csl-citation.json"}</w:instrText>
      </w:r>
      <w:r>
        <w:fldChar w:fldCharType="separate"/>
      </w:r>
      <w:r w:rsidRPr="00411E10">
        <w:rPr>
          <w:noProof/>
        </w:rPr>
        <w:t xml:space="preserve">A. Mustofa Bisri, </w:t>
      </w:r>
      <w:r w:rsidRPr="00411E10">
        <w:rPr>
          <w:i/>
          <w:noProof/>
        </w:rPr>
        <w:t>Percik-Percik Keteladanan Kyai Hamid Ahmad Pasuruan (Rembang : Lembaga Informasi Dan Studi Islam</w:t>
      </w:r>
      <w:r w:rsidRPr="00411E10">
        <w:rPr>
          <w:noProof/>
        </w:rPr>
        <w:t xml:space="preserve"> (Pasuruan: Yayasan Ma`had as-Salafiyah, 2003).</w:t>
      </w:r>
      <w:r>
        <w:fldChar w:fldCharType="end"/>
      </w:r>
    </w:p>
  </w:footnote>
  <w:footnote w:id="25">
    <w:p w:rsidR="00000000" w:rsidRDefault="00411E10" w:rsidP="00411E10">
      <w:pPr>
        <w:pStyle w:val="FootnoteText"/>
      </w:pPr>
      <w:r>
        <w:rPr>
          <w:rStyle w:val="FootnoteReference"/>
          <w:rFonts w:cs="Arial"/>
        </w:rPr>
        <w:footnoteRef/>
      </w:r>
      <w:r>
        <w:t xml:space="preserve"> </w:t>
      </w:r>
      <w:r w:rsidR="00257095">
        <w:fldChar w:fldCharType="begin" w:fldLock="1"/>
      </w:r>
      <w:r w:rsidR="00257095">
        <w:instrText>ADDIN CSL_CITATION {"citationItems":[{"id":"ITEM-1","itemData":{"author":[{"dropping-particle":"","family":"Munawar Fuad Noeh dan Mastuki HS","given":"","non-dropping-particle":"","parse-names":false,"suffix":""}],"id":"ITEM-1","issued":{"date-parts":[["2002"]]},"publisher":"PT Gramedia Pustaka Utama","publisher-place":"Jakarta","title":"Menghidupkan Ruh Pemikiran KH Ahmad Shiddiq","type":"book"},"uris":["http://www.mendeley.com/documents/?uuid=8c091ac1-9974-4e91-b6d9-cd746bf44da3"]}],"mendeley":{"formattedCitation":"Munawar Fuad Noeh dan Mastuki HS, &lt;i&gt;Menghidupkan Ruh Pemikiran KH Ahmad Shiddiq&lt;/i&gt; (Jakarta: PT Gramedia Pustaka Utama, 2002).","plainTextFormattedCitation":"Munawar Fuad Noeh dan Mastuki HS, Menghidupkan Ruh Pemikiran KH Ahmad Shiddiq (Jakarta: PT Gramedia Pustaka Utama, 2002).","previouslyFormattedCitation":"Munawar Fuad Noeh dan Mastuki HS, &lt;i&gt;Menghidupkan Ruh Pemikiran KH Ahmad Shiddiq&lt;/i&gt; (Jakarta: PT Gramedia Pustaka Utama, 2002)."},"properties":{"noteIndex":25},"schema":"https://github.com/citation-style-language/schema/raw/master/csl-citation.json"}</w:instrText>
      </w:r>
      <w:r w:rsidR="00257095">
        <w:fldChar w:fldCharType="separate"/>
      </w:r>
      <w:r w:rsidRPr="00411E10">
        <w:rPr>
          <w:noProof/>
        </w:rPr>
        <w:t xml:space="preserve">Munawar Fuad Noeh dan Mastuki HS, </w:t>
      </w:r>
      <w:r w:rsidRPr="00411E10">
        <w:rPr>
          <w:i/>
          <w:noProof/>
        </w:rPr>
        <w:t>Menghidupkan Ruh Pemikiran KH Ahmad Shiddiq</w:t>
      </w:r>
      <w:r w:rsidRPr="00411E10">
        <w:rPr>
          <w:noProof/>
        </w:rPr>
        <w:t xml:space="preserve"> (Jakarta: PT Gramedia Pustaka Utama, 2002).</w:t>
      </w:r>
      <w:r w:rsidR="00257095">
        <w:fldChar w:fldCharType="end"/>
      </w:r>
    </w:p>
  </w:footnote>
  <w:footnote w:id="26">
    <w:p w:rsidR="00000000" w:rsidRDefault="00257095" w:rsidP="00257095">
      <w:pPr>
        <w:pStyle w:val="FootnoteText"/>
      </w:pPr>
      <w:r>
        <w:rPr>
          <w:rStyle w:val="FootnoteReference"/>
          <w:rFonts w:cs="Arial"/>
        </w:rPr>
        <w:footnoteRef/>
      </w:r>
      <w:r>
        <w:t xml:space="preserve"> </w:t>
      </w:r>
      <w:r>
        <w:fldChar w:fldCharType="begin" w:fldLock="1"/>
      </w:r>
      <w:r>
        <w:instrText>ADDIN CSL_CITATION {"citationItems":[{"id":"ITEM-1","itemData":{"author":[{"dropping-particle":"","family":"Badruddin Hsubky","given":"","non-dropping-particle":"","parse-names":false,"suffix":""}],"id":"ITEM-1","issued":{"date-parts":[["1995"]]},"publisher":"Gema Insani Press","publisher-place":"Jakarta","title":"Delima Ulama’ Dalam Perubahan Zaman,","type":"book"},"uris":["http://www.mendeley.com/documents/?uuid=4629182d-47bd-4ee7-b40f-573f018c07dd"]}],"mendeley":{"formattedCitation":"Badruddin Hsubky, &lt;i&gt;Delima Ulama’ Dalam Perubahan Zaman,&lt;/i&gt; (Jakarta: Gema Insani Press, 1995).","plainTextFormattedCitation":"Badruddin Hsubky, Delima Ulama’ Dalam Perubahan Zaman, (Jakarta: Gema Insani Press, 1995).","previouslyFormattedCitation":"Badruddin Hsubky, &lt;i&gt;Delima Ulama’ Dalam Perubahan Zaman,&lt;/i&gt; (Jakarta: Gema Insani Press, 1995)."},"properties":{"noteIndex":26},"schema":"https://github.com/citation-style-language/schema/raw/master/csl-citation.json"}</w:instrText>
      </w:r>
      <w:r>
        <w:fldChar w:fldCharType="separate"/>
      </w:r>
      <w:r w:rsidRPr="00257095">
        <w:rPr>
          <w:noProof/>
        </w:rPr>
        <w:t xml:space="preserve">Badruddin Hsubky, </w:t>
      </w:r>
      <w:r w:rsidRPr="00257095">
        <w:rPr>
          <w:i/>
          <w:noProof/>
        </w:rPr>
        <w:t>Delima Ulama’ Dalam Perubahan Zaman,</w:t>
      </w:r>
      <w:r w:rsidRPr="00257095">
        <w:rPr>
          <w:noProof/>
        </w:rPr>
        <w:t xml:space="preserve"> (Jakarta: Gema Insani Press, 1995).</w:t>
      </w:r>
      <w:r>
        <w:fldChar w:fldCharType="end"/>
      </w:r>
    </w:p>
  </w:footnote>
  <w:footnote w:id="27">
    <w:p w:rsidR="00000000" w:rsidRDefault="00257095" w:rsidP="00257095">
      <w:pPr>
        <w:pStyle w:val="FootnoteText"/>
      </w:pPr>
      <w:r>
        <w:rPr>
          <w:rStyle w:val="FootnoteReference"/>
          <w:rFonts w:cs="Arial"/>
        </w:rPr>
        <w:footnoteRef/>
      </w:r>
      <w:r>
        <w:t xml:space="preserve"> </w:t>
      </w:r>
      <w:r>
        <w:fldChar w:fldCharType="begin" w:fldLock="1"/>
      </w:r>
      <w:r>
        <w:instrText>ADDIN CSL_CITATION {"citationItems":[{"id":"ITEM-1","itemData":{"author":[{"dropping-particle":"","family":"Imam Suprayogo","given":"","non-dropping-particle":"","parse-names":false,"suffix":""}],"id":"ITEM-1","issued":{"date-parts":[["2009"]]},"publisher":"UIN Malang Press","publisher-place":"Malang","title":"Kyai dan politik","type":"book"},"uris":["http://www.mendeley.com/documents/?uuid=8aeab3b8-6d96-41fc-bc3c-7f6f327b218b"]}],"mendeley":{"formattedCitation":"Imam Suprayogo, &lt;i&gt;Kyai Dan Politik&lt;/i&gt; (Malang: UIN Malang Press, 2009).","plainTextFormattedCitation":"Imam Suprayogo, Kyai Dan Politik (Malang: UIN Malang Press, 2009).","previouslyFormattedCitation":"Imam Suprayogo, &lt;i&gt;Kyai Dan Politik&lt;/i&gt; (Malang: UIN Malang Press, 2009)."},"properties":{"noteIndex":27},"schema":"https://github.com/citation-style-language/schema/raw/master/csl-citation.json"}</w:instrText>
      </w:r>
      <w:r>
        <w:fldChar w:fldCharType="separate"/>
      </w:r>
      <w:r w:rsidRPr="00257095">
        <w:rPr>
          <w:noProof/>
        </w:rPr>
        <w:t xml:space="preserve">Imam Suprayogo, </w:t>
      </w:r>
      <w:r w:rsidRPr="00257095">
        <w:rPr>
          <w:i/>
          <w:noProof/>
        </w:rPr>
        <w:t>Kyai Dan Politik</w:t>
      </w:r>
      <w:r w:rsidRPr="00257095">
        <w:rPr>
          <w:noProof/>
        </w:rPr>
        <w:t xml:space="preserve"> (Malang: UIN Malang Press, 2009).</w:t>
      </w:r>
      <w:r>
        <w:fldChar w:fldCharType="end"/>
      </w:r>
    </w:p>
  </w:footnote>
  <w:footnote w:id="28">
    <w:p w:rsidR="00000000" w:rsidRDefault="00257095">
      <w:pPr>
        <w:pStyle w:val="FootnoteText"/>
      </w:pPr>
      <w:r>
        <w:rPr>
          <w:rStyle w:val="FootnoteReference"/>
          <w:rFonts w:cs="Arial"/>
        </w:rPr>
        <w:footnoteRef/>
      </w:r>
      <w:r>
        <w:t xml:space="preserve"> </w:t>
      </w:r>
      <w:r>
        <w:fldChar w:fldCharType="begin" w:fldLock="1"/>
      </w:r>
      <w:r>
        <w:instrText>ADDIN CSL_CITATION {"citationItems":[{"id":"ITEM-1","itemData":{"author":[{"dropping-particle":"","family":"Imam Suprayogo","given":"","non-dropping-particle":"","parse-names":false,"suffix":""}],"id":"ITEM-1","issued":{"date-parts":[["2009"]]},"publisher":"UIN Malang Press","publisher-place":"Malang","title":"Kyai dan politik","type":"book"},"uris":["http://www.mendeley.com/documents/?uuid=8aeab3b8-6d96-41fc-bc3c-7f6f327b218b"]}],"mendeley":{"formattedCitation":"Imam Suprayogo.","plainTextFormattedCitation":"Imam Suprayogo.","previouslyFormattedCitation":"Imam Suprayogo."},"properties":{"noteIndex":28},"schema":"https://github.com/citation-style-language/schema/raw/master/csl-citation.json"}</w:instrText>
      </w:r>
      <w:r>
        <w:fldChar w:fldCharType="separate"/>
      </w:r>
      <w:r w:rsidRPr="00257095">
        <w:rPr>
          <w:noProof/>
        </w:rPr>
        <w:t>Imam Suprayogo.</w:t>
      </w:r>
      <w:r>
        <w:fldChar w:fldCharType="end"/>
      </w:r>
    </w:p>
  </w:footnote>
  <w:footnote w:id="29">
    <w:p w:rsidR="00000000" w:rsidRDefault="00257095">
      <w:pPr>
        <w:pStyle w:val="FootnoteText"/>
      </w:pPr>
      <w:r>
        <w:rPr>
          <w:rStyle w:val="FootnoteReference"/>
          <w:rFonts w:cs="Arial"/>
        </w:rPr>
        <w:footnoteRef/>
      </w:r>
      <w:r>
        <w:t xml:space="preserve"> </w:t>
      </w:r>
      <w:r>
        <w:fldChar w:fldCharType="begin" w:fldLock="1"/>
      </w:r>
      <w:r>
        <w:instrText>ADDIN CSL_CITATION {"citationItems":[{"id":"ITEM-1","itemData":{"author":[{"dropping-particle":"","family":"Imam Suprayogo","given":"","non-dropping-particle":"","parse-names":false,"suffix":""}],"id":"ITEM-1","issued":{"date-parts":[["2009"]]},"publisher":"UIN Malang Press","publisher-place":"Malang","title":"Kyai dan politik","type":"book"},"uris":["http://www.mendeley.com/documents/?uuid=8aeab3b8-6d96-41fc-bc3c-7f6f327b218b"]}],"mendeley":{"formattedCitation":"Imam Suprayogo.","plainTextFormattedCitation":"Imam Suprayogo.","previouslyFormattedCitation":"Imam Suprayogo."},"properties":{"noteIndex":29},"schema":"https://github.com/citation-style-language/schema/raw/master/csl-citation.json"}</w:instrText>
      </w:r>
      <w:r>
        <w:fldChar w:fldCharType="separate"/>
      </w:r>
      <w:r w:rsidRPr="00257095">
        <w:rPr>
          <w:noProof/>
        </w:rPr>
        <w:t>Imam Suprayogo.</w:t>
      </w:r>
      <w:r>
        <w:fldChar w:fldCharType="end"/>
      </w:r>
    </w:p>
  </w:footnote>
  <w:footnote w:id="30">
    <w:p w:rsidR="00000000" w:rsidRDefault="00257095" w:rsidP="00257095">
      <w:pPr>
        <w:pStyle w:val="FootnoteText"/>
      </w:pPr>
      <w:r>
        <w:rPr>
          <w:rStyle w:val="FootnoteReference"/>
          <w:rFonts w:cs="Arial"/>
        </w:rPr>
        <w:footnoteRef/>
      </w:r>
      <w:r>
        <w:t xml:space="preserve"> </w:t>
      </w:r>
      <w:r w:rsidR="00E967DB">
        <w:fldChar w:fldCharType="begin" w:fldLock="1"/>
      </w:r>
      <w:r w:rsidR="00E967DB">
        <w:instrText>ADDIN CSL_CITATION {"citationItems":[{"id":"ITEM-1","itemData":{"author":[{"dropping-particle":"","family":"Muhammad Ridwan","given":"","non-dropping-particle":"","parse-names":false,"suffix":""}],"id":"ITEM-1","issued":{"date-parts":[["2004"]]},"publisher":"UII Press, Cet. II","publisher-place":"Yogyakarta","title":"Manajemen Baitul Maal Wa Tamwil (BMT)","type":"book"},"uris":["http://www.mendeley.com/documents/?uuid=69c2ca42-7e71-4c08-b6f7-c134896a1004"]}],"mendeley":{"formattedCitation":"Muhammad Ridwan, &lt;i&gt;Manajemen Baitul Maal Wa Tamwil (BMT)&lt;/i&gt; (Yogyakarta: UII Press, Cet. II, 2004).","plainTextFormattedCitation":"Muhammad Ridwan, Manajemen Baitul Maal Wa Tamwil (BMT) (Yogyakarta: UII Press, Cet. II, 2004).","previouslyFormattedCitation":"Muhammad Ridwan, &lt;i&gt;Manajemen Baitul Maal Wa Tamwil (BMT)&lt;/i&gt; (Yogyakarta: UII Press, Cet. II, 2004)."},"properties":{"noteIndex":30},"schema":"https://github.com/citation-style-language/schema/raw/master/csl-citation.json"}</w:instrText>
      </w:r>
      <w:r w:rsidR="00E967DB">
        <w:fldChar w:fldCharType="separate"/>
      </w:r>
      <w:r w:rsidRPr="00257095">
        <w:rPr>
          <w:noProof/>
        </w:rPr>
        <w:t xml:space="preserve">Muhammad Ridwan, </w:t>
      </w:r>
      <w:r w:rsidRPr="00257095">
        <w:rPr>
          <w:i/>
          <w:noProof/>
        </w:rPr>
        <w:t>Manajemen Baitul Maal Wa Tamwil (BMT)</w:t>
      </w:r>
      <w:r w:rsidRPr="00257095">
        <w:rPr>
          <w:noProof/>
        </w:rPr>
        <w:t xml:space="preserve"> (Yogyakarta: UII Press, Cet. II, 2004).</w:t>
      </w:r>
      <w:r w:rsidR="00E967DB">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77388" w:rsidRDefault="00777388">
    <w:pPr>
      <w:pStyle w:val="Header"/>
      <w:jc w:val="right"/>
    </w:pPr>
    <w:r>
      <w:fldChar w:fldCharType="begin"/>
    </w:r>
    <w:r>
      <w:instrText xml:space="preserve"> PAGE   \* MERGEFORMAT </w:instrText>
    </w:r>
    <w:r>
      <w:fldChar w:fldCharType="separate"/>
    </w:r>
    <w:r w:rsidR="007C1998">
      <w:rPr>
        <w:noProof/>
      </w:rPr>
      <w:t>20</w:t>
    </w:r>
    <w:r>
      <w:fldChar w:fldCharType="end"/>
    </w:r>
  </w:p>
  <w:p w:rsidR="00777388" w:rsidRDefault="007773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9310B"/>
    <w:multiLevelType w:val="hybridMultilevel"/>
    <w:tmpl w:val="FFFFFFFF"/>
    <w:lvl w:ilvl="0" w:tplc="0409000F">
      <w:start w:val="1"/>
      <w:numFmt w:val="decimal"/>
      <w:lvlText w:val="%1."/>
      <w:lvlJc w:val="left"/>
      <w:pPr>
        <w:ind w:left="720" w:hanging="360"/>
      </w:pPr>
      <w:rPr>
        <w:rFonts w:cs="Times New Roman"/>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1" w15:restartNumberingAfterBreak="0">
    <w:nsid w:val="08D3297F"/>
    <w:multiLevelType w:val="hybridMultilevel"/>
    <w:tmpl w:val="FFFFFFFF"/>
    <w:lvl w:ilvl="0" w:tplc="0409000F">
      <w:start w:val="1"/>
      <w:numFmt w:val="decimal"/>
      <w:lvlText w:val="%1."/>
      <w:lvlJc w:val="left"/>
      <w:pPr>
        <w:ind w:left="928" w:hanging="360"/>
      </w:pPr>
      <w:rPr>
        <w:rFonts w:cs="Times New Roman"/>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 w15:restartNumberingAfterBreak="0">
    <w:nsid w:val="0EC26AC7"/>
    <w:multiLevelType w:val="hybridMultilevel"/>
    <w:tmpl w:val="FFFFFFFF"/>
    <w:lvl w:ilvl="0" w:tplc="59F0D42E">
      <w:start w:val="1"/>
      <w:numFmt w:val="lowerLetter"/>
      <w:lvlText w:val="%1."/>
      <w:lvlJc w:val="left"/>
      <w:pPr>
        <w:ind w:left="1211" w:hanging="360"/>
      </w:pPr>
      <w:rPr>
        <w:rFonts w:cs="Times New Roman"/>
        <w:b w:val="0"/>
        <w:bCs w:val="0"/>
      </w:rPr>
    </w:lvl>
    <w:lvl w:ilvl="1" w:tplc="04090019" w:tentative="1">
      <w:start w:val="1"/>
      <w:numFmt w:val="lowerLetter"/>
      <w:lvlText w:val="%2."/>
      <w:lvlJc w:val="left"/>
      <w:pPr>
        <w:ind w:left="1931" w:hanging="360"/>
      </w:pPr>
      <w:rPr>
        <w:rFonts w:cs="Times New Roman"/>
      </w:rPr>
    </w:lvl>
    <w:lvl w:ilvl="2" w:tplc="0409001B" w:tentative="1">
      <w:start w:val="1"/>
      <w:numFmt w:val="lowerRoman"/>
      <w:lvlText w:val="%3."/>
      <w:lvlJc w:val="right"/>
      <w:pPr>
        <w:ind w:left="2651" w:hanging="180"/>
      </w:pPr>
      <w:rPr>
        <w:rFonts w:cs="Times New Roman"/>
      </w:rPr>
    </w:lvl>
    <w:lvl w:ilvl="3" w:tplc="0409000F" w:tentative="1">
      <w:start w:val="1"/>
      <w:numFmt w:val="decimal"/>
      <w:lvlText w:val="%4."/>
      <w:lvlJc w:val="left"/>
      <w:pPr>
        <w:ind w:left="3371" w:hanging="360"/>
      </w:pPr>
      <w:rPr>
        <w:rFonts w:cs="Times New Roman"/>
      </w:rPr>
    </w:lvl>
    <w:lvl w:ilvl="4" w:tplc="04090019" w:tentative="1">
      <w:start w:val="1"/>
      <w:numFmt w:val="lowerLetter"/>
      <w:lvlText w:val="%5."/>
      <w:lvlJc w:val="left"/>
      <w:pPr>
        <w:ind w:left="4091" w:hanging="360"/>
      </w:pPr>
      <w:rPr>
        <w:rFonts w:cs="Times New Roman"/>
      </w:rPr>
    </w:lvl>
    <w:lvl w:ilvl="5" w:tplc="0409001B" w:tentative="1">
      <w:start w:val="1"/>
      <w:numFmt w:val="lowerRoman"/>
      <w:lvlText w:val="%6."/>
      <w:lvlJc w:val="right"/>
      <w:pPr>
        <w:ind w:left="4811" w:hanging="180"/>
      </w:pPr>
      <w:rPr>
        <w:rFonts w:cs="Times New Roman"/>
      </w:rPr>
    </w:lvl>
    <w:lvl w:ilvl="6" w:tplc="0409000F" w:tentative="1">
      <w:start w:val="1"/>
      <w:numFmt w:val="decimal"/>
      <w:lvlText w:val="%7."/>
      <w:lvlJc w:val="left"/>
      <w:pPr>
        <w:ind w:left="5531" w:hanging="360"/>
      </w:pPr>
      <w:rPr>
        <w:rFonts w:cs="Times New Roman"/>
      </w:rPr>
    </w:lvl>
    <w:lvl w:ilvl="7" w:tplc="04090019" w:tentative="1">
      <w:start w:val="1"/>
      <w:numFmt w:val="lowerLetter"/>
      <w:lvlText w:val="%8."/>
      <w:lvlJc w:val="left"/>
      <w:pPr>
        <w:ind w:left="6251" w:hanging="360"/>
      </w:pPr>
      <w:rPr>
        <w:rFonts w:cs="Times New Roman"/>
      </w:rPr>
    </w:lvl>
    <w:lvl w:ilvl="8" w:tplc="0409001B" w:tentative="1">
      <w:start w:val="1"/>
      <w:numFmt w:val="lowerRoman"/>
      <w:lvlText w:val="%9."/>
      <w:lvlJc w:val="right"/>
      <w:pPr>
        <w:ind w:left="6971" w:hanging="180"/>
      </w:pPr>
      <w:rPr>
        <w:rFonts w:cs="Times New Roman"/>
      </w:rPr>
    </w:lvl>
  </w:abstractNum>
  <w:abstractNum w:abstractNumId="3" w15:restartNumberingAfterBreak="0">
    <w:nsid w:val="0EFA3BE5"/>
    <w:multiLevelType w:val="hybridMultilevel"/>
    <w:tmpl w:val="FFFFFFFF"/>
    <w:lvl w:ilvl="0" w:tplc="2CC8808E">
      <w:start w:val="1"/>
      <w:numFmt w:val="lowerLetter"/>
      <w:lvlText w:val="%1."/>
      <w:lvlJc w:val="left"/>
      <w:pPr>
        <w:ind w:left="1845" w:hanging="360"/>
      </w:pPr>
      <w:rPr>
        <w:rFonts w:cs="Times New Roman" w:hint="default"/>
      </w:rPr>
    </w:lvl>
    <w:lvl w:ilvl="1" w:tplc="04090019" w:tentative="1">
      <w:start w:val="1"/>
      <w:numFmt w:val="lowerLetter"/>
      <w:lvlText w:val="%2."/>
      <w:lvlJc w:val="left"/>
      <w:pPr>
        <w:ind w:left="2565" w:hanging="360"/>
      </w:pPr>
      <w:rPr>
        <w:rFonts w:cs="Times New Roman"/>
      </w:rPr>
    </w:lvl>
    <w:lvl w:ilvl="2" w:tplc="0409001B" w:tentative="1">
      <w:start w:val="1"/>
      <w:numFmt w:val="lowerRoman"/>
      <w:lvlText w:val="%3."/>
      <w:lvlJc w:val="right"/>
      <w:pPr>
        <w:ind w:left="3285" w:hanging="180"/>
      </w:pPr>
      <w:rPr>
        <w:rFonts w:cs="Times New Roman"/>
      </w:rPr>
    </w:lvl>
    <w:lvl w:ilvl="3" w:tplc="0409000F" w:tentative="1">
      <w:start w:val="1"/>
      <w:numFmt w:val="decimal"/>
      <w:lvlText w:val="%4."/>
      <w:lvlJc w:val="left"/>
      <w:pPr>
        <w:ind w:left="4005" w:hanging="360"/>
      </w:pPr>
      <w:rPr>
        <w:rFonts w:cs="Times New Roman"/>
      </w:rPr>
    </w:lvl>
    <w:lvl w:ilvl="4" w:tplc="04090019" w:tentative="1">
      <w:start w:val="1"/>
      <w:numFmt w:val="lowerLetter"/>
      <w:lvlText w:val="%5."/>
      <w:lvlJc w:val="left"/>
      <w:pPr>
        <w:ind w:left="4725" w:hanging="360"/>
      </w:pPr>
      <w:rPr>
        <w:rFonts w:cs="Times New Roman"/>
      </w:rPr>
    </w:lvl>
    <w:lvl w:ilvl="5" w:tplc="0409001B" w:tentative="1">
      <w:start w:val="1"/>
      <w:numFmt w:val="lowerRoman"/>
      <w:lvlText w:val="%6."/>
      <w:lvlJc w:val="right"/>
      <w:pPr>
        <w:ind w:left="5445" w:hanging="180"/>
      </w:pPr>
      <w:rPr>
        <w:rFonts w:cs="Times New Roman"/>
      </w:rPr>
    </w:lvl>
    <w:lvl w:ilvl="6" w:tplc="0409000F" w:tentative="1">
      <w:start w:val="1"/>
      <w:numFmt w:val="decimal"/>
      <w:lvlText w:val="%7."/>
      <w:lvlJc w:val="left"/>
      <w:pPr>
        <w:ind w:left="6165" w:hanging="360"/>
      </w:pPr>
      <w:rPr>
        <w:rFonts w:cs="Times New Roman"/>
      </w:rPr>
    </w:lvl>
    <w:lvl w:ilvl="7" w:tplc="04090019" w:tentative="1">
      <w:start w:val="1"/>
      <w:numFmt w:val="lowerLetter"/>
      <w:lvlText w:val="%8."/>
      <w:lvlJc w:val="left"/>
      <w:pPr>
        <w:ind w:left="6885" w:hanging="360"/>
      </w:pPr>
      <w:rPr>
        <w:rFonts w:cs="Times New Roman"/>
      </w:rPr>
    </w:lvl>
    <w:lvl w:ilvl="8" w:tplc="0409001B" w:tentative="1">
      <w:start w:val="1"/>
      <w:numFmt w:val="lowerRoman"/>
      <w:lvlText w:val="%9."/>
      <w:lvlJc w:val="right"/>
      <w:pPr>
        <w:ind w:left="7605" w:hanging="180"/>
      </w:pPr>
      <w:rPr>
        <w:rFonts w:cs="Times New Roman"/>
      </w:rPr>
    </w:lvl>
  </w:abstractNum>
  <w:abstractNum w:abstractNumId="4" w15:restartNumberingAfterBreak="0">
    <w:nsid w:val="0F665D7A"/>
    <w:multiLevelType w:val="hybridMultilevel"/>
    <w:tmpl w:val="FFFFFFFF"/>
    <w:lvl w:ilvl="0" w:tplc="04090011">
      <w:start w:val="1"/>
      <w:numFmt w:val="decimal"/>
      <w:lvlText w:val="%1)"/>
      <w:lvlJc w:val="left"/>
      <w:pPr>
        <w:ind w:left="1211" w:hanging="360"/>
      </w:pPr>
      <w:rPr>
        <w:rFonts w:cs="Times New Roman"/>
      </w:rPr>
    </w:lvl>
    <w:lvl w:ilvl="1" w:tplc="04090019" w:tentative="1">
      <w:start w:val="1"/>
      <w:numFmt w:val="lowerLetter"/>
      <w:lvlText w:val="%2."/>
      <w:lvlJc w:val="left"/>
      <w:pPr>
        <w:ind w:left="1931" w:hanging="360"/>
      </w:pPr>
      <w:rPr>
        <w:rFonts w:cs="Times New Roman"/>
      </w:rPr>
    </w:lvl>
    <w:lvl w:ilvl="2" w:tplc="0409001B" w:tentative="1">
      <w:start w:val="1"/>
      <w:numFmt w:val="lowerRoman"/>
      <w:lvlText w:val="%3."/>
      <w:lvlJc w:val="right"/>
      <w:pPr>
        <w:ind w:left="2651" w:hanging="180"/>
      </w:pPr>
      <w:rPr>
        <w:rFonts w:cs="Times New Roman"/>
      </w:rPr>
    </w:lvl>
    <w:lvl w:ilvl="3" w:tplc="0409000F" w:tentative="1">
      <w:start w:val="1"/>
      <w:numFmt w:val="decimal"/>
      <w:lvlText w:val="%4."/>
      <w:lvlJc w:val="left"/>
      <w:pPr>
        <w:ind w:left="3371" w:hanging="360"/>
      </w:pPr>
      <w:rPr>
        <w:rFonts w:cs="Times New Roman"/>
      </w:rPr>
    </w:lvl>
    <w:lvl w:ilvl="4" w:tplc="04090019" w:tentative="1">
      <w:start w:val="1"/>
      <w:numFmt w:val="lowerLetter"/>
      <w:lvlText w:val="%5."/>
      <w:lvlJc w:val="left"/>
      <w:pPr>
        <w:ind w:left="4091" w:hanging="360"/>
      </w:pPr>
      <w:rPr>
        <w:rFonts w:cs="Times New Roman"/>
      </w:rPr>
    </w:lvl>
    <w:lvl w:ilvl="5" w:tplc="0409001B" w:tentative="1">
      <w:start w:val="1"/>
      <w:numFmt w:val="lowerRoman"/>
      <w:lvlText w:val="%6."/>
      <w:lvlJc w:val="right"/>
      <w:pPr>
        <w:ind w:left="4811" w:hanging="180"/>
      </w:pPr>
      <w:rPr>
        <w:rFonts w:cs="Times New Roman"/>
      </w:rPr>
    </w:lvl>
    <w:lvl w:ilvl="6" w:tplc="0409000F" w:tentative="1">
      <w:start w:val="1"/>
      <w:numFmt w:val="decimal"/>
      <w:lvlText w:val="%7."/>
      <w:lvlJc w:val="left"/>
      <w:pPr>
        <w:ind w:left="5531" w:hanging="360"/>
      </w:pPr>
      <w:rPr>
        <w:rFonts w:cs="Times New Roman"/>
      </w:rPr>
    </w:lvl>
    <w:lvl w:ilvl="7" w:tplc="04090019" w:tentative="1">
      <w:start w:val="1"/>
      <w:numFmt w:val="lowerLetter"/>
      <w:lvlText w:val="%8."/>
      <w:lvlJc w:val="left"/>
      <w:pPr>
        <w:ind w:left="6251" w:hanging="360"/>
      </w:pPr>
      <w:rPr>
        <w:rFonts w:cs="Times New Roman"/>
      </w:rPr>
    </w:lvl>
    <w:lvl w:ilvl="8" w:tplc="0409001B" w:tentative="1">
      <w:start w:val="1"/>
      <w:numFmt w:val="lowerRoman"/>
      <w:lvlText w:val="%9."/>
      <w:lvlJc w:val="right"/>
      <w:pPr>
        <w:ind w:left="6971" w:hanging="180"/>
      </w:pPr>
      <w:rPr>
        <w:rFonts w:cs="Times New Roman"/>
      </w:rPr>
    </w:lvl>
  </w:abstractNum>
  <w:abstractNum w:abstractNumId="5" w15:restartNumberingAfterBreak="0">
    <w:nsid w:val="0F8173F4"/>
    <w:multiLevelType w:val="hybridMultilevel"/>
    <w:tmpl w:val="FFFFFFFF"/>
    <w:lvl w:ilvl="0" w:tplc="04090011">
      <w:start w:val="1"/>
      <w:numFmt w:val="decimal"/>
      <w:lvlText w:val="%1)"/>
      <w:lvlJc w:val="left"/>
      <w:pPr>
        <w:ind w:left="1070" w:hanging="360"/>
      </w:pPr>
      <w:rPr>
        <w:rFonts w:cs="Times New Roman"/>
      </w:rPr>
    </w:lvl>
    <w:lvl w:ilvl="1" w:tplc="04090019" w:tentative="1">
      <w:start w:val="1"/>
      <w:numFmt w:val="lowerLetter"/>
      <w:lvlText w:val="%2."/>
      <w:lvlJc w:val="left"/>
      <w:pPr>
        <w:ind w:left="1790" w:hanging="360"/>
      </w:pPr>
      <w:rPr>
        <w:rFonts w:cs="Times New Roman"/>
      </w:rPr>
    </w:lvl>
    <w:lvl w:ilvl="2" w:tplc="0409001B" w:tentative="1">
      <w:start w:val="1"/>
      <w:numFmt w:val="lowerRoman"/>
      <w:lvlText w:val="%3."/>
      <w:lvlJc w:val="right"/>
      <w:pPr>
        <w:ind w:left="2510" w:hanging="180"/>
      </w:pPr>
      <w:rPr>
        <w:rFonts w:cs="Times New Roman"/>
      </w:rPr>
    </w:lvl>
    <w:lvl w:ilvl="3" w:tplc="0409000F" w:tentative="1">
      <w:start w:val="1"/>
      <w:numFmt w:val="decimal"/>
      <w:lvlText w:val="%4."/>
      <w:lvlJc w:val="left"/>
      <w:pPr>
        <w:ind w:left="3230" w:hanging="360"/>
      </w:pPr>
      <w:rPr>
        <w:rFonts w:cs="Times New Roman"/>
      </w:rPr>
    </w:lvl>
    <w:lvl w:ilvl="4" w:tplc="04090019" w:tentative="1">
      <w:start w:val="1"/>
      <w:numFmt w:val="lowerLetter"/>
      <w:lvlText w:val="%5."/>
      <w:lvlJc w:val="left"/>
      <w:pPr>
        <w:ind w:left="3950" w:hanging="360"/>
      </w:pPr>
      <w:rPr>
        <w:rFonts w:cs="Times New Roman"/>
      </w:rPr>
    </w:lvl>
    <w:lvl w:ilvl="5" w:tplc="0409001B" w:tentative="1">
      <w:start w:val="1"/>
      <w:numFmt w:val="lowerRoman"/>
      <w:lvlText w:val="%6."/>
      <w:lvlJc w:val="right"/>
      <w:pPr>
        <w:ind w:left="4670" w:hanging="180"/>
      </w:pPr>
      <w:rPr>
        <w:rFonts w:cs="Times New Roman"/>
      </w:rPr>
    </w:lvl>
    <w:lvl w:ilvl="6" w:tplc="0409000F" w:tentative="1">
      <w:start w:val="1"/>
      <w:numFmt w:val="decimal"/>
      <w:lvlText w:val="%7."/>
      <w:lvlJc w:val="left"/>
      <w:pPr>
        <w:ind w:left="5390" w:hanging="360"/>
      </w:pPr>
      <w:rPr>
        <w:rFonts w:cs="Times New Roman"/>
      </w:rPr>
    </w:lvl>
    <w:lvl w:ilvl="7" w:tplc="04090019" w:tentative="1">
      <w:start w:val="1"/>
      <w:numFmt w:val="lowerLetter"/>
      <w:lvlText w:val="%8."/>
      <w:lvlJc w:val="left"/>
      <w:pPr>
        <w:ind w:left="6110" w:hanging="360"/>
      </w:pPr>
      <w:rPr>
        <w:rFonts w:cs="Times New Roman"/>
      </w:rPr>
    </w:lvl>
    <w:lvl w:ilvl="8" w:tplc="0409001B" w:tentative="1">
      <w:start w:val="1"/>
      <w:numFmt w:val="lowerRoman"/>
      <w:lvlText w:val="%9."/>
      <w:lvlJc w:val="right"/>
      <w:pPr>
        <w:ind w:left="6830" w:hanging="180"/>
      </w:pPr>
      <w:rPr>
        <w:rFonts w:cs="Times New Roman"/>
      </w:rPr>
    </w:lvl>
  </w:abstractNum>
  <w:abstractNum w:abstractNumId="6" w15:restartNumberingAfterBreak="0">
    <w:nsid w:val="16236D83"/>
    <w:multiLevelType w:val="hybridMultilevel"/>
    <w:tmpl w:val="FFFFFFFF"/>
    <w:lvl w:ilvl="0" w:tplc="A20AC172">
      <w:start w:val="1"/>
      <w:numFmt w:val="lowerLetter"/>
      <w:lvlText w:val="%1."/>
      <w:lvlJc w:val="left"/>
      <w:pPr>
        <w:ind w:left="786" w:hanging="360"/>
      </w:pPr>
      <w:rPr>
        <w:rFonts w:ascii="Times New Roman" w:hAnsi="Times New Roman"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7" w15:restartNumberingAfterBreak="0">
    <w:nsid w:val="18256C21"/>
    <w:multiLevelType w:val="hybridMultilevel"/>
    <w:tmpl w:val="FFFFFFFF"/>
    <w:lvl w:ilvl="0" w:tplc="04090019">
      <w:start w:val="1"/>
      <w:numFmt w:val="lowerLetter"/>
      <w:lvlText w:val="%1."/>
      <w:lvlJc w:val="left"/>
      <w:pPr>
        <w:ind w:left="1004" w:hanging="360"/>
      </w:pPr>
      <w:rPr>
        <w:rFonts w:cs="Times New Roman"/>
      </w:rPr>
    </w:lvl>
    <w:lvl w:ilvl="1" w:tplc="04090019" w:tentative="1">
      <w:start w:val="1"/>
      <w:numFmt w:val="lowerLetter"/>
      <w:lvlText w:val="%2."/>
      <w:lvlJc w:val="left"/>
      <w:pPr>
        <w:ind w:left="1724" w:hanging="360"/>
      </w:pPr>
      <w:rPr>
        <w:rFonts w:cs="Times New Roman"/>
      </w:rPr>
    </w:lvl>
    <w:lvl w:ilvl="2" w:tplc="0409001B" w:tentative="1">
      <w:start w:val="1"/>
      <w:numFmt w:val="lowerRoman"/>
      <w:lvlText w:val="%3."/>
      <w:lvlJc w:val="right"/>
      <w:pPr>
        <w:ind w:left="2444" w:hanging="180"/>
      </w:pPr>
      <w:rPr>
        <w:rFonts w:cs="Times New Roman"/>
      </w:rPr>
    </w:lvl>
    <w:lvl w:ilvl="3" w:tplc="0409000F" w:tentative="1">
      <w:start w:val="1"/>
      <w:numFmt w:val="decimal"/>
      <w:lvlText w:val="%4."/>
      <w:lvlJc w:val="left"/>
      <w:pPr>
        <w:ind w:left="3164" w:hanging="360"/>
      </w:pPr>
      <w:rPr>
        <w:rFonts w:cs="Times New Roman"/>
      </w:rPr>
    </w:lvl>
    <w:lvl w:ilvl="4" w:tplc="04090019" w:tentative="1">
      <w:start w:val="1"/>
      <w:numFmt w:val="lowerLetter"/>
      <w:lvlText w:val="%5."/>
      <w:lvlJc w:val="left"/>
      <w:pPr>
        <w:ind w:left="3884" w:hanging="360"/>
      </w:pPr>
      <w:rPr>
        <w:rFonts w:cs="Times New Roman"/>
      </w:rPr>
    </w:lvl>
    <w:lvl w:ilvl="5" w:tplc="0409001B" w:tentative="1">
      <w:start w:val="1"/>
      <w:numFmt w:val="lowerRoman"/>
      <w:lvlText w:val="%6."/>
      <w:lvlJc w:val="right"/>
      <w:pPr>
        <w:ind w:left="4604" w:hanging="180"/>
      </w:pPr>
      <w:rPr>
        <w:rFonts w:cs="Times New Roman"/>
      </w:rPr>
    </w:lvl>
    <w:lvl w:ilvl="6" w:tplc="0409000F" w:tentative="1">
      <w:start w:val="1"/>
      <w:numFmt w:val="decimal"/>
      <w:lvlText w:val="%7."/>
      <w:lvlJc w:val="left"/>
      <w:pPr>
        <w:ind w:left="5324" w:hanging="360"/>
      </w:pPr>
      <w:rPr>
        <w:rFonts w:cs="Times New Roman"/>
      </w:rPr>
    </w:lvl>
    <w:lvl w:ilvl="7" w:tplc="04090019" w:tentative="1">
      <w:start w:val="1"/>
      <w:numFmt w:val="lowerLetter"/>
      <w:lvlText w:val="%8."/>
      <w:lvlJc w:val="left"/>
      <w:pPr>
        <w:ind w:left="6044" w:hanging="360"/>
      </w:pPr>
      <w:rPr>
        <w:rFonts w:cs="Times New Roman"/>
      </w:rPr>
    </w:lvl>
    <w:lvl w:ilvl="8" w:tplc="0409001B" w:tentative="1">
      <w:start w:val="1"/>
      <w:numFmt w:val="lowerRoman"/>
      <w:lvlText w:val="%9."/>
      <w:lvlJc w:val="right"/>
      <w:pPr>
        <w:ind w:left="6764" w:hanging="180"/>
      </w:pPr>
      <w:rPr>
        <w:rFonts w:cs="Times New Roman"/>
      </w:rPr>
    </w:lvl>
  </w:abstractNum>
  <w:abstractNum w:abstractNumId="8" w15:restartNumberingAfterBreak="0">
    <w:nsid w:val="1B5253EC"/>
    <w:multiLevelType w:val="hybridMultilevel"/>
    <w:tmpl w:val="FFFFFFFF"/>
    <w:lvl w:ilvl="0" w:tplc="04090011">
      <w:start w:val="1"/>
      <w:numFmt w:val="decimal"/>
      <w:lvlText w:val="%1)"/>
      <w:lvlJc w:val="left"/>
      <w:pPr>
        <w:ind w:left="1211" w:hanging="360"/>
      </w:pPr>
      <w:rPr>
        <w:rFonts w:cs="Times New Roman"/>
      </w:rPr>
    </w:lvl>
    <w:lvl w:ilvl="1" w:tplc="04090019" w:tentative="1">
      <w:start w:val="1"/>
      <w:numFmt w:val="lowerLetter"/>
      <w:lvlText w:val="%2."/>
      <w:lvlJc w:val="left"/>
      <w:pPr>
        <w:ind w:left="1931" w:hanging="360"/>
      </w:pPr>
      <w:rPr>
        <w:rFonts w:cs="Times New Roman"/>
      </w:rPr>
    </w:lvl>
    <w:lvl w:ilvl="2" w:tplc="0409001B" w:tentative="1">
      <w:start w:val="1"/>
      <w:numFmt w:val="lowerRoman"/>
      <w:lvlText w:val="%3."/>
      <w:lvlJc w:val="right"/>
      <w:pPr>
        <w:ind w:left="2651" w:hanging="180"/>
      </w:pPr>
      <w:rPr>
        <w:rFonts w:cs="Times New Roman"/>
      </w:rPr>
    </w:lvl>
    <w:lvl w:ilvl="3" w:tplc="0409000F" w:tentative="1">
      <w:start w:val="1"/>
      <w:numFmt w:val="decimal"/>
      <w:lvlText w:val="%4."/>
      <w:lvlJc w:val="left"/>
      <w:pPr>
        <w:ind w:left="3371" w:hanging="360"/>
      </w:pPr>
      <w:rPr>
        <w:rFonts w:cs="Times New Roman"/>
      </w:rPr>
    </w:lvl>
    <w:lvl w:ilvl="4" w:tplc="04090019" w:tentative="1">
      <w:start w:val="1"/>
      <w:numFmt w:val="lowerLetter"/>
      <w:lvlText w:val="%5."/>
      <w:lvlJc w:val="left"/>
      <w:pPr>
        <w:ind w:left="4091" w:hanging="360"/>
      </w:pPr>
      <w:rPr>
        <w:rFonts w:cs="Times New Roman"/>
      </w:rPr>
    </w:lvl>
    <w:lvl w:ilvl="5" w:tplc="0409001B" w:tentative="1">
      <w:start w:val="1"/>
      <w:numFmt w:val="lowerRoman"/>
      <w:lvlText w:val="%6."/>
      <w:lvlJc w:val="right"/>
      <w:pPr>
        <w:ind w:left="4811" w:hanging="180"/>
      </w:pPr>
      <w:rPr>
        <w:rFonts w:cs="Times New Roman"/>
      </w:rPr>
    </w:lvl>
    <w:lvl w:ilvl="6" w:tplc="0409000F" w:tentative="1">
      <w:start w:val="1"/>
      <w:numFmt w:val="decimal"/>
      <w:lvlText w:val="%7."/>
      <w:lvlJc w:val="left"/>
      <w:pPr>
        <w:ind w:left="5531" w:hanging="360"/>
      </w:pPr>
      <w:rPr>
        <w:rFonts w:cs="Times New Roman"/>
      </w:rPr>
    </w:lvl>
    <w:lvl w:ilvl="7" w:tplc="04090019" w:tentative="1">
      <w:start w:val="1"/>
      <w:numFmt w:val="lowerLetter"/>
      <w:lvlText w:val="%8."/>
      <w:lvlJc w:val="left"/>
      <w:pPr>
        <w:ind w:left="6251" w:hanging="360"/>
      </w:pPr>
      <w:rPr>
        <w:rFonts w:cs="Times New Roman"/>
      </w:rPr>
    </w:lvl>
    <w:lvl w:ilvl="8" w:tplc="0409001B" w:tentative="1">
      <w:start w:val="1"/>
      <w:numFmt w:val="lowerRoman"/>
      <w:lvlText w:val="%9."/>
      <w:lvlJc w:val="right"/>
      <w:pPr>
        <w:ind w:left="6971" w:hanging="180"/>
      </w:pPr>
      <w:rPr>
        <w:rFonts w:cs="Times New Roman"/>
      </w:rPr>
    </w:lvl>
  </w:abstractNum>
  <w:abstractNum w:abstractNumId="9" w15:restartNumberingAfterBreak="0">
    <w:nsid w:val="1C7859DE"/>
    <w:multiLevelType w:val="hybridMultilevel"/>
    <w:tmpl w:val="FFFFFFFF"/>
    <w:lvl w:ilvl="0" w:tplc="0421000F">
      <w:start w:val="1"/>
      <w:numFmt w:val="decimal"/>
      <w:lvlText w:val="%1."/>
      <w:lvlJc w:val="left"/>
      <w:pPr>
        <w:ind w:left="1260" w:hanging="360"/>
      </w:pPr>
      <w:rPr>
        <w:rFonts w:cs="Times New Roman"/>
      </w:rPr>
    </w:lvl>
    <w:lvl w:ilvl="1" w:tplc="04210019" w:tentative="1">
      <w:start w:val="1"/>
      <w:numFmt w:val="lowerLetter"/>
      <w:lvlText w:val="%2."/>
      <w:lvlJc w:val="left"/>
      <w:pPr>
        <w:ind w:left="1980" w:hanging="360"/>
      </w:pPr>
      <w:rPr>
        <w:rFonts w:cs="Times New Roman"/>
      </w:rPr>
    </w:lvl>
    <w:lvl w:ilvl="2" w:tplc="0421001B" w:tentative="1">
      <w:start w:val="1"/>
      <w:numFmt w:val="lowerRoman"/>
      <w:lvlText w:val="%3."/>
      <w:lvlJc w:val="right"/>
      <w:pPr>
        <w:ind w:left="2700" w:hanging="180"/>
      </w:pPr>
      <w:rPr>
        <w:rFonts w:cs="Times New Roman"/>
      </w:rPr>
    </w:lvl>
    <w:lvl w:ilvl="3" w:tplc="0421000F" w:tentative="1">
      <w:start w:val="1"/>
      <w:numFmt w:val="decimal"/>
      <w:lvlText w:val="%4."/>
      <w:lvlJc w:val="left"/>
      <w:pPr>
        <w:ind w:left="3420" w:hanging="360"/>
      </w:pPr>
      <w:rPr>
        <w:rFonts w:cs="Times New Roman"/>
      </w:rPr>
    </w:lvl>
    <w:lvl w:ilvl="4" w:tplc="04210019" w:tentative="1">
      <w:start w:val="1"/>
      <w:numFmt w:val="lowerLetter"/>
      <w:lvlText w:val="%5."/>
      <w:lvlJc w:val="left"/>
      <w:pPr>
        <w:ind w:left="4140" w:hanging="360"/>
      </w:pPr>
      <w:rPr>
        <w:rFonts w:cs="Times New Roman"/>
      </w:rPr>
    </w:lvl>
    <w:lvl w:ilvl="5" w:tplc="0421001B" w:tentative="1">
      <w:start w:val="1"/>
      <w:numFmt w:val="lowerRoman"/>
      <w:lvlText w:val="%6."/>
      <w:lvlJc w:val="right"/>
      <w:pPr>
        <w:ind w:left="4860" w:hanging="180"/>
      </w:pPr>
      <w:rPr>
        <w:rFonts w:cs="Times New Roman"/>
      </w:rPr>
    </w:lvl>
    <w:lvl w:ilvl="6" w:tplc="0421000F" w:tentative="1">
      <w:start w:val="1"/>
      <w:numFmt w:val="decimal"/>
      <w:lvlText w:val="%7."/>
      <w:lvlJc w:val="left"/>
      <w:pPr>
        <w:ind w:left="5580" w:hanging="360"/>
      </w:pPr>
      <w:rPr>
        <w:rFonts w:cs="Times New Roman"/>
      </w:rPr>
    </w:lvl>
    <w:lvl w:ilvl="7" w:tplc="04210019" w:tentative="1">
      <w:start w:val="1"/>
      <w:numFmt w:val="lowerLetter"/>
      <w:lvlText w:val="%8."/>
      <w:lvlJc w:val="left"/>
      <w:pPr>
        <w:ind w:left="6300" w:hanging="360"/>
      </w:pPr>
      <w:rPr>
        <w:rFonts w:cs="Times New Roman"/>
      </w:rPr>
    </w:lvl>
    <w:lvl w:ilvl="8" w:tplc="0421001B" w:tentative="1">
      <w:start w:val="1"/>
      <w:numFmt w:val="lowerRoman"/>
      <w:lvlText w:val="%9."/>
      <w:lvlJc w:val="right"/>
      <w:pPr>
        <w:ind w:left="7020" w:hanging="180"/>
      </w:pPr>
      <w:rPr>
        <w:rFonts w:cs="Times New Roman"/>
      </w:rPr>
    </w:lvl>
  </w:abstractNum>
  <w:abstractNum w:abstractNumId="10" w15:restartNumberingAfterBreak="0">
    <w:nsid w:val="1CE52D73"/>
    <w:multiLevelType w:val="hybridMultilevel"/>
    <w:tmpl w:val="FFFFFFFF"/>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DCAE8760">
      <w:start w:val="9"/>
      <w:numFmt w:val="decimal"/>
      <w:lvlText w:val="%3."/>
      <w:lvlJc w:val="left"/>
      <w:pPr>
        <w:ind w:left="2340" w:hanging="360"/>
      </w:pPr>
      <w:rPr>
        <w:rFonts w:cs="Times New Roman" w:hint="default"/>
      </w:rPr>
    </w:lvl>
    <w:lvl w:ilvl="3" w:tplc="36CED426">
      <w:start w:val="4"/>
      <w:numFmt w:val="upperLetter"/>
      <w:lvlText w:val="%4."/>
      <w:lvlJc w:val="left"/>
      <w:pPr>
        <w:ind w:left="2880" w:hanging="360"/>
      </w:pPr>
      <w:rPr>
        <w:rFonts w:cs="Times New Roman" w:hint="default"/>
      </w:rPr>
    </w:lvl>
    <w:lvl w:ilvl="4" w:tplc="61FC724C">
      <w:start w:val="5"/>
      <w:numFmt w:val="upperLetter"/>
      <w:lvlText w:val="%5."/>
      <w:lvlJc w:val="left"/>
      <w:pPr>
        <w:ind w:left="3600" w:hanging="360"/>
      </w:pPr>
      <w:rPr>
        <w:rFonts w:cs="Times New Roman" w:hint="default"/>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D074B6E"/>
    <w:multiLevelType w:val="hybridMultilevel"/>
    <w:tmpl w:val="FFFFFFFF"/>
    <w:lvl w:ilvl="0" w:tplc="B038F586">
      <w:start w:val="1"/>
      <w:numFmt w:val="lowerLetter"/>
      <w:lvlText w:val="%1."/>
      <w:lvlJc w:val="left"/>
      <w:pPr>
        <w:ind w:left="987" w:hanging="360"/>
      </w:pPr>
      <w:rPr>
        <w:rFonts w:asciiTheme="majorBidi" w:hAnsiTheme="majorBidi" w:cs="Times New Roman" w:hint="default"/>
        <w:i w:val="0"/>
        <w:iCs w:val="0"/>
        <w:sz w:val="24"/>
      </w:rPr>
    </w:lvl>
    <w:lvl w:ilvl="1" w:tplc="7FF42434">
      <w:start w:val="1"/>
      <w:numFmt w:val="decimal"/>
      <w:lvlText w:val="%2)"/>
      <w:lvlJc w:val="left"/>
      <w:pPr>
        <w:ind w:left="1707" w:hanging="360"/>
      </w:pPr>
      <w:rPr>
        <w:rFonts w:cs="Times New Roman" w:hint="default"/>
      </w:rPr>
    </w:lvl>
    <w:lvl w:ilvl="2" w:tplc="0409001B" w:tentative="1">
      <w:start w:val="1"/>
      <w:numFmt w:val="lowerRoman"/>
      <w:lvlText w:val="%3."/>
      <w:lvlJc w:val="right"/>
      <w:pPr>
        <w:ind w:left="2427" w:hanging="180"/>
      </w:pPr>
      <w:rPr>
        <w:rFonts w:cs="Times New Roman"/>
      </w:rPr>
    </w:lvl>
    <w:lvl w:ilvl="3" w:tplc="0409000F" w:tentative="1">
      <w:start w:val="1"/>
      <w:numFmt w:val="decimal"/>
      <w:lvlText w:val="%4."/>
      <w:lvlJc w:val="left"/>
      <w:pPr>
        <w:ind w:left="3147" w:hanging="360"/>
      </w:pPr>
      <w:rPr>
        <w:rFonts w:cs="Times New Roman"/>
      </w:rPr>
    </w:lvl>
    <w:lvl w:ilvl="4" w:tplc="04090019" w:tentative="1">
      <w:start w:val="1"/>
      <w:numFmt w:val="lowerLetter"/>
      <w:lvlText w:val="%5."/>
      <w:lvlJc w:val="left"/>
      <w:pPr>
        <w:ind w:left="3867" w:hanging="360"/>
      </w:pPr>
      <w:rPr>
        <w:rFonts w:cs="Times New Roman"/>
      </w:rPr>
    </w:lvl>
    <w:lvl w:ilvl="5" w:tplc="0409001B" w:tentative="1">
      <w:start w:val="1"/>
      <w:numFmt w:val="lowerRoman"/>
      <w:lvlText w:val="%6."/>
      <w:lvlJc w:val="right"/>
      <w:pPr>
        <w:ind w:left="4587" w:hanging="180"/>
      </w:pPr>
      <w:rPr>
        <w:rFonts w:cs="Times New Roman"/>
      </w:rPr>
    </w:lvl>
    <w:lvl w:ilvl="6" w:tplc="0409000F" w:tentative="1">
      <w:start w:val="1"/>
      <w:numFmt w:val="decimal"/>
      <w:lvlText w:val="%7."/>
      <w:lvlJc w:val="left"/>
      <w:pPr>
        <w:ind w:left="5307" w:hanging="360"/>
      </w:pPr>
      <w:rPr>
        <w:rFonts w:cs="Times New Roman"/>
      </w:rPr>
    </w:lvl>
    <w:lvl w:ilvl="7" w:tplc="04090019" w:tentative="1">
      <w:start w:val="1"/>
      <w:numFmt w:val="lowerLetter"/>
      <w:lvlText w:val="%8."/>
      <w:lvlJc w:val="left"/>
      <w:pPr>
        <w:ind w:left="6027" w:hanging="360"/>
      </w:pPr>
      <w:rPr>
        <w:rFonts w:cs="Times New Roman"/>
      </w:rPr>
    </w:lvl>
    <w:lvl w:ilvl="8" w:tplc="0409001B" w:tentative="1">
      <w:start w:val="1"/>
      <w:numFmt w:val="lowerRoman"/>
      <w:lvlText w:val="%9."/>
      <w:lvlJc w:val="right"/>
      <w:pPr>
        <w:ind w:left="6747" w:hanging="180"/>
      </w:pPr>
      <w:rPr>
        <w:rFonts w:cs="Times New Roman"/>
      </w:rPr>
    </w:lvl>
  </w:abstractNum>
  <w:abstractNum w:abstractNumId="12" w15:restartNumberingAfterBreak="0">
    <w:nsid w:val="1DE478D3"/>
    <w:multiLevelType w:val="hybridMultilevel"/>
    <w:tmpl w:val="FFFFFFFF"/>
    <w:lvl w:ilvl="0" w:tplc="0409000F">
      <w:start w:val="1"/>
      <w:numFmt w:val="decimal"/>
      <w:lvlText w:val="%1."/>
      <w:lvlJc w:val="left"/>
      <w:pPr>
        <w:ind w:left="928" w:hanging="360"/>
      </w:pPr>
      <w:rPr>
        <w:rFonts w:cs="Times New Roman"/>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13" w15:restartNumberingAfterBreak="0">
    <w:nsid w:val="2003407A"/>
    <w:multiLevelType w:val="hybridMultilevel"/>
    <w:tmpl w:val="FFFFFFFF"/>
    <w:lvl w:ilvl="0" w:tplc="04090015">
      <w:start w:val="1"/>
      <w:numFmt w:val="upperLetter"/>
      <w:lvlText w:val="%1."/>
      <w:lvlJc w:val="left"/>
      <w:pPr>
        <w:ind w:left="720" w:hanging="360"/>
      </w:pPr>
      <w:rPr>
        <w:rFonts w:cs="Times New Roman"/>
        <w:i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15:restartNumberingAfterBreak="0">
    <w:nsid w:val="2172423B"/>
    <w:multiLevelType w:val="hybridMultilevel"/>
    <w:tmpl w:val="FFFFFFFF"/>
    <w:lvl w:ilvl="0" w:tplc="EA42655C">
      <w:start w:val="2"/>
      <w:numFmt w:val="decimal"/>
      <w:lvlText w:val="%1)"/>
      <w:lvlJc w:val="left"/>
      <w:pPr>
        <w:ind w:left="36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5" w15:restartNumberingAfterBreak="0">
    <w:nsid w:val="263464D1"/>
    <w:multiLevelType w:val="hybridMultilevel"/>
    <w:tmpl w:val="FFFFFFFF"/>
    <w:lvl w:ilvl="0" w:tplc="4B36D04E">
      <w:start w:val="1"/>
      <w:numFmt w:val="lowerLetter"/>
      <w:lvlText w:val="%1."/>
      <w:lvlJc w:val="left"/>
      <w:pPr>
        <w:ind w:left="1260" w:hanging="360"/>
      </w:pPr>
      <w:rPr>
        <w:rFonts w:cs="Times New Roman" w:hint="default"/>
        <w:i w:val="0"/>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16" w15:restartNumberingAfterBreak="0">
    <w:nsid w:val="26E12F83"/>
    <w:multiLevelType w:val="hybridMultilevel"/>
    <w:tmpl w:val="FFFFFFFF"/>
    <w:lvl w:ilvl="0" w:tplc="249837DA">
      <w:start w:val="8"/>
      <w:numFmt w:val="decimal"/>
      <w:lvlText w:val="%1."/>
      <w:lvlJc w:val="left"/>
      <w:pPr>
        <w:ind w:left="501" w:hanging="360"/>
      </w:pPr>
      <w:rPr>
        <w:rFonts w:cs="Times New Roman" w:hint="default"/>
      </w:rPr>
    </w:lvl>
    <w:lvl w:ilvl="1" w:tplc="04210019" w:tentative="1">
      <w:start w:val="1"/>
      <w:numFmt w:val="lowerLetter"/>
      <w:lvlText w:val="%2."/>
      <w:lvlJc w:val="left"/>
      <w:pPr>
        <w:ind w:left="795" w:hanging="360"/>
      </w:pPr>
      <w:rPr>
        <w:rFonts w:cs="Times New Roman"/>
      </w:rPr>
    </w:lvl>
    <w:lvl w:ilvl="2" w:tplc="0421001B" w:tentative="1">
      <w:start w:val="1"/>
      <w:numFmt w:val="lowerRoman"/>
      <w:lvlText w:val="%3."/>
      <w:lvlJc w:val="right"/>
      <w:pPr>
        <w:ind w:left="1515" w:hanging="180"/>
      </w:pPr>
      <w:rPr>
        <w:rFonts w:cs="Times New Roman"/>
      </w:rPr>
    </w:lvl>
    <w:lvl w:ilvl="3" w:tplc="0421000F" w:tentative="1">
      <w:start w:val="1"/>
      <w:numFmt w:val="decimal"/>
      <w:lvlText w:val="%4."/>
      <w:lvlJc w:val="left"/>
      <w:pPr>
        <w:ind w:left="2235" w:hanging="360"/>
      </w:pPr>
      <w:rPr>
        <w:rFonts w:cs="Times New Roman"/>
      </w:rPr>
    </w:lvl>
    <w:lvl w:ilvl="4" w:tplc="04210019" w:tentative="1">
      <w:start w:val="1"/>
      <w:numFmt w:val="lowerLetter"/>
      <w:lvlText w:val="%5."/>
      <w:lvlJc w:val="left"/>
      <w:pPr>
        <w:ind w:left="2955" w:hanging="360"/>
      </w:pPr>
      <w:rPr>
        <w:rFonts w:cs="Times New Roman"/>
      </w:rPr>
    </w:lvl>
    <w:lvl w:ilvl="5" w:tplc="0421001B" w:tentative="1">
      <w:start w:val="1"/>
      <w:numFmt w:val="lowerRoman"/>
      <w:lvlText w:val="%6."/>
      <w:lvlJc w:val="right"/>
      <w:pPr>
        <w:ind w:left="3675" w:hanging="180"/>
      </w:pPr>
      <w:rPr>
        <w:rFonts w:cs="Times New Roman"/>
      </w:rPr>
    </w:lvl>
    <w:lvl w:ilvl="6" w:tplc="0421000F" w:tentative="1">
      <w:start w:val="1"/>
      <w:numFmt w:val="decimal"/>
      <w:lvlText w:val="%7."/>
      <w:lvlJc w:val="left"/>
      <w:pPr>
        <w:ind w:left="4395" w:hanging="360"/>
      </w:pPr>
      <w:rPr>
        <w:rFonts w:cs="Times New Roman"/>
      </w:rPr>
    </w:lvl>
    <w:lvl w:ilvl="7" w:tplc="04210019" w:tentative="1">
      <w:start w:val="1"/>
      <w:numFmt w:val="lowerLetter"/>
      <w:lvlText w:val="%8."/>
      <w:lvlJc w:val="left"/>
      <w:pPr>
        <w:ind w:left="5115" w:hanging="360"/>
      </w:pPr>
      <w:rPr>
        <w:rFonts w:cs="Times New Roman"/>
      </w:rPr>
    </w:lvl>
    <w:lvl w:ilvl="8" w:tplc="0421001B" w:tentative="1">
      <w:start w:val="1"/>
      <w:numFmt w:val="lowerRoman"/>
      <w:lvlText w:val="%9."/>
      <w:lvlJc w:val="right"/>
      <w:pPr>
        <w:ind w:left="5835" w:hanging="180"/>
      </w:pPr>
      <w:rPr>
        <w:rFonts w:cs="Times New Roman"/>
      </w:rPr>
    </w:lvl>
  </w:abstractNum>
  <w:abstractNum w:abstractNumId="17" w15:restartNumberingAfterBreak="0">
    <w:nsid w:val="2E773A9B"/>
    <w:multiLevelType w:val="hybridMultilevel"/>
    <w:tmpl w:val="FFFFFFFF"/>
    <w:lvl w:ilvl="0" w:tplc="0409000F">
      <w:start w:val="1"/>
      <w:numFmt w:val="decimal"/>
      <w:lvlText w:val="%1."/>
      <w:lvlJc w:val="left"/>
      <w:pPr>
        <w:ind w:left="928" w:hanging="360"/>
      </w:pPr>
      <w:rPr>
        <w:rFonts w:cs="Times New Roman"/>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18" w15:restartNumberingAfterBreak="0">
    <w:nsid w:val="31A7180B"/>
    <w:multiLevelType w:val="hybridMultilevel"/>
    <w:tmpl w:val="FFFFFFFF"/>
    <w:lvl w:ilvl="0" w:tplc="0409000F">
      <w:start w:val="1"/>
      <w:numFmt w:val="decimal"/>
      <w:lvlText w:val="%1."/>
      <w:lvlJc w:val="left"/>
      <w:pPr>
        <w:ind w:left="1146" w:hanging="360"/>
      </w:pPr>
      <w:rPr>
        <w:rFonts w:cs="Times New Roman"/>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19" w15:restartNumberingAfterBreak="0">
    <w:nsid w:val="328E21F7"/>
    <w:multiLevelType w:val="hybridMultilevel"/>
    <w:tmpl w:val="FFFFFFFF"/>
    <w:lvl w:ilvl="0" w:tplc="04090011">
      <w:start w:val="1"/>
      <w:numFmt w:val="decimal"/>
      <w:lvlText w:val="%1)"/>
      <w:lvlJc w:val="left"/>
      <w:pPr>
        <w:ind w:left="1713" w:hanging="360"/>
      </w:pPr>
      <w:rPr>
        <w:rFonts w:cs="Times New Roman"/>
      </w:rPr>
    </w:lvl>
    <w:lvl w:ilvl="1" w:tplc="04090011">
      <w:start w:val="1"/>
      <w:numFmt w:val="decimal"/>
      <w:lvlText w:val="%2)"/>
      <w:lvlJc w:val="left"/>
      <w:pPr>
        <w:ind w:left="2433" w:hanging="360"/>
      </w:pPr>
      <w:rPr>
        <w:rFonts w:cs="Times New Roman"/>
      </w:rPr>
    </w:lvl>
    <w:lvl w:ilvl="2" w:tplc="80A47788">
      <w:start w:val="1"/>
      <w:numFmt w:val="lowerLetter"/>
      <w:lvlText w:val="%3."/>
      <w:lvlJc w:val="left"/>
      <w:pPr>
        <w:ind w:left="360" w:hanging="360"/>
      </w:pPr>
      <w:rPr>
        <w:rFonts w:cs="Times New Roman" w:hint="default"/>
      </w:rPr>
    </w:lvl>
    <w:lvl w:ilvl="3" w:tplc="E4F8BDD0">
      <w:start w:val="2"/>
      <w:numFmt w:val="decimal"/>
      <w:lvlText w:val="%4."/>
      <w:lvlJc w:val="left"/>
      <w:pPr>
        <w:ind w:left="3873" w:hanging="360"/>
      </w:pPr>
      <w:rPr>
        <w:rFonts w:cs="Times New Roman" w:hint="default"/>
      </w:rPr>
    </w:lvl>
    <w:lvl w:ilvl="4" w:tplc="04090019" w:tentative="1">
      <w:start w:val="1"/>
      <w:numFmt w:val="lowerLetter"/>
      <w:lvlText w:val="%5."/>
      <w:lvlJc w:val="left"/>
      <w:pPr>
        <w:ind w:left="4593" w:hanging="360"/>
      </w:pPr>
      <w:rPr>
        <w:rFonts w:cs="Times New Roman"/>
      </w:rPr>
    </w:lvl>
    <w:lvl w:ilvl="5" w:tplc="0409001B" w:tentative="1">
      <w:start w:val="1"/>
      <w:numFmt w:val="lowerRoman"/>
      <w:lvlText w:val="%6."/>
      <w:lvlJc w:val="right"/>
      <w:pPr>
        <w:ind w:left="5313" w:hanging="180"/>
      </w:pPr>
      <w:rPr>
        <w:rFonts w:cs="Times New Roman"/>
      </w:rPr>
    </w:lvl>
    <w:lvl w:ilvl="6" w:tplc="0409000F" w:tentative="1">
      <w:start w:val="1"/>
      <w:numFmt w:val="decimal"/>
      <w:lvlText w:val="%7."/>
      <w:lvlJc w:val="left"/>
      <w:pPr>
        <w:ind w:left="6033" w:hanging="360"/>
      </w:pPr>
      <w:rPr>
        <w:rFonts w:cs="Times New Roman"/>
      </w:rPr>
    </w:lvl>
    <w:lvl w:ilvl="7" w:tplc="04090019" w:tentative="1">
      <w:start w:val="1"/>
      <w:numFmt w:val="lowerLetter"/>
      <w:lvlText w:val="%8."/>
      <w:lvlJc w:val="left"/>
      <w:pPr>
        <w:ind w:left="6753" w:hanging="360"/>
      </w:pPr>
      <w:rPr>
        <w:rFonts w:cs="Times New Roman"/>
      </w:rPr>
    </w:lvl>
    <w:lvl w:ilvl="8" w:tplc="0409001B" w:tentative="1">
      <w:start w:val="1"/>
      <w:numFmt w:val="lowerRoman"/>
      <w:lvlText w:val="%9."/>
      <w:lvlJc w:val="right"/>
      <w:pPr>
        <w:ind w:left="7473" w:hanging="180"/>
      </w:pPr>
      <w:rPr>
        <w:rFonts w:cs="Times New Roman"/>
      </w:rPr>
    </w:lvl>
  </w:abstractNum>
  <w:abstractNum w:abstractNumId="20" w15:restartNumberingAfterBreak="0">
    <w:nsid w:val="334B7D13"/>
    <w:multiLevelType w:val="hybridMultilevel"/>
    <w:tmpl w:val="FFFFFFFF"/>
    <w:lvl w:ilvl="0" w:tplc="4906F19E">
      <w:start w:val="1"/>
      <w:numFmt w:val="decimal"/>
      <w:pStyle w:val="Heading3"/>
      <w:lvlText w:val="%1."/>
      <w:lvlJc w:val="left"/>
      <w:pPr>
        <w:ind w:left="720" w:hanging="360"/>
      </w:pPr>
      <w:rPr>
        <w:rFonts w:asciiTheme="majorBidi" w:hAnsiTheme="majorBidi" w:cs="Times New Roman" w:hint="default"/>
        <w:i w:val="0"/>
        <w:iCs w:val="0"/>
        <w:sz w:val="24"/>
        <w:szCs w:val="24"/>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21" w15:restartNumberingAfterBreak="0">
    <w:nsid w:val="33B321A2"/>
    <w:multiLevelType w:val="hybridMultilevel"/>
    <w:tmpl w:val="FFFFFFFF"/>
    <w:lvl w:ilvl="0" w:tplc="04090019">
      <w:start w:val="1"/>
      <w:numFmt w:val="lowerLetter"/>
      <w:lvlText w:val="%1."/>
      <w:lvlJc w:val="left"/>
      <w:pPr>
        <w:ind w:left="786" w:hanging="360"/>
      </w:pPr>
      <w:rPr>
        <w:rFonts w:cs="Times New Roman"/>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22" w15:restartNumberingAfterBreak="0">
    <w:nsid w:val="3846059E"/>
    <w:multiLevelType w:val="hybridMultilevel"/>
    <w:tmpl w:val="FFFFFFFF"/>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3" w15:restartNumberingAfterBreak="0">
    <w:nsid w:val="38915259"/>
    <w:multiLevelType w:val="hybridMultilevel"/>
    <w:tmpl w:val="FFFFFFFF"/>
    <w:lvl w:ilvl="0" w:tplc="BCD27748">
      <w:start w:val="1"/>
      <w:numFmt w:val="decimal"/>
      <w:lvlText w:val="%1."/>
      <w:lvlJc w:val="left"/>
      <w:pPr>
        <w:tabs>
          <w:tab w:val="num" w:pos="630"/>
        </w:tabs>
        <w:ind w:left="630" w:hanging="360"/>
      </w:pPr>
      <w:rPr>
        <w:rFonts w:ascii="Times New Roman" w:eastAsia="Batang" w:hAnsi="Times New Roman" w:cs="Times New Roman" w:hint="default"/>
      </w:rPr>
    </w:lvl>
    <w:lvl w:ilvl="1" w:tplc="47E458CE">
      <w:start w:val="3"/>
      <w:numFmt w:val="upperLetter"/>
      <w:lvlText w:val="%2."/>
      <w:lvlJc w:val="left"/>
      <w:pPr>
        <w:tabs>
          <w:tab w:val="num" w:pos="1350"/>
        </w:tabs>
        <w:ind w:left="1350" w:hanging="360"/>
      </w:pPr>
      <w:rPr>
        <w:rFonts w:cs="Times New Roman" w:hint="default"/>
      </w:rPr>
    </w:lvl>
    <w:lvl w:ilvl="2" w:tplc="0409001B" w:tentative="1">
      <w:start w:val="1"/>
      <w:numFmt w:val="lowerRoman"/>
      <w:lvlText w:val="%3."/>
      <w:lvlJc w:val="right"/>
      <w:pPr>
        <w:tabs>
          <w:tab w:val="num" w:pos="2070"/>
        </w:tabs>
        <w:ind w:left="2070" w:hanging="180"/>
      </w:pPr>
      <w:rPr>
        <w:rFonts w:cs="Times New Roman"/>
      </w:rPr>
    </w:lvl>
    <w:lvl w:ilvl="3" w:tplc="0409000F" w:tentative="1">
      <w:start w:val="1"/>
      <w:numFmt w:val="decimal"/>
      <w:lvlText w:val="%4."/>
      <w:lvlJc w:val="left"/>
      <w:pPr>
        <w:tabs>
          <w:tab w:val="num" w:pos="2790"/>
        </w:tabs>
        <w:ind w:left="2790" w:hanging="360"/>
      </w:pPr>
      <w:rPr>
        <w:rFonts w:cs="Times New Roman"/>
      </w:rPr>
    </w:lvl>
    <w:lvl w:ilvl="4" w:tplc="04090019" w:tentative="1">
      <w:start w:val="1"/>
      <w:numFmt w:val="lowerLetter"/>
      <w:lvlText w:val="%5."/>
      <w:lvlJc w:val="left"/>
      <w:pPr>
        <w:tabs>
          <w:tab w:val="num" w:pos="3510"/>
        </w:tabs>
        <w:ind w:left="3510" w:hanging="360"/>
      </w:pPr>
      <w:rPr>
        <w:rFonts w:cs="Times New Roman"/>
      </w:rPr>
    </w:lvl>
    <w:lvl w:ilvl="5" w:tplc="0409001B" w:tentative="1">
      <w:start w:val="1"/>
      <w:numFmt w:val="lowerRoman"/>
      <w:lvlText w:val="%6."/>
      <w:lvlJc w:val="right"/>
      <w:pPr>
        <w:tabs>
          <w:tab w:val="num" w:pos="4230"/>
        </w:tabs>
        <w:ind w:left="4230" w:hanging="180"/>
      </w:pPr>
      <w:rPr>
        <w:rFonts w:cs="Times New Roman"/>
      </w:rPr>
    </w:lvl>
    <w:lvl w:ilvl="6" w:tplc="0409000F" w:tentative="1">
      <w:start w:val="1"/>
      <w:numFmt w:val="decimal"/>
      <w:lvlText w:val="%7."/>
      <w:lvlJc w:val="left"/>
      <w:pPr>
        <w:tabs>
          <w:tab w:val="num" w:pos="4950"/>
        </w:tabs>
        <w:ind w:left="4950" w:hanging="360"/>
      </w:pPr>
      <w:rPr>
        <w:rFonts w:cs="Times New Roman"/>
      </w:rPr>
    </w:lvl>
    <w:lvl w:ilvl="7" w:tplc="04090019" w:tentative="1">
      <w:start w:val="1"/>
      <w:numFmt w:val="lowerLetter"/>
      <w:lvlText w:val="%8."/>
      <w:lvlJc w:val="left"/>
      <w:pPr>
        <w:tabs>
          <w:tab w:val="num" w:pos="5670"/>
        </w:tabs>
        <w:ind w:left="5670" w:hanging="360"/>
      </w:pPr>
      <w:rPr>
        <w:rFonts w:cs="Times New Roman"/>
      </w:rPr>
    </w:lvl>
    <w:lvl w:ilvl="8" w:tplc="0409001B" w:tentative="1">
      <w:start w:val="1"/>
      <w:numFmt w:val="lowerRoman"/>
      <w:lvlText w:val="%9."/>
      <w:lvlJc w:val="right"/>
      <w:pPr>
        <w:tabs>
          <w:tab w:val="num" w:pos="6390"/>
        </w:tabs>
        <w:ind w:left="6390" w:hanging="180"/>
      </w:pPr>
      <w:rPr>
        <w:rFonts w:cs="Times New Roman"/>
      </w:rPr>
    </w:lvl>
  </w:abstractNum>
  <w:abstractNum w:abstractNumId="24" w15:restartNumberingAfterBreak="0">
    <w:nsid w:val="3E6912F1"/>
    <w:multiLevelType w:val="hybridMultilevel"/>
    <w:tmpl w:val="FFFFFFFF"/>
    <w:lvl w:ilvl="0" w:tplc="0409000F">
      <w:start w:val="1"/>
      <w:numFmt w:val="decimal"/>
      <w:lvlText w:val="%1."/>
      <w:lvlJc w:val="left"/>
      <w:pPr>
        <w:ind w:left="928" w:hanging="360"/>
      </w:pPr>
      <w:rPr>
        <w:rFonts w:cs="Times New Roman"/>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5" w15:restartNumberingAfterBreak="0">
    <w:nsid w:val="3F486B71"/>
    <w:multiLevelType w:val="hybridMultilevel"/>
    <w:tmpl w:val="FFFFFFFF"/>
    <w:lvl w:ilvl="0" w:tplc="04090001">
      <w:start w:val="1"/>
      <w:numFmt w:val="bullet"/>
      <w:lvlText w:val=""/>
      <w:lvlJc w:val="left"/>
      <w:pPr>
        <w:ind w:left="578" w:hanging="360"/>
      </w:pPr>
      <w:rPr>
        <w:rFonts w:ascii="Symbol" w:hAnsi="Symbol" w:hint="default"/>
      </w:rPr>
    </w:lvl>
    <w:lvl w:ilvl="1" w:tplc="04090003" w:tentative="1">
      <w:start w:val="1"/>
      <w:numFmt w:val="bullet"/>
      <w:lvlText w:val="o"/>
      <w:lvlJc w:val="left"/>
      <w:pPr>
        <w:ind w:left="1298" w:hanging="360"/>
      </w:pPr>
      <w:rPr>
        <w:rFonts w:ascii="Courier New" w:hAnsi="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26" w15:restartNumberingAfterBreak="0">
    <w:nsid w:val="426B50AD"/>
    <w:multiLevelType w:val="hybridMultilevel"/>
    <w:tmpl w:val="FFFFFFFF"/>
    <w:lvl w:ilvl="0" w:tplc="0409000F">
      <w:start w:val="1"/>
      <w:numFmt w:val="decimal"/>
      <w:lvlText w:val="%1."/>
      <w:lvlJc w:val="left"/>
      <w:pPr>
        <w:ind w:left="928" w:hanging="360"/>
      </w:pPr>
      <w:rPr>
        <w:rFonts w:cs="Times New Roman"/>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7" w15:restartNumberingAfterBreak="0">
    <w:nsid w:val="43585817"/>
    <w:multiLevelType w:val="hybridMultilevel"/>
    <w:tmpl w:val="FFFFFFFF"/>
    <w:lvl w:ilvl="0" w:tplc="04090019">
      <w:start w:val="1"/>
      <w:numFmt w:val="lowerLetter"/>
      <w:lvlText w:val="%1."/>
      <w:lvlJc w:val="left"/>
      <w:pPr>
        <w:ind w:left="786" w:hanging="360"/>
      </w:pPr>
      <w:rPr>
        <w:rFonts w:cs="Times New Roman"/>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28" w15:restartNumberingAfterBreak="0">
    <w:nsid w:val="47E30392"/>
    <w:multiLevelType w:val="hybridMultilevel"/>
    <w:tmpl w:val="FFFFFFFF"/>
    <w:lvl w:ilvl="0" w:tplc="11ECCAD0">
      <w:start w:val="1"/>
      <w:numFmt w:val="lowerLetter"/>
      <w:lvlText w:val="%1."/>
      <w:lvlJc w:val="left"/>
      <w:pPr>
        <w:ind w:left="862" w:hanging="360"/>
      </w:pPr>
      <w:rPr>
        <w:rFonts w:cs="Times New Roman" w:hint="default"/>
      </w:rPr>
    </w:lvl>
    <w:lvl w:ilvl="1" w:tplc="CBCE337C">
      <w:start w:val="1"/>
      <w:numFmt w:val="decimal"/>
      <w:lvlText w:val="%2)"/>
      <w:lvlJc w:val="left"/>
      <w:pPr>
        <w:ind w:left="1582" w:hanging="360"/>
      </w:pPr>
      <w:rPr>
        <w:rFonts w:cs="Times New Roman" w:hint="default"/>
      </w:rPr>
    </w:lvl>
    <w:lvl w:ilvl="2" w:tplc="0409001B" w:tentative="1">
      <w:start w:val="1"/>
      <w:numFmt w:val="lowerRoman"/>
      <w:lvlText w:val="%3."/>
      <w:lvlJc w:val="right"/>
      <w:pPr>
        <w:ind w:left="2302" w:hanging="180"/>
      </w:pPr>
      <w:rPr>
        <w:rFonts w:cs="Times New Roman"/>
      </w:rPr>
    </w:lvl>
    <w:lvl w:ilvl="3" w:tplc="0409000F" w:tentative="1">
      <w:start w:val="1"/>
      <w:numFmt w:val="decimal"/>
      <w:lvlText w:val="%4."/>
      <w:lvlJc w:val="left"/>
      <w:pPr>
        <w:ind w:left="3022" w:hanging="360"/>
      </w:pPr>
      <w:rPr>
        <w:rFonts w:cs="Times New Roman"/>
      </w:rPr>
    </w:lvl>
    <w:lvl w:ilvl="4" w:tplc="04090019" w:tentative="1">
      <w:start w:val="1"/>
      <w:numFmt w:val="lowerLetter"/>
      <w:lvlText w:val="%5."/>
      <w:lvlJc w:val="left"/>
      <w:pPr>
        <w:ind w:left="3742" w:hanging="360"/>
      </w:pPr>
      <w:rPr>
        <w:rFonts w:cs="Times New Roman"/>
      </w:rPr>
    </w:lvl>
    <w:lvl w:ilvl="5" w:tplc="0409001B" w:tentative="1">
      <w:start w:val="1"/>
      <w:numFmt w:val="lowerRoman"/>
      <w:lvlText w:val="%6."/>
      <w:lvlJc w:val="right"/>
      <w:pPr>
        <w:ind w:left="4462" w:hanging="180"/>
      </w:pPr>
      <w:rPr>
        <w:rFonts w:cs="Times New Roman"/>
      </w:rPr>
    </w:lvl>
    <w:lvl w:ilvl="6" w:tplc="0409000F" w:tentative="1">
      <w:start w:val="1"/>
      <w:numFmt w:val="decimal"/>
      <w:lvlText w:val="%7."/>
      <w:lvlJc w:val="left"/>
      <w:pPr>
        <w:ind w:left="5182" w:hanging="360"/>
      </w:pPr>
      <w:rPr>
        <w:rFonts w:cs="Times New Roman"/>
      </w:rPr>
    </w:lvl>
    <w:lvl w:ilvl="7" w:tplc="04090019" w:tentative="1">
      <w:start w:val="1"/>
      <w:numFmt w:val="lowerLetter"/>
      <w:lvlText w:val="%8."/>
      <w:lvlJc w:val="left"/>
      <w:pPr>
        <w:ind w:left="5902" w:hanging="360"/>
      </w:pPr>
      <w:rPr>
        <w:rFonts w:cs="Times New Roman"/>
      </w:rPr>
    </w:lvl>
    <w:lvl w:ilvl="8" w:tplc="0409001B" w:tentative="1">
      <w:start w:val="1"/>
      <w:numFmt w:val="lowerRoman"/>
      <w:lvlText w:val="%9."/>
      <w:lvlJc w:val="right"/>
      <w:pPr>
        <w:ind w:left="6622" w:hanging="180"/>
      </w:pPr>
      <w:rPr>
        <w:rFonts w:cs="Times New Roman"/>
      </w:rPr>
    </w:lvl>
  </w:abstractNum>
  <w:abstractNum w:abstractNumId="29" w15:restartNumberingAfterBreak="0">
    <w:nsid w:val="4AD05D95"/>
    <w:multiLevelType w:val="hybridMultilevel"/>
    <w:tmpl w:val="FFFFFFFF"/>
    <w:lvl w:ilvl="0" w:tplc="0409000F">
      <w:start w:val="1"/>
      <w:numFmt w:val="decimal"/>
      <w:lvlText w:val="%1."/>
      <w:lvlJc w:val="left"/>
      <w:pPr>
        <w:ind w:left="1070" w:hanging="360"/>
      </w:pPr>
      <w:rPr>
        <w:rFonts w:cs="Times New Roman"/>
      </w:rPr>
    </w:lvl>
    <w:lvl w:ilvl="1" w:tplc="04090019" w:tentative="1">
      <w:start w:val="1"/>
      <w:numFmt w:val="lowerLetter"/>
      <w:lvlText w:val="%2."/>
      <w:lvlJc w:val="left"/>
      <w:pPr>
        <w:ind w:left="1790" w:hanging="360"/>
      </w:pPr>
      <w:rPr>
        <w:rFonts w:cs="Times New Roman"/>
      </w:rPr>
    </w:lvl>
    <w:lvl w:ilvl="2" w:tplc="0409001B" w:tentative="1">
      <w:start w:val="1"/>
      <w:numFmt w:val="lowerRoman"/>
      <w:lvlText w:val="%3."/>
      <w:lvlJc w:val="right"/>
      <w:pPr>
        <w:ind w:left="2510" w:hanging="180"/>
      </w:pPr>
      <w:rPr>
        <w:rFonts w:cs="Times New Roman"/>
      </w:rPr>
    </w:lvl>
    <w:lvl w:ilvl="3" w:tplc="0409000F" w:tentative="1">
      <w:start w:val="1"/>
      <w:numFmt w:val="decimal"/>
      <w:lvlText w:val="%4."/>
      <w:lvlJc w:val="left"/>
      <w:pPr>
        <w:ind w:left="3230" w:hanging="360"/>
      </w:pPr>
      <w:rPr>
        <w:rFonts w:cs="Times New Roman"/>
      </w:rPr>
    </w:lvl>
    <w:lvl w:ilvl="4" w:tplc="04090019" w:tentative="1">
      <w:start w:val="1"/>
      <w:numFmt w:val="lowerLetter"/>
      <w:lvlText w:val="%5."/>
      <w:lvlJc w:val="left"/>
      <w:pPr>
        <w:ind w:left="3950" w:hanging="360"/>
      </w:pPr>
      <w:rPr>
        <w:rFonts w:cs="Times New Roman"/>
      </w:rPr>
    </w:lvl>
    <w:lvl w:ilvl="5" w:tplc="0409001B" w:tentative="1">
      <w:start w:val="1"/>
      <w:numFmt w:val="lowerRoman"/>
      <w:lvlText w:val="%6."/>
      <w:lvlJc w:val="right"/>
      <w:pPr>
        <w:ind w:left="4670" w:hanging="180"/>
      </w:pPr>
      <w:rPr>
        <w:rFonts w:cs="Times New Roman"/>
      </w:rPr>
    </w:lvl>
    <w:lvl w:ilvl="6" w:tplc="0409000F" w:tentative="1">
      <w:start w:val="1"/>
      <w:numFmt w:val="decimal"/>
      <w:lvlText w:val="%7."/>
      <w:lvlJc w:val="left"/>
      <w:pPr>
        <w:ind w:left="5390" w:hanging="360"/>
      </w:pPr>
      <w:rPr>
        <w:rFonts w:cs="Times New Roman"/>
      </w:rPr>
    </w:lvl>
    <w:lvl w:ilvl="7" w:tplc="04090019" w:tentative="1">
      <w:start w:val="1"/>
      <w:numFmt w:val="lowerLetter"/>
      <w:lvlText w:val="%8."/>
      <w:lvlJc w:val="left"/>
      <w:pPr>
        <w:ind w:left="6110" w:hanging="360"/>
      </w:pPr>
      <w:rPr>
        <w:rFonts w:cs="Times New Roman"/>
      </w:rPr>
    </w:lvl>
    <w:lvl w:ilvl="8" w:tplc="0409001B" w:tentative="1">
      <w:start w:val="1"/>
      <w:numFmt w:val="lowerRoman"/>
      <w:lvlText w:val="%9."/>
      <w:lvlJc w:val="right"/>
      <w:pPr>
        <w:ind w:left="6830" w:hanging="180"/>
      </w:pPr>
      <w:rPr>
        <w:rFonts w:cs="Times New Roman"/>
      </w:rPr>
    </w:lvl>
  </w:abstractNum>
  <w:abstractNum w:abstractNumId="30" w15:restartNumberingAfterBreak="0">
    <w:nsid w:val="4C8E34E6"/>
    <w:multiLevelType w:val="multilevel"/>
    <w:tmpl w:val="FFFFFFFF"/>
    <w:lvl w:ilvl="0">
      <w:start w:val="1"/>
      <w:numFmt w:val="decimal"/>
      <w:lvlText w:val="%1."/>
      <w:lvlJc w:val="left"/>
      <w:pPr>
        <w:ind w:left="927" w:hanging="360"/>
      </w:pPr>
      <w:rPr>
        <w:rFonts w:cs="Times New Roman" w:hint="default"/>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31" w15:restartNumberingAfterBreak="0">
    <w:nsid w:val="4CB034BA"/>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D53B53"/>
    <w:multiLevelType w:val="hybridMultilevel"/>
    <w:tmpl w:val="FFFFFFFF"/>
    <w:lvl w:ilvl="0" w:tplc="0409000F">
      <w:start w:val="1"/>
      <w:numFmt w:val="decimal"/>
      <w:lvlText w:val="%1."/>
      <w:lvlJc w:val="left"/>
      <w:pPr>
        <w:ind w:left="644" w:hanging="360"/>
      </w:pPr>
      <w:rPr>
        <w:rFonts w:cs="Times New Roman"/>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33" w15:restartNumberingAfterBreak="0">
    <w:nsid w:val="4CDC5A1C"/>
    <w:multiLevelType w:val="hybridMultilevel"/>
    <w:tmpl w:val="FFFFFFFF"/>
    <w:lvl w:ilvl="0" w:tplc="0409000F">
      <w:start w:val="1"/>
      <w:numFmt w:val="decimal"/>
      <w:lvlText w:val="%1."/>
      <w:lvlJc w:val="left"/>
      <w:pPr>
        <w:ind w:left="644" w:hanging="360"/>
      </w:pPr>
      <w:rPr>
        <w:rFonts w:cs="Times New Roman"/>
      </w:rPr>
    </w:lvl>
    <w:lvl w:ilvl="1" w:tplc="04090011">
      <w:start w:val="1"/>
      <w:numFmt w:val="decimal"/>
      <w:lvlText w:val="%2)"/>
      <w:lvlJc w:val="left"/>
      <w:pPr>
        <w:ind w:left="1364" w:hanging="360"/>
      </w:pPr>
      <w:rPr>
        <w:rFonts w:cs="Times New Roman" w:hint="default"/>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34" w15:restartNumberingAfterBreak="0">
    <w:nsid w:val="53ED73FD"/>
    <w:multiLevelType w:val="hybridMultilevel"/>
    <w:tmpl w:val="FFFFFFFF"/>
    <w:lvl w:ilvl="0" w:tplc="3E98ABEA">
      <w:start w:val="1"/>
      <w:numFmt w:val="lowerLetter"/>
      <w:lvlText w:val="%1."/>
      <w:lvlJc w:val="left"/>
      <w:pPr>
        <w:tabs>
          <w:tab w:val="num" w:pos="720"/>
        </w:tabs>
        <w:ind w:left="720" w:hanging="360"/>
      </w:pPr>
      <w:rPr>
        <w:rFonts w:cs="Times New Roman" w:hint="default"/>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54AC0C13"/>
    <w:multiLevelType w:val="hybridMultilevel"/>
    <w:tmpl w:val="FFFFFFFF"/>
    <w:lvl w:ilvl="0" w:tplc="E448254A">
      <w:start w:val="2"/>
      <w:numFmt w:val="decimal"/>
      <w:lvlText w:val="%1)"/>
      <w:lvlJc w:val="left"/>
      <w:pPr>
        <w:ind w:left="36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6" w15:restartNumberingAfterBreak="0">
    <w:nsid w:val="54CA00D4"/>
    <w:multiLevelType w:val="hybridMultilevel"/>
    <w:tmpl w:val="FFFFFFFF"/>
    <w:lvl w:ilvl="0" w:tplc="0421000F">
      <w:start w:val="1"/>
      <w:numFmt w:val="decimal"/>
      <w:lvlText w:val="%1."/>
      <w:lvlJc w:val="left"/>
      <w:pPr>
        <w:ind w:left="720" w:hanging="360"/>
      </w:pPr>
      <w:rPr>
        <w:rFonts w:cs="Times New Roman" w:hint="default"/>
      </w:rPr>
    </w:lvl>
    <w:lvl w:ilvl="1" w:tplc="0421000F">
      <w:start w:val="1"/>
      <w:numFmt w:val="decimal"/>
      <w:lvlText w:val="%2."/>
      <w:lvlJc w:val="left"/>
      <w:pPr>
        <w:ind w:left="786"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55A96DC5"/>
    <w:multiLevelType w:val="hybridMultilevel"/>
    <w:tmpl w:val="FFFFFFFF"/>
    <w:lvl w:ilvl="0" w:tplc="3809000F">
      <w:start w:val="1"/>
      <w:numFmt w:val="decimal"/>
      <w:lvlText w:val="%1."/>
      <w:lvlJc w:val="left"/>
      <w:pPr>
        <w:ind w:left="502" w:hanging="360"/>
      </w:pPr>
      <w:rPr>
        <w:rFonts w:cs="Times New Roman"/>
      </w:rPr>
    </w:lvl>
    <w:lvl w:ilvl="1" w:tplc="38090019" w:tentative="1">
      <w:start w:val="1"/>
      <w:numFmt w:val="lowerLetter"/>
      <w:lvlText w:val="%2."/>
      <w:lvlJc w:val="left"/>
      <w:pPr>
        <w:ind w:left="1222" w:hanging="360"/>
      </w:pPr>
      <w:rPr>
        <w:rFonts w:cs="Times New Roman"/>
      </w:rPr>
    </w:lvl>
    <w:lvl w:ilvl="2" w:tplc="3809001B" w:tentative="1">
      <w:start w:val="1"/>
      <w:numFmt w:val="lowerRoman"/>
      <w:lvlText w:val="%3."/>
      <w:lvlJc w:val="right"/>
      <w:pPr>
        <w:ind w:left="1942" w:hanging="180"/>
      </w:pPr>
      <w:rPr>
        <w:rFonts w:cs="Times New Roman"/>
      </w:rPr>
    </w:lvl>
    <w:lvl w:ilvl="3" w:tplc="3809000F" w:tentative="1">
      <w:start w:val="1"/>
      <w:numFmt w:val="decimal"/>
      <w:lvlText w:val="%4."/>
      <w:lvlJc w:val="left"/>
      <w:pPr>
        <w:ind w:left="2662" w:hanging="360"/>
      </w:pPr>
      <w:rPr>
        <w:rFonts w:cs="Times New Roman"/>
      </w:rPr>
    </w:lvl>
    <w:lvl w:ilvl="4" w:tplc="38090019" w:tentative="1">
      <w:start w:val="1"/>
      <w:numFmt w:val="lowerLetter"/>
      <w:lvlText w:val="%5."/>
      <w:lvlJc w:val="left"/>
      <w:pPr>
        <w:ind w:left="3382" w:hanging="360"/>
      </w:pPr>
      <w:rPr>
        <w:rFonts w:cs="Times New Roman"/>
      </w:rPr>
    </w:lvl>
    <w:lvl w:ilvl="5" w:tplc="3809001B" w:tentative="1">
      <w:start w:val="1"/>
      <w:numFmt w:val="lowerRoman"/>
      <w:lvlText w:val="%6."/>
      <w:lvlJc w:val="right"/>
      <w:pPr>
        <w:ind w:left="4102" w:hanging="180"/>
      </w:pPr>
      <w:rPr>
        <w:rFonts w:cs="Times New Roman"/>
      </w:rPr>
    </w:lvl>
    <w:lvl w:ilvl="6" w:tplc="3809000F" w:tentative="1">
      <w:start w:val="1"/>
      <w:numFmt w:val="decimal"/>
      <w:lvlText w:val="%7."/>
      <w:lvlJc w:val="left"/>
      <w:pPr>
        <w:ind w:left="4822" w:hanging="360"/>
      </w:pPr>
      <w:rPr>
        <w:rFonts w:cs="Times New Roman"/>
      </w:rPr>
    </w:lvl>
    <w:lvl w:ilvl="7" w:tplc="38090019" w:tentative="1">
      <w:start w:val="1"/>
      <w:numFmt w:val="lowerLetter"/>
      <w:lvlText w:val="%8."/>
      <w:lvlJc w:val="left"/>
      <w:pPr>
        <w:ind w:left="5542" w:hanging="360"/>
      </w:pPr>
      <w:rPr>
        <w:rFonts w:cs="Times New Roman"/>
      </w:rPr>
    </w:lvl>
    <w:lvl w:ilvl="8" w:tplc="3809001B" w:tentative="1">
      <w:start w:val="1"/>
      <w:numFmt w:val="lowerRoman"/>
      <w:lvlText w:val="%9."/>
      <w:lvlJc w:val="right"/>
      <w:pPr>
        <w:ind w:left="6262" w:hanging="180"/>
      </w:pPr>
      <w:rPr>
        <w:rFonts w:cs="Times New Roman"/>
      </w:rPr>
    </w:lvl>
  </w:abstractNum>
  <w:abstractNum w:abstractNumId="38" w15:restartNumberingAfterBreak="0">
    <w:nsid w:val="5659692B"/>
    <w:multiLevelType w:val="hybridMultilevel"/>
    <w:tmpl w:val="FFFFFFFF"/>
    <w:lvl w:ilvl="0" w:tplc="23609FFA">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9" w15:restartNumberingAfterBreak="0">
    <w:nsid w:val="5A135FC6"/>
    <w:multiLevelType w:val="hybridMultilevel"/>
    <w:tmpl w:val="FFFFFFFF"/>
    <w:lvl w:ilvl="0" w:tplc="04090019">
      <w:start w:val="1"/>
      <w:numFmt w:val="lowerLetter"/>
      <w:lvlText w:val="%1."/>
      <w:lvlJc w:val="left"/>
      <w:pPr>
        <w:ind w:left="786" w:hanging="360"/>
      </w:pPr>
      <w:rPr>
        <w:rFonts w:cs="Times New Roman"/>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40" w15:restartNumberingAfterBreak="0">
    <w:nsid w:val="5B2A136A"/>
    <w:multiLevelType w:val="hybridMultilevel"/>
    <w:tmpl w:val="FFFFFFFF"/>
    <w:lvl w:ilvl="0" w:tplc="3B5EDB54">
      <w:start w:val="1"/>
      <w:numFmt w:val="lowerLetter"/>
      <w:lvlText w:val="%1."/>
      <w:lvlJc w:val="left"/>
      <w:pPr>
        <w:ind w:left="1352" w:hanging="360"/>
      </w:pPr>
      <w:rPr>
        <w:rFonts w:cs="Times New Roman" w:hint="default"/>
      </w:rPr>
    </w:lvl>
    <w:lvl w:ilvl="1" w:tplc="04210019" w:tentative="1">
      <w:start w:val="1"/>
      <w:numFmt w:val="lowerLetter"/>
      <w:lvlText w:val="%2."/>
      <w:lvlJc w:val="left"/>
      <w:pPr>
        <w:ind w:left="947" w:hanging="360"/>
      </w:pPr>
      <w:rPr>
        <w:rFonts w:cs="Times New Roman"/>
      </w:rPr>
    </w:lvl>
    <w:lvl w:ilvl="2" w:tplc="0421001B" w:tentative="1">
      <w:start w:val="1"/>
      <w:numFmt w:val="lowerRoman"/>
      <w:lvlText w:val="%3."/>
      <w:lvlJc w:val="right"/>
      <w:pPr>
        <w:ind w:left="1667" w:hanging="180"/>
      </w:pPr>
      <w:rPr>
        <w:rFonts w:cs="Times New Roman"/>
      </w:rPr>
    </w:lvl>
    <w:lvl w:ilvl="3" w:tplc="0421000F" w:tentative="1">
      <w:start w:val="1"/>
      <w:numFmt w:val="decimal"/>
      <w:lvlText w:val="%4."/>
      <w:lvlJc w:val="left"/>
      <w:pPr>
        <w:ind w:left="2387" w:hanging="360"/>
      </w:pPr>
      <w:rPr>
        <w:rFonts w:cs="Times New Roman"/>
      </w:rPr>
    </w:lvl>
    <w:lvl w:ilvl="4" w:tplc="04210019" w:tentative="1">
      <w:start w:val="1"/>
      <w:numFmt w:val="lowerLetter"/>
      <w:lvlText w:val="%5."/>
      <w:lvlJc w:val="left"/>
      <w:pPr>
        <w:ind w:left="3107" w:hanging="360"/>
      </w:pPr>
      <w:rPr>
        <w:rFonts w:cs="Times New Roman"/>
      </w:rPr>
    </w:lvl>
    <w:lvl w:ilvl="5" w:tplc="0421001B" w:tentative="1">
      <w:start w:val="1"/>
      <w:numFmt w:val="lowerRoman"/>
      <w:lvlText w:val="%6."/>
      <w:lvlJc w:val="right"/>
      <w:pPr>
        <w:ind w:left="3827" w:hanging="180"/>
      </w:pPr>
      <w:rPr>
        <w:rFonts w:cs="Times New Roman"/>
      </w:rPr>
    </w:lvl>
    <w:lvl w:ilvl="6" w:tplc="0421000F" w:tentative="1">
      <w:start w:val="1"/>
      <w:numFmt w:val="decimal"/>
      <w:lvlText w:val="%7."/>
      <w:lvlJc w:val="left"/>
      <w:pPr>
        <w:ind w:left="4547" w:hanging="360"/>
      </w:pPr>
      <w:rPr>
        <w:rFonts w:cs="Times New Roman"/>
      </w:rPr>
    </w:lvl>
    <w:lvl w:ilvl="7" w:tplc="04210019" w:tentative="1">
      <w:start w:val="1"/>
      <w:numFmt w:val="lowerLetter"/>
      <w:lvlText w:val="%8."/>
      <w:lvlJc w:val="left"/>
      <w:pPr>
        <w:ind w:left="5267" w:hanging="360"/>
      </w:pPr>
      <w:rPr>
        <w:rFonts w:cs="Times New Roman"/>
      </w:rPr>
    </w:lvl>
    <w:lvl w:ilvl="8" w:tplc="0421001B" w:tentative="1">
      <w:start w:val="1"/>
      <w:numFmt w:val="lowerRoman"/>
      <w:lvlText w:val="%9."/>
      <w:lvlJc w:val="right"/>
      <w:pPr>
        <w:ind w:left="5987" w:hanging="180"/>
      </w:pPr>
      <w:rPr>
        <w:rFonts w:cs="Times New Roman"/>
      </w:rPr>
    </w:lvl>
  </w:abstractNum>
  <w:abstractNum w:abstractNumId="41" w15:restartNumberingAfterBreak="0">
    <w:nsid w:val="5C4B6EA5"/>
    <w:multiLevelType w:val="hybridMultilevel"/>
    <w:tmpl w:val="FFFFFFFF"/>
    <w:lvl w:ilvl="0" w:tplc="04090019">
      <w:start w:val="1"/>
      <w:numFmt w:val="lowerLetter"/>
      <w:lvlText w:val="%1."/>
      <w:lvlJc w:val="left"/>
      <w:pPr>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42" w15:restartNumberingAfterBreak="0">
    <w:nsid w:val="5D2D4353"/>
    <w:multiLevelType w:val="hybridMultilevel"/>
    <w:tmpl w:val="FFFFFFFF"/>
    <w:lvl w:ilvl="0" w:tplc="84D8C506">
      <w:start w:val="1"/>
      <w:numFmt w:val="decimal"/>
      <w:lvlText w:val="%1."/>
      <w:lvlJc w:val="left"/>
      <w:pPr>
        <w:ind w:left="660" w:hanging="360"/>
      </w:pPr>
      <w:rPr>
        <w:rFonts w:cs="Times New Roman" w:hint="default"/>
      </w:rPr>
    </w:lvl>
    <w:lvl w:ilvl="1" w:tplc="38090019" w:tentative="1">
      <w:start w:val="1"/>
      <w:numFmt w:val="lowerLetter"/>
      <w:lvlText w:val="%2."/>
      <w:lvlJc w:val="left"/>
      <w:pPr>
        <w:ind w:left="1380" w:hanging="360"/>
      </w:pPr>
      <w:rPr>
        <w:rFonts w:cs="Times New Roman"/>
      </w:rPr>
    </w:lvl>
    <w:lvl w:ilvl="2" w:tplc="3809001B" w:tentative="1">
      <w:start w:val="1"/>
      <w:numFmt w:val="lowerRoman"/>
      <w:lvlText w:val="%3."/>
      <w:lvlJc w:val="right"/>
      <w:pPr>
        <w:ind w:left="2100" w:hanging="180"/>
      </w:pPr>
      <w:rPr>
        <w:rFonts w:cs="Times New Roman"/>
      </w:rPr>
    </w:lvl>
    <w:lvl w:ilvl="3" w:tplc="3809000F" w:tentative="1">
      <w:start w:val="1"/>
      <w:numFmt w:val="decimal"/>
      <w:lvlText w:val="%4."/>
      <w:lvlJc w:val="left"/>
      <w:pPr>
        <w:ind w:left="2820" w:hanging="360"/>
      </w:pPr>
      <w:rPr>
        <w:rFonts w:cs="Times New Roman"/>
      </w:rPr>
    </w:lvl>
    <w:lvl w:ilvl="4" w:tplc="38090019" w:tentative="1">
      <w:start w:val="1"/>
      <w:numFmt w:val="lowerLetter"/>
      <w:lvlText w:val="%5."/>
      <w:lvlJc w:val="left"/>
      <w:pPr>
        <w:ind w:left="3540" w:hanging="360"/>
      </w:pPr>
      <w:rPr>
        <w:rFonts w:cs="Times New Roman"/>
      </w:rPr>
    </w:lvl>
    <w:lvl w:ilvl="5" w:tplc="3809001B" w:tentative="1">
      <w:start w:val="1"/>
      <w:numFmt w:val="lowerRoman"/>
      <w:lvlText w:val="%6."/>
      <w:lvlJc w:val="right"/>
      <w:pPr>
        <w:ind w:left="4260" w:hanging="180"/>
      </w:pPr>
      <w:rPr>
        <w:rFonts w:cs="Times New Roman"/>
      </w:rPr>
    </w:lvl>
    <w:lvl w:ilvl="6" w:tplc="3809000F" w:tentative="1">
      <w:start w:val="1"/>
      <w:numFmt w:val="decimal"/>
      <w:lvlText w:val="%7."/>
      <w:lvlJc w:val="left"/>
      <w:pPr>
        <w:ind w:left="4980" w:hanging="360"/>
      </w:pPr>
      <w:rPr>
        <w:rFonts w:cs="Times New Roman"/>
      </w:rPr>
    </w:lvl>
    <w:lvl w:ilvl="7" w:tplc="38090019" w:tentative="1">
      <w:start w:val="1"/>
      <w:numFmt w:val="lowerLetter"/>
      <w:lvlText w:val="%8."/>
      <w:lvlJc w:val="left"/>
      <w:pPr>
        <w:ind w:left="5700" w:hanging="360"/>
      </w:pPr>
      <w:rPr>
        <w:rFonts w:cs="Times New Roman"/>
      </w:rPr>
    </w:lvl>
    <w:lvl w:ilvl="8" w:tplc="3809001B" w:tentative="1">
      <w:start w:val="1"/>
      <w:numFmt w:val="lowerRoman"/>
      <w:lvlText w:val="%9."/>
      <w:lvlJc w:val="right"/>
      <w:pPr>
        <w:ind w:left="6420" w:hanging="180"/>
      </w:pPr>
      <w:rPr>
        <w:rFonts w:cs="Times New Roman"/>
      </w:rPr>
    </w:lvl>
  </w:abstractNum>
  <w:abstractNum w:abstractNumId="43" w15:restartNumberingAfterBreak="0">
    <w:nsid w:val="5EFF2C5C"/>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4" w15:restartNumberingAfterBreak="0">
    <w:nsid w:val="60817BE5"/>
    <w:multiLevelType w:val="hybridMultilevel"/>
    <w:tmpl w:val="FFFFFFFF"/>
    <w:lvl w:ilvl="0" w:tplc="5D668828">
      <w:start w:val="9"/>
      <w:numFmt w:val="decimal"/>
      <w:lvlText w:val="%1."/>
      <w:lvlJc w:val="left"/>
      <w:pPr>
        <w:ind w:left="501" w:hanging="360"/>
      </w:pPr>
      <w:rPr>
        <w:rFonts w:cs="Times New Roman" w:hint="default"/>
        <w:b/>
      </w:rPr>
    </w:lvl>
    <w:lvl w:ilvl="1" w:tplc="04210019" w:tentative="1">
      <w:start w:val="1"/>
      <w:numFmt w:val="lowerLetter"/>
      <w:lvlText w:val="%2."/>
      <w:lvlJc w:val="left"/>
      <w:pPr>
        <w:ind w:left="1439" w:hanging="360"/>
      </w:pPr>
      <w:rPr>
        <w:rFonts w:cs="Times New Roman"/>
      </w:rPr>
    </w:lvl>
    <w:lvl w:ilvl="2" w:tplc="0421001B" w:tentative="1">
      <w:start w:val="1"/>
      <w:numFmt w:val="lowerRoman"/>
      <w:lvlText w:val="%3."/>
      <w:lvlJc w:val="right"/>
      <w:pPr>
        <w:ind w:left="2159" w:hanging="180"/>
      </w:pPr>
      <w:rPr>
        <w:rFonts w:cs="Times New Roman"/>
      </w:rPr>
    </w:lvl>
    <w:lvl w:ilvl="3" w:tplc="0421000F" w:tentative="1">
      <w:start w:val="1"/>
      <w:numFmt w:val="decimal"/>
      <w:lvlText w:val="%4."/>
      <w:lvlJc w:val="left"/>
      <w:pPr>
        <w:ind w:left="2879" w:hanging="360"/>
      </w:pPr>
      <w:rPr>
        <w:rFonts w:cs="Times New Roman"/>
      </w:rPr>
    </w:lvl>
    <w:lvl w:ilvl="4" w:tplc="04210019" w:tentative="1">
      <w:start w:val="1"/>
      <w:numFmt w:val="lowerLetter"/>
      <w:lvlText w:val="%5."/>
      <w:lvlJc w:val="left"/>
      <w:pPr>
        <w:ind w:left="3599" w:hanging="360"/>
      </w:pPr>
      <w:rPr>
        <w:rFonts w:cs="Times New Roman"/>
      </w:rPr>
    </w:lvl>
    <w:lvl w:ilvl="5" w:tplc="0421001B" w:tentative="1">
      <w:start w:val="1"/>
      <w:numFmt w:val="lowerRoman"/>
      <w:lvlText w:val="%6."/>
      <w:lvlJc w:val="right"/>
      <w:pPr>
        <w:ind w:left="4319" w:hanging="180"/>
      </w:pPr>
      <w:rPr>
        <w:rFonts w:cs="Times New Roman"/>
      </w:rPr>
    </w:lvl>
    <w:lvl w:ilvl="6" w:tplc="0421000F" w:tentative="1">
      <w:start w:val="1"/>
      <w:numFmt w:val="decimal"/>
      <w:lvlText w:val="%7."/>
      <w:lvlJc w:val="left"/>
      <w:pPr>
        <w:ind w:left="5039" w:hanging="360"/>
      </w:pPr>
      <w:rPr>
        <w:rFonts w:cs="Times New Roman"/>
      </w:rPr>
    </w:lvl>
    <w:lvl w:ilvl="7" w:tplc="04210019" w:tentative="1">
      <w:start w:val="1"/>
      <w:numFmt w:val="lowerLetter"/>
      <w:lvlText w:val="%8."/>
      <w:lvlJc w:val="left"/>
      <w:pPr>
        <w:ind w:left="5759" w:hanging="360"/>
      </w:pPr>
      <w:rPr>
        <w:rFonts w:cs="Times New Roman"/>
      </w:rPr>
    </w:lvl>
    <w:lvl w:ilvl="8" w:tplc="0421001B" w:tentative="1">
      <w:start w:val="1"/>
      <w:numFmt w:val="lowerRoman"/>
      <w:lvlText w:val="%9."/>
      <w:lvlJc w:val="right"/>
      <w:pPr>
        <w:ind w:left="6479" w:hanging="180"/>
      </w:pPr>
      <w:rPr>
        <w:rFonts w:cs="Times New Roman"/>
      </w:rPr>
    </w:lvl>
  </w:abstractNum>
  <w:abstractNum w:abstractNumId="45" w15:restartNumberingAfterBreak="0">
    <w:nsid w:val="60DB6E00"/>
    <w:multiLevelType w:val="hybridMultilevel"/>
    <w:tmpl w:val="FFFFFFFF"/>
    <w:lvl w:ilvl="0" w:tplc="FFFFFFFF">
      <w:start w:val="1"/>
      <w:numFmt w:val="lowerLetter"/>
      <w:lvlText w:val="%1."/>
      <w:lvlJc w:val="left"/>
      <w:pPr>
        <w:ind w:left="786" w:hanging="360"/>
      </w:pPr>
      <w:rPr>
        <w:rFonts w:cs="Times New Roman"/>
      </w:rPr>
    </w:lvl>
    <w:lvl w:ilvl="1" w:tplc="9AC4D1D4">
      <w:start w:val="1"/>
      <w:numFmt w:val="decimal"/>
      <w:lvlText w:val="%2)"/>
      <w:lvlJc w:val="left"/>
      <w:pPr>
        <w:ind w:left="1070" w:hanging="360"/>
      </w:pPr>
      <w:rPr>
        <w:rFonts w:cs="Times New Roman" w:hint="default"/>
      </w:rPr>
    </w:lvl>
    <w:lvl w:ilvl="2" w:tplc="FFFFFFFF" w:tentative="1">
      <w:start w:val="1"/>
      <w:numFmt w:val="lowerRoman"/>
      <w:lvlText w:val="%3."/>
      <w:lvlJc w:val="right"/>
      <w:pPr>
        <w:ind w:left="2226" w:hanging="180"/>
      </w:pPr>
      <w:rPr>
        <w:rFonts w:cs="Times New Roman"/>
      </w:rPr>
    </w:lvl>
    <w:lvl w:ilvl="3" w:tplc="FFFFFFFF" w:tentative="1">
      <w:start w:val="1"/>
      <w:numFmt w:val="decimal"/>
      <w:lvlText w:val="%4."/>
      <w:lvlJc w:val="left"/>
      <w:pPr>
        <w:ind w:left="2946" w:hanging="360"/>
      </w:pPr>
      <w:rPr>
        <w:rFonts w:cs="Times New Roman"/>
      </w:rPr>
    </w:lvl>
    <w:lvl w:ilvl="4" w:tplc="FFFFFFFF" w:tentative="1">
      <w:start w:val="1"/>
      <w:numFmt w:val="lowerLetter"/>
      <w:lvlText w:val="%5."/>
      <w:lvlJc w:val="left"/>
      <w:pPr>
        <w:ind w:left="3666" w:hanging="360"/>
      </w:pPr>
      <w:rPr>
        <w:rFonts w:cs="Times New Roman"/>
      </w:rPr>
    </w:lvl>
    <w:lvl w:ilvl="5" w:tplc="FFFFFFFF" w:tentative="1">
      <w:start w:val="1"/>
      <w:numFmt w:val="lowerRoman"/>
      <w:lvlText w:val="%6."/>
      <w:lvlJc w:val="right"/>
      <w:pPr>
        <w:ind w:left="4386" w:hanging="180"/>
      </w:pPr>
      <w:rPr>
        <w:rFonts w:cs="Times New Roman"/>
      </w:rPr>
    </w:lvl>
    <w:lvl w:ilvl="6" w:tplc="FFFFFFFF" w:tentative="1">
      <w:start w:val="1"/>
      <w:numFmt w:val="decimal"/>
      <w:lvlText w:val="%7."/>
      <w:lvlJc w:val="left"/>
      <w:pPr>
        <w:ind w:left="5106" w:hanging="360"/>
      </w:pPr>
      <w:rPr>
        <w:rFonts w:cs="Times New Roman"/>
      </w:rPr>
    </w:lvl>
    <w:lvl w:ilvl="7" w:tplc="FFFFFFFF" w:tentative="1">
      <w:start w:val="1"/>
      <w:numFmt w:val="lowerLetter"/>
      <w:lvlText w:val="%8."/>
      <w:lvlJc w:val="left"/>
      <w:pPr>
        <w:ind w:left="5826" w:hanging="360"/>
      </w:pPr>
      <w:rPr>
        <w:rFonts w:cs="Times New Roman"/>
      </w:rPr>
    </w:lvl>
    <w:lvl w:ilvl="8" w:tplc="FFFFFFFF" w:tentative="1">
      <w:start w:val="1"/>
      <w:numFmt w:val="lowerRoman"/>
      <w:lvlText w:val="%9."/>
      <w:lvlJc w:val="right"/>
      <w:pPr>
        <w:ind w:left="6546" w:hanging="180"/>
      </w:pPr>
      <w:rPr>
        <w:rFonts w:cs="Times New Roman"/>
      </w:rPr>
    </w:lvl>
  </w:abstractNum>
  <w:abstractNum w:abstractNumId="46" w15:restartNumberingAfterBreak="0">
    <w:nsid w:val="625E007A"/>
    <w:multiLevelType w:val="hybridMultilevel"/>
    <w:tmpl w:val="FFFFFFFF"/>
    <w:lvl w:ilvl="0" w:tplc="0A92CA86">
      <w:start w:val="1"/>
      <w:numFmt w:val="decimal"/>
      <w:lvlText w:val="%1."/>
      <w:lvlJc w:val="left"/>
      <w:pPr>
        <w:ind w:left="644" w:hanging="360"/>
      </w:pPr>
      <w:rPr>
        <w:rFonts w:asciiTheme="majorBidi" w:hAnsiTheme="majorBidi" w:cs="Times New Roman" w:hint="default"/>
        <w:i w:val="0"/>
        <w:iCs w:val="0"/>
        <w:sz w:val="24"/>
        <w:szCs w:val="24"/>
      </w:rPr>
    </w:lvl>
    <w:lvl w:ilvl="1" w:tplc="72B89A9A">
      <w:start w:val="1"/>
      <w:numFmt w:val="lowerLetter"/>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7" w15:restartNumberingAfterBreak="0">
    <w:nsid w:val="62D84168"/>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8" w15:restartNumberingAfterBreak="0">
    <w:nsid w:val="63F61439"/>
    <w:multiLevelType w:val="hybridMultilevel"/>
    <w:tmpl w:val="FFFFFFFF"/>
    <w:lvl w:ilvl="0" w:tplc="B86EEBFC">
      <w:start w:val="1"/>
      <w:numFmt w:val="lowerLetter"/>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49" w15:restartNumberingAfterBreak="0">
    <w:nsid w:val="65FD6D99"/>
    <w:multiLevelType w:val="hybridMultilevel"/>
    <w:tmpl w:val="FFFFFFFF"/>
    <w:lvl w:ilvl="0" w:tplc="04090019">
      <w:start w:val="1"/>
      <w:numFmt w:val="lowerLetter"/>
      <w:lvlText w:val="%1."/>
      <w:lvlJc w:val="left"/>
      <w:pPr>
        <w:ind w:left="644" w:hanging="360"/>
      </w:pPr>
      <w:rPr>
        <w:rFonts w:cs="Times New Roman"/>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50" w15:restartNumberingAfterBreak="0">
    <w:nsid w:val="67015BE0"/>
    <w:multiLevelType w:val="hybridMultilevel"/>
    <w:tmpl w:val="FFFFFFFF"/>
    <w:lvl w:ilvl="0" w:tplc="4044F5E2">
      <w:start w:val="1"/>
      <w:numFmt w:val="lowerLetter"/>
      <w:lvlText w:val="%1."/>
      <w:lvlJc w:val="left"/>
      <w:pPr>
        <w:ind w:left="720" w:hanging="360"/>
      </w:pPr>
      <w:rPr>
        <w:rFonts w:cs="Times New Roman"/>
        <w:b w:val="0"/>
        <w:bCs w:val="0"/>
      </w:rPr>
    </w:lvl>
    <w:lvl w:ilvl="1" w:tplc="04090019" w:tentative="1">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1" w15:restartNumberingAfterBreak="0">
    <w:nsid w:val="687A67B2"/>
    <w:multiLevelType w:val="hybridMultilevel"/>
    <w:tmpl w:val="FFFFFFFF"/>
    <w:lvl w:ilvl="0" w:tplc="A20AC172">
      <w:start w:val="1"/>
      <w:numFmt w:val="lowerLetter"/>
      <w:lvlText w:val="%1."/>
      <w:lvlJc w:val="left"/>
      <w:pPr>
        <w:ind w:left="644" w:hanging="360"/>
      </w:pPr>
      <w:rPr>
        <w:rFonts w:ascii="Times New Roman" w:hAnsi="Times New Roman"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52" w15:restartNumberingAfterBreak="0">
    <w:nsid w:val="69884F2D"/>
    <w:multiLevelType w:val="hybridMultilevel"/>
    <w:tmpl w:val="FFFFFFFF"/>
    <w:lvl w:ilvl="0" w:tplc="04090011">
      <w:start w:val="1"/>
      <w:numFmt w:val="decimal"/>
      <w:lvlText w:val="%1)"/>
      <w:lvlJc w:val="left"/>
      <w:pPr>
        <w:ind w:left="1582" w:hanging="360"/>
      </w:pPr>
      <w:rPr>
        <w:rFonts w:cs="Times New Roman"/>
      </w:rPr>
    </w:lvl>
    <w:lvl w:ilvl="1" w:tplc="04090019">
      <w:start w:val="1"/>
      <w:numFmt w:val="lowerLetter"/>
      <w:lvlText w:val="%2."/>
      <w:lvlJc w:val="left"/>
      <w:pPr>
        <w:ind w:left="2302" w:hanging="360"/>
      </w:pPr>
      <w:rPr>
        <w:rFonts w:cs="Times New Roman"/>
      </w:rPr>
    </w:lvl>
    <w:lvl w:ilvl="2" w:tplc="0409001B" w:tentative="1">
      <w:start w:val="1"/>
      <w:numFmt w:val="lowerRoman"/>
      <w:lvlText w:val="%3."/>
      <w:lvlJc w:val="right"/>
      <w:pPr>
        <w:ind w:left="3022" w:hanging="180"/>
      </w:pPr>
      <w:rPr>
        <w:rFonts w:cs="Times New Roman"/>
      </w:rPr>
    </w:lvl>
    <w:lvl w:ilvl="3" w:tplc="0409000F" w:tentative="1">
      <w:start w:val="1"/>
      <w:numFmt w:val="decimal"/>
      <w:lvlText w:val="%4."/>
      <w:lvlJc w:val="left"/>
      <w:pPr>
        <w:ind w:left="3742" w:hanging="360"/>
      </w:pPr>
      <w:rPr>
        <w:rFonts w:cs="Times New Roman"/>
      </w:rPr>
    </w:lvl>
    <w:lvl w:ilvl="4" w:tplc="04090019" w:tentative="1">
      <w:start w:val="1"/>
      <w:numFmt w:val="lowerLetter"/>
      <w:lvlText w:val="%5."/>
      <w:lvlJc w:val="left"/>
      <w:pPr>
        <w:ind w:left="4462" w:hanging="360"/>
      </w:pPr>
      <w:rPr>
        <w:rFonts w:cs="Times New Roman"/>
      </w:rPr>
    </w:lvl>
    <w:lvl w:ilvl="5" w:tplc="0409001B" w:tentative="1">
      <w:start w:val="1"/>
      <w:numFmt w:val="lowerRoman"/>
      <w:lvlText w:val="%6."/>
      <w:lvlJc w:val="right"/>
      <w:pPr>
        <w:ind w:left="5182" w:hanging="180"/>
      </w:pPr>
      <w:rPr>
        <w:rFonts w:cs="Times New Roman"/>
      </w:rPr>
    </w:lvl>
    <w:lvl w:ilvl="6" w:tplc="0409000F" w:tentative="1">
      <w:start w:val="1"/>
      <w:numFmt w:val="decimal"/>
      <w:lvlText w:val="%7."/>
      <w:lvlJc w:val="left"/>
      <w:pPr>
        <w:ind w:left="5902" w:hanging="360"/>
      </w:pPr>
      <w:rPr>
        <w:rFonts w:cs="Times New Roman"/>
      </w:rPr>
    </w:lvl>
    <w:lvl w:ilvl="7" w:tplc="04090019" w:tentative="1">
      <w:start w:val="1"/>
      <w:numFmt w:val="lowerLetter"/>
      <w:lvlText w:val="%8."/>
      <w:lvlJc w:val="left"/>
      <w:pPr>
        <w:ind w:left="6622" w:hanging="360"/>
      </w:pPr>
      <w:rPr>
        <w:rFonts w:cs="Times New Roman"/>
      </w:rPr>
    </w:lvl>
    <w:lvl w:ilvl="8" w:tplc="0409001B" w:tentative="1">
      <w:start w:val="1"/>
      <w:numFmt w:val="lowerRoman"/>
      <w:lvlText w:val="%9."/>
      <w:lvlJc w:val="right"/>
      <w:pPr>
        <w:ind w:left="7342" w:hanging="180"/>
      </w:pPr>
      <w:rPr>
        <w:rFonts w:cs="Times New Roman"/>
      </w:rPr>
    </w:lvl>
  </w:abstractNum>
  <w:abstractNum w:abstractNumId="53" w15:restartNumberingAfterBreak="0">
    <w:nsid w:val="6BE73FAA"/>
    <w:multiLevelType w:val="multilevel"/>
    <w:tmpl w:val="FFFFFFFF"/>
    <w:lvl w:ilvl="0">
      <w:start w:val="1"/>
      <w:numFmt w:val="decimal"/>
      <w:lvlText w:val="%1."/>
      <w:lvlJc w:val="left"/>
      <w:pPr>
        <w:ind w:left="502" w:hanging="360"/>
      </w:pPr>
      <w:rPr>
        <w:rFonts w:asciiTheme="majorBidi" w:hAnsiTheme="majorBidi" w:cs="Times New Roman" w:hint="default"/>
        <w:b/>
      </w:rPr>
    </w:lvl>
    <w:lvl w:ilvl="1">
      <w:start w:val="1"/>
      <w:numFmt w:val="lowerLetter"/>
      <w:lvlText w:val="%2."/>
      <w:lvlJc w:val="left"/>
      <w:pPr>
        <w:ind w:left="987" w:hanging="420"/>
      </w:pPr>
      <w:rPr>
        <w:rFonts w:cs="Times New Roman" w:hint="default"/>
      </w:rPr>
    </w:lvl>
    <w:lvl w:ilvl="2">
      <w:start w:val="1"/>
      <w:numFmt w:val="decimal"/>
      <w:isLgl/>
      <w:lvlText w:val="%1.%2.%3"/>
      <w:lvlJc w:val="left"/>
      <w:pPr>
        <w:ind w:left="1712" w:hanging="720"/>
      </w:pPr>
      <w:rPr>
        <w:rFonts w:cs="Times New Roman" w:hint="default"/>
      </w:rPr>
    </w:lvl>
    <w:lvl w:ilvl="3">
      <w:start w:val="1"/>
      <w:numFmt w:val="decimal"/>
      <w:isLgl/>
      <w:lvlText w:val="%1.%2.%3.%4"/>
      <w:lvlJc w:val="left"/>
      <w:pPr>
        <w:ind w:left="2137" w:hanging="720"/>
      </w:pPr>
      <w:rPr>
        <w:rFonts w:cs="Times New Roman" w:hint="default"/>
      </w:rPr>
    </w:lvl>
    <w:lvl w:ilvl="4">
      <w:start w:val="1"/>
      <w:numFmt w:val="decimal"/>
      <w:isLgl/>
      <w:lvlText w:val="%1.%2.%3.%4.%5"/>
      <w:lvlJc w:val="left"/>
      <w:pPr>
        <w:ind w:left="2922" w:hanging="1080"/>
      </w:pPr>
      <w:rPr>
        <w:rFonts w:cs="Times New Roman" w:hint="default"/>
      </w:rPr>
    </w:lvl>
    <w:lvl w:ilvl="5">
      <w:start w:val="1"/>
      <w:numFmt w:val="decimal"/>
      <w:isLgl/>
      <w:lvlText w:val="%1.%2.%3.%4.%5.%6"/>
      <w:lvlJc w:val="left"/>
      <w:pPr>
        <w:ind w:left="3347" w:hanging="1080"/>
      </w:pPr>
      <w:rPr>
        <w:rFonts w:cs="Times New Roman" w:hint="default"/>
      </w:rPr>
    </w:lvl>
    <w:lvl w:ilvl="6">
      <w:start w:val="1"/>
      <w:numFmt w:val="decimal"/>
      <w:isLgl/>
      <w:lvlText w:val="%1.%2.%3.%4.%5.%6.%7"/>
      <w:lvlJc w:val="left"/>
      <w:pPr>
        <w:ind w:left="4132" w:hanging="1440"/>
      </w:pPr>
      <w:rPr>
        <w:rFonts w:cs="Times New Roman" w:hint="default"/>
      </w:rPr>
    </w:lvl>
    <w:lvl w:ilvl="7">
      <w:start w:val="1"/>
      <w:numFmt w:val="decimal"/>
      <w:isLgl/>
      <w:lvlText w:val="%1.%2.%3.%4.%5.%6.%7.%8"/>
      <w:lvlJc w:val="left"/>
      <w:pPr>
        <w:ind w:left="4557" w:hanging="1440"/>
      </w:pPr>
      <w:rPr>
        <w:rFonts w:cs="Times New Roman" w:hint="default"/>
      </w:rPr>
    </w:lvl>
    <w:lvl w:ilvl="8">
      <w:start w:val="1"/>
      <w:numFmt w:val="decimal"/>
      <w:isLgl/>
      <w:lvlText w:val="%1.%2.%3.%4.%5.%6.%7.%8.%9"/>
      <w:lvlJc w:val="left"/>
      <w:pPr>
        <w:ind w:left="5342" w:hanging="1800"/>
      </w:pPr>
      <w:rPr>
        <w:rFonts w:cs="Times New Roman" w:hint="default"/>
      </w:rPr>
    </w:lvl>
  </w:abstractNum>
  <w:abstractNum w:abstractNumId="54" w15:restartNumberingAfterBreak="0">
    <w:nsid w:val="6C9564D1"/>
    <w:multiLevelType w:val="hybridMultilevel"/>
    <w:tmpl w:val="FFFFFFFF"/>
    <w:lvl w:ilvl="0" w:tplc="683ADF7E">
      <w:start w:val="1"/>
      <w:numFmt w:val="upperLetter"/>
      <w:pStyle w:val="Heading2"/>
      <w:lvlText w:val="%1."/>
      <w:lvlJc w:val="left"/>
      <w:pPr>
        <w:ind w:left="360" w:hanging="360"/>
      </w:pPr>
      <w:rPr>
        <w:rFonts w:cs="Times New Roman" w:hint="default"/>
        <w:i w:val="0"/>
      </w:rPr>
    </w:lvl>
    <w:lvl w:ilvl="1" w:tplc="38090019" w:tentative="1">
      <w:start w:val="1"/>
      <w:numFmt w:val="lowerLetter"/>
      <w:lvlText w:val="%2."/>
      <w:lvlJc w:val="left"/>
      <w:pPr>
        <w:ind w:left="1080" w:hanging="360"/>
      </w:pPr>
      <w:rPr>
        <w:rFonts w:cs="Times New Roman"/>
      </w:rPr>
    </w:lvl>
    <w:lvl w:ilvl="2" w:tplc="3809001B" w:tentative="1">
      <w:start w:val="1"/>
      <w:numFmt w:val="lowerRoman"/>
      <w:lvlText w:val="%3."/>
      <w:lvlJc w:val="right"/>
      <w:pPr>
        <w:ind w:left="1800" w:hanging="180"/>
      </w:pPr>
      <w:rPr>
        <w:rFonts w:cs="Times New Roman"/>
      </w:rPr>
    </w:lvl>
    <w:lvl w:ilvl="3" w:tplc="3809000F" w:tentative="1">
      <w:start w:val="1"/>
      <w:numFmt w:val="decimal"/>
      <w:lvlText w:val="%4."/>
      <w:lvlJc w:val="left"/>
      <w:pPr>
        <w:ind w:left="2520" w:hanging="360"/>
      </w:pPr>
      <w:rPr>
        <w:rFonts w:cs="Times New Roman"/>
      </w:rPr>
    </w:lvl>
    <w:lvl w:ilvl="4" w:tplc="38090019" w:tentative="1">
      <w:start w:val="1"/>
      <w:numFmt w:val="lowerLetter"/>
      <w:lvlText w:val="%5."/>
      <w:lvlJc w:val="left"/>
      <w:pPr>
        <w:ind w:left="3240" w:hanging="360"/>
      </w:pPr>
      <w:rPr>
        <w:rFonts w:cs="Times New Roman"/>
      </w:rPr>
    </w:lvl>
    <w:lvl w:ilvl="5" w:tplc="3809001B" w:tentative="1">
      <w:start w:val="1"/>
      <w:numFmt w:val="lowerRoman"/>
      <w:lvlText w:val="%6."/>
      <w:lvlJc w:val="right"/>
      <w:pPr>
        <w:ind w:left="3960" w:hanging="180"/>
      </w:pPr>
      <w:rPr>
        <w:rFonts w:cs="Times New Roman"/>
      </w:rPr>
    </w:lvl>
    <w:lvl w:ilvl="6" w:tplc="3809000F" w:tentative="1">
      <w:start w:val="1"/>
      <w:numFmt w:val="decimal"/>
      <w:lvlText w:val="%7."/>
      <w:lvlJc w:val="left"/>
      <w:pPr>
        <w:ind w:left="4680" w:hanging="360"/>
      </w:pPr>
      <w:rPr>
        <w:rFonts w:cs="Times New Roman"/>
      </w:rPr>
    </w:lvl>
    <w:lvl w:ilvl="7" w:tplc="38090019" w:tentative="1">
      <w:start w:val="1"/>
      <w:numFmt w:val="lowerLetter"/>
      <w:lvlText w:val="%8."/>
      <w:lvlJc w:val="left"/>
      <w:pPr>
        <w:ind w:left="5400" w:hanging="360"/>
      </w:pPr>
      <w:rPr>
        <w:rFonts w:cs="Times New Roman"/>
      </w:rPr>
    </w:lvl>
    <w:lvl w:ilvl="8" w:tplc="3809001B" w:tentative="1">
      <w:start w:val="1"/>
      <w:numFmt w:val="lowerRoman"/>
      <w:lvlText w:val="%9."/>
      <w:lvlJc w:val="right"/>
      <w:pPr>
        <w:ind w:left="6120" w:hanging="180"/>
      </w:pPr>
      <w:rPr>
        <w:rFonts w:cs="Times New Roman"/>
      </w:rPr>
    </w:lvl>
  </w:abstractNum>
  <w:abstractNum w:abstractNumId="55" w15:restartNumberingAfterBreak="0">
    <w:nsid w:val="6C996BF4"/>
    <w:multiLevelType w:val="hybridMultilevel"/>
    <w:tmpl w:val="FFFFFFFF"/>
    <w:lvl w:ilvl="0" w:tplc="04090011">
      <w:start w:val="1"/>
      <w:numFmt w:val="decimal"/>
      <w:lvlText w:val="%1)"/>
      <w:lvlJc w:val="left"/>
      <w:pPr>
        <w:ind w:left="928" w:hanging="360"/>
      </w:pPr>
      <w:rPr>
        <w:rFonts w:cs="Times New Roman"/>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56" w15:restartNumberingAfterBreak="0">
    <w:nsid w:val="6DED70AE"/>
    <w:multiLevelType w:val="hybridMultilevel"/>
    <w:tmpl w:val="FFFFFFFF"/>
    <w:lvl w:ilvl="0" w:tplc="0409000F">
      <w:start w:val="1"/>
      <w:numFmt w:val="decimal"/>
      <w:lvlText w:val="%1."/>
      <w:lvlJc w:val="left"/>
      <w:pPr>
        <w:tabs>
          <w:tab w:val="num" w:pos="360"/>
        </w:tabs>
        <w:ind w:left="360" w:hanging="360"/>
      </w:pPr>
      <w:rPr>
        <w:rFonts w:ascii="Times New Roman" w:hAnsi="Times New Roman"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7" w15:restartNumberingAfterBreak="0">
    <w:nsid w:val="6E0808AF"/>
    <w:multiLevelType w:val="hybridMultilevel"/>
    <w:tmpl w:val="FFFFFFFF"/>
    <w:lvl w:ilvl="0" w:tplc="04090019">
      <w:start w:val="1"/>
      <w:numFmt w:val="lowerLetter"/>
      <w:lvlText w:val="%1."/>
      <w:lvlJc w:val="left"/>
      <w:pPr>
        <w:ind w:left="786" w:hanging="360"/>
      </w:pPr>
      <w:rPr>
        <w:rFonts w:cs="Times New Roman"/>
      </w:rPr>
    </w:lvl>
    <w:lvl w:ilvl="1" w:tplc="04090011">
      <w:start w:val="1"/>
      <w:numFmt w:val="decimal"/>
      <w:lvlText w:val="%2)"/>
      <w:lvlJc w:val="left"/>
      <w:pPr>
        <w:ind w:left="1070"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58" w15:restartNumberingAfterBreak="0">
    <w:nsid w:val="6EAE4E63"/>
    <w:multiLevelType w:val="hybridMultilevel"/>
    <w:tmpl w:val="FFFFFFFF"/>
    <w:lvl w:ilvl="0" w:tplc="0409000F">
      <w:start w:val="1"/>
      <w:numFmt w:val="decimal"/>
      <w:lvlText w:val="%1."/>
      <w:lvlJc w:val="left"/>
      <w:pPr>
        <w:ind w:left="1495" w:hanging="360"/>
      </w:pPr>
      <w:rPr>
        <w:rFonts w:cs="Times New Roman"/>
      </w:rPr>
    </w:lvl>
    <w:lvl w:ilvl="1" w:tplc="04090019" w:tentative="1">
      <w:start w:val="1"/>
      <w:numFmt w:val="lowerLetter"/>
      <w:lvlText w:val="%2."/>
      <w:lvlJc w:val="left"/>
      <w:pPr>
        <w:ind w:left="2215" w:hanging="360"/>
      </w:pPr>
      <w:rPr>
        <w:rFonts w:cs="Times New Roman"/>
      </w:rPr>
    </w:lvl>
    <w:lvl w:ilvl="2" w:tplc="0409001B" w:tentative="1">
      <w:start w:val="1"/>
      <w:numFmt w:val="lowerRoman"/>
      <w:lvlText w:val="%3."/>
      <w:lvlJc w:val="right"/>
      <w:pPr>
        <w:ind w:left="2935" w:hanging="180"/>
      </w:pPr>
      <w:rPr>
        <w:rFonts w:cs="Times New Roman"/>
      </w:rPr>
    </w:lvl>
    <w:lvl w:ilvl="3" w:tplc="0409000F" w:tentative="1">
      <w:start w:val="1"/>
      <w:numFmt w:val="decimal"/>
      <w:lvlText w:val="%4."/>
      <w:lvlJc w:val="left"/>
      <w:pPr>
        <w:ind w:left="3655" w:hanging="360"/>
      </w:pPr>
      <w:rPr>
        <w:rFonts w:cs="Times New Roman"/>
      </w:rPr>
    </w:lvl>
    <w:lvl w:ilvl="4" w:tplc="04090019" w:tentative="1">
      <w:start w:val="1"/>
      <w:numFmt w:val="lowerLetter"/>
      <w:lvlText w:val="%5."/>
      <w:lvlJc w:val="left"/>
      <w:pPr>
        <w:ind w:left="4375" w:hanging="360"/>
      </w:pPr>
      <w:rPr>
        <w:rFonts w:cs="Times New Roman"/>
      </w:rPr>
    </w:lvl>
    <w:lvl w:ilvl="5" w:tplc="0409001B" w:tentative="1">
      <w:start w:val="1"/>
      <w:numFmt w:val="lowerRoman"/>
      <w:lvlText w:val="%6."/>
      <w:lvlJc w:val="right"/>
      <w:pPr>
        <w:ind w:left="5095" w:hanging="180"/>
      </w:pPr>
      <w:rPr>
        <w:rFonts w:cs="Times New Roman"/>
      </w:rPr>
    </w:lvl>
    <w:lvl w:ilvl="6" w:tplc="0409000F" w:tentative="1">
      <w:start w:val="1"/>
      <w:numFmt w:val="decimal"/>
      <w:lvlText w:val="%7."/>
      <w:lvlJc w:val="left"/>
      <w:pPr>
        <w:ind w:left="5815" w:hanging="360"/>
      </w:pPr>
      <w:rPr>
        <w:rFonts w:cs="Times New Roman"/>
      </w:rPr>
    </w:lvl>
    <w:lvl w:ilvl="7" w:tplc="04090019" w:tentative="1">
      <w:start w:val="1"/>
      <w:numFmt w:val="lowerLetter"/>
      <w:lvlText w:val="%8."/>
      <w:lvlJc w:val="left"/>
      <w:pPr>
        <w:ind w:left="6535" w:hanging="360"/>
      </w:pPr>
      <w:rPr>
        <w:rFonts w:cs="Times New Roman"/>
      </w:rPr>
    </w:lvl>
    <w:lvl w:ilvl="8" w:tplc="0409001B" w:tentative="1">
      <w:start w:val="1"/>
      <w:numFmt w:val="lowerRoman"/>
      <w:lvlText w:val="%9."/>
      <w:lvlJc w:val="right"/>
      <w:pPr>
        <w:ind w:left="7255" w:hanging="180"/>
      </w:pPr>
      <w:rPr>
        <w:rFonts w:cs="Times New Roman"/>
      </w:rPr>
    </w:lvl>
  </w:abstractNum>
  <w:abstractNum w:abstractNumId="59" w15:restartNumberingAfterBreak="0">
    <w:nsid w:val="6F3217DB"/>
    <w:multiLevelType w:val="hybridMultilevel"/>
    <w:tmpl w:val="FFFFFFFF"/>
    <w:lvl w:ilvl="0" w:tplc="45CE589C">
      <w:start w:val="1"/>
      <w:numFmt w:val="decimal"/>
      <w:lvlText w:val="%1."/>
      <w:lvlJc w:val="left"/>
      <w:pPr>
        <w:ind w:left="502" w:hanging="360"/>
      </w:pPr>
      <w:rPr>
        <w:rFonts w:cs="Times New Roman" w:hint="default"/>
        <w:b/>
      </w:rPr>
    </w:lvl>
    <w:lvl w:ilvl="1" w:tplc="04210019" w:tentative="1">
      <w:start w:val="1"/>
      <w:numFmt w:val="lowerLetter"/>
      <w:lvlText w:val="%2."/>
      <w:lvlJc w:val="left"/>
      <w:pPr>
        <w:ind w:left="1222" w:hanging="360"/>
      </w:pPr>
      <w:rPr>
        <w:rFonts w:cs="Times New Roman"/>
      </w:rPr>
    </w:lvl>
    <w:lvl w:ilvl="2" w:tplc="0421001B" w:tentative="1">
      <w:start w:val="1"/>
      <w:numFmt w:val="lowerRoman"/>
      <w:lvlText w:val="%3."/>
      <w:lvlJc w:val="right"/>
      <w:pPr>
        <w:ind w:left="1942" w:hanging="180"/>
      </w:pPr>
      <w:rPr>
        <w:rFonts w:cs="Times New Roman"/>
      </w:rPr>
    </w:lvl>
    <w:lvl w:ilvl="3" w:tplc="0421000F" w:tentative="1">
      <w:start w:val="1"/>
      <w:numFmt w:val="decimal"/>
      <w:lvlText w:val="%4."/>
      <w:lvlJc w:val="left"/>
      <w:pPr>
        <w:ind w:left="2662" w:hanging="360"/>
      </w:pPr>
      <w:rPr>
        <w:rFonts w:cs="Times New Roman"/>
      </w:rPr>
    </w:lvl>
    <w:lvl w:ilvl="4" w:tplc="04210019" w:tentative="1">
      <w:start w:val="1"/>
      <w:numFmt w:val="lowerLetter"/>
      <w:lvlText w:val="%5."/>
      <w:lvlJc w:val="left"/>
      <w:pPr>
        <w:ind w:left="3382" w:hanging="360"/>
      </w:pPr>
      <w:rPr>
        <w:rFonts w:cs="Times New Roman"/>
      </w:rPr>
    </w:lvl>
    <w:lvl w:ilvl="5" w:tplc="0421001B" w:tentative="1">
      <w:start w:val="1"/>
      <w:numFmt w:val="lowerRoman"/>
      <w:lvlText w:val="%6."/>
      <w:lvlJc w:val="right"/>
      <w:pPr>
        <w:ind w:left="4102" w:hanging="180"/>
      </w:pPr>
      <w:rPr>
        <w:rFonts w:cs="Times New Roman"/>
      </w:rPr>
    </w:lvl>
    <w:lvl w:ilvl="6" w:tplc="0421000F" w:tentative="1">
      <w:start w:val="1"/>
      <w:numFmt w:val="decimal"/>
      <w:lvlText w:val="%7."/>
      <w:lvlJc w:val="left"/>
      <w:pPr>
        <w:ind w:left="4822" w:hanging="360"/>
      </w:pPr>
      <w:rPr>
        <w:rFonts w:cs="Times New Roman"/>
      </w:rPr>
    </w:lvl>
    <w:lvl w:ilvl="7" w:tplc="04210019" w:tentative="1">
      <w:start w:val="1"/>
      <w:numFmt w:val="lowerLetter"/>
      <w:lvlText w:val="%8."/>
      <w:lvlJc w:val="left"/>
      <w:pPr>
        <w:ind w:left="5542" w:hanging="360"/>
      </w:pPr>
      <w:rPr>
        <w:rFonts w:cs="Times New Roman"/>
      </w:rPr>
    </w:lvl>
    <w:lvl w:ilvl="8" w:tplc="0421001B" w:tentative="1">
      <w:start w:val="1"/>
      <w:numFmt w:val="lowerRoman"/>
      <w:lvlText w:val="%9."/>
      <w:lvlJc w:val="right"/>
      <w:pPr>
        <w:ind w:left="6262" w:hanging="180"/>
      </w:pPr>
      <w:rPr>
        <w:rFonts w:cs="Times New Roman"/>
      </w:rPr>
    </w:lvl>
  </w:abstractNum>
  <w:abstractNum w:abstractNumId="60" w15:restartNumberingAfterBreak="0">
    <w:nsid w:val="74204A84"/>
    <w:multiLevelType w:val="hybridMultilevel"/>
    <w:tmpl w:val="FFFFFFFF"/>
    <w:lvl w:ilvl="0" w:tplc="0409000F">
      <w:start w:val="1"/>
      <w:numFmt w:val="decimal"/>
      <w:lvlText w:val="%1."/>
      <w:lvlJc w:val="left"/>
      <w:pPr>
        <w:ind w:left="928" w:hanging="360"/>
      </w:pPr>
      <w:rPr>
        <w:rFonts w:cs="Times New Roman"/>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61" w15:restartNumberingAfterBreak="0">
    <w:nsid w:val="7599450B"/>
    <w:multiLevelType w:val="hybridMultilevel"/>
    <w:tmpl w:val="FFFFFFFF"/>
    <w:lvl w:ilvl="0" w:tplc="04090019">
      <w:start w:val="1"/>
      <w:numFmt w:val="lowerLetter"/>
      <w:lvlText w:val="%1."/>
      <w:lvlJc w:val="left"/>
      <w:pPr>
        <w:ind w:left="720" w:hanging="360"/>
      </w:pPr>
      <w:rPr>
        <w:rFonts w:cs="Times New Roman"/>
      </w:rPr>
    </w:lvl>
    <w:lvl w:ilvl="1" w:tplc="83141464">
      <w:start w:val="9"/>
      <w:numFmt w:val="decimal"/>
      <w:lvlText w:val="%2."/>
      <w:lvlJc w:val="left"/>
      <w:pPr>
        <w:ind w:left="1440" w:hanging="360"/>
      </w:pPr>
      <w:rPr>
        <w:rFonts w:cs="Times New Roman" w:hint="default"/>
      </w:rPr>
    </w:lvl>
    <w:lvl w:ilvl="2" w:tplc="04090019">
      <w:start w:val="1"/>
      <w:numFmt w:val="lowerLetter"/>
      <w:lvlText w:val="%3."/>
      <w:lvlJc w:val="left"/>
      <w:pPr>
        <w:ind w:left="2160" w:hanging="180"/>
      </w:pPr>
      <w:rPr>
        <w:rFonts w:cs="Times New Roman"/>
      </w:rPr>
    </w:lvl>
    <w:lvl w:ilvl="3" w:tplc="59D240CE">
      <w:start w:val="1"/>
      <w:numFmt w:val="lowerLetter"/>
      <w:lvlText w:val="%4)"/>
      <w:lvlJc w:val="left"/>
      <w:pPr>
        <w:ind w:left="360" w:hanging="360"/>
      </w:pPr>
      <w:rPr>
        <w:rFonts w:cs="Times New Roman" w:hint="default"/>
      </w:rPr>
    </w:lvl>
    <w:lvl w:ilvl="4" w:tplc="C6E8298C">
      <w:start w:val="4"/>
      <w:numFmt w:val="upperLetter"/>
      <w:lvlText w:val="%5."/>
      <w:lvlJc w:val="left"/>
      <w:pPr>
        <w:ind w:left="3600" w:hanging="360"/>
      </w:pPr>
      <w:rPr>
        <w:rFonts w:cs="Times New Roman" w:hint="default"/>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2" w15:restartNumberingAfterBreak="0">
    <w:nsid w:val="75D541EE"/>
    <w:multiLevelType w:val="hybridMultilevel"/>
    <w:tmpl w:val="FFFFFFFF"/>
    <w:lvl w:ilvl="0" w:tplc="3809000F">
      <w:start w:val="1"/>
      <w:numFmt w:val="decimal"/>
      <w:lvlText w:val="%1."/>
      <w:lvlJc w:val="left"/>
      <w:pPr>
        <w:ind w:left="720" w:hanging="360"/>
      </w:pPr>
      <w:rPr>
        <w:rFonts w:cs="Times New Roman"/>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63" w15:restartNumberingAfterBreak="0">
    <w:nsid w:val="79E76FCE"/>
    <w:multiLevelType w:val="hybridMultilevel"/>
    <w:tmpl w:val="FFFFFFFF"/>
    <w:lvl w:ilvl="0" w:tplc="FFFFFFFF">
      <w:start w:val="1"/>
      <w:numFmt w:val="lowerLetter"/>
      <w:lvlText w:val="%1."/>
      <w:lvlJc w:val="left"/>
      <w:pPr>
        <w:ind w:left="1353" w:hanging="360"/>
      </w:pPr>
      <w:rPr>
        <w:rFonts w:cs="Times New Roman"/>
      </w:rPr>
    </w:lvl>
    <w:lvl w:ilvl="1" w:tplc="FFFFFFFF" w:tentative="1">
      <w:start w:val="1"/>
      <w:numFmt w:val="lowerLetter"/>
      <w:lvlText w:val="%2."/>
      <w:lvlJc w:val="left"/>
      <w:pPr>
        <w:ind w:left="2073" w:hanging="360"/>
      </w:pPr>
      <w:rPr>
        <w:rFonts w:cs="Times New Roman"/>
      </w:rPr>
    </w:lvl>
    <w:lvl w:ilvl="2" w:tplc="FFFFFFFF" w:tentative="1">
      <w:start w:val="1"/>
      <w:numFmt w:val="lowerRoman"/>
      <w:lvlText w:val="%3."/>
      <w:lvlJc w:val="right"/>
      <w:pPr>
        <w:ind w:left="2793" w:hanging="180"/>
      </w:pPr>
      <w:rPr>
        <w:rFonts w:cs="Times New Roman"/>
      </w:rPr>
    </w:lvl>
    <w:lvl w:ilvl="3" w:tplc="FFFFFFFF" w:tentative="1">
      <w:start w:val="1"/>
      <w:numFmt w:val="decimal"/>
      <w:lvlText w:val="%4."/>
      <w:lvlJc w:val="left"/>
      <w:pPr>
        <w:ind w:left="3513" w:hanging="360"/>
      </w:pPr>
      <w:rPr>
        <w:rFonts w:cs="Times New Roman"/>
      </w:rPr>
    </w:lvl>
    <w:lvl w:ilvl="4" w:tplc="FFFFFFFF" w:tentative="1">
      <w:start w:val="1"/>
      <w:numFmt w:val="lowerLetter"/>
      <w:lvlText w:val="%5."/>
      <w:lvlJc w:val="left"/>
      <w:pPr>
        <w:ind w:left="4233" w:hanging="360"/>
      </w:pPr>
      <w:rPr>
        <w:rFonts w:cs="Times New Roman"/>
      </w:rPr>
    </w:lvl>
    <w:lvl w:ilvl="5" w:tplc="FFFFFFFF" w:tentative="1">
      <w:start w:val="1"/>
      <w:numFmt w:val="lowerRoman"/>
      <w:lvlText w:val="%6."/>
      <w:lvlJc w:val="right"/>
      <w:pPr>
        <w:ind w:left="4953" w:hanging="180"/>
      </w:pPr>
      <w:rPr>
        <w:rFonts w:cs="Times New Roman"/>
      </w:rPr>
    </w:lvl>
    <w:lvl w:ilvl="6" w:tplc="FFFFFFFF" w:tentative="1">
      <w:start w:val="1"/>
      <w:numFmt w:val="decimal"/>
      <w:lvlText w:val="%7."/>
      <w:lvlJc w:val="left"/>
      <w:pPr>
        <w:ind w:left="5673" w:hanging="360"/>
      </w:pPr>
      <w:rPr>
        <w:rFonts w:cs="Times New Roman"/>
      </w:rPr>
    </w:lvl>
    <w:lvl w:ilvl="7" w:tplc="FFFFFFFF" w:tentative="1">
      <w:start w:val="1"/>
      <w:numFmt w:val="lowerLetter"/>
      <w:lvlText w:val="%8."/>
      <w:lvlJc w:val="left"/>
      <w:pPr>
        <w:ind w:left="6393" w:hanging="360"/>
      </w:pPr>
      <w:rPr>
        <w:rFonts w:cs="Times New Roman"/>
      </w:rPr>
    </w:lvl>
    <w:lvl w:ilvl="8" w:tplc="FFFFFFFF" w:tentative="1">
      <w:start w:val="1"/>
      <w:numFmt w:val="lowerRoman"/>
      <w:lvlText w:val="%9."/>
      <w:lvlJc w:val="right"/>
      <w:pPr>
        <w:ind w:left="7113" w:hanging="180"/>
      </w:pPr>
      <w:rPr>
        <w:rFonts w:cs="Times New Roman"/>
      </w:rPr>
    </w:lvl>
  </w:abstractNum>
  <w:abstractNum w:abstractNumId="64" w15:restartNumberingAfterBreak="0">
    <w:nsid w:val="7C4F3EDC"/>
    <w:multiLevelType w:val="hybridMultilevel"/>
    <w:tmpl w:val="FFFFFFFF"/>
    <w:lvl w:ilvl="0" w:tplc="04210019">
      <w:start w:val="1"/>
      <w:numFmt w:val="lowerLetter"/>
      <w:lvlText w:val="%1."/>
      <w:lvlJc w:val="left"/>
      <w:pPr>
        <w:ind w:left="1353" w:hanging="360"/>
      </w:pPr>
      <w:rPr>
        <w:rFonts w:cs="Times New Roman"/>
      </w:rPr>
    </w:lvl>
    <w:lvl w:ilvl="1" w:tplc="04210019" w:tentative="1">
      <w:start w:val="1"/>
      <w:numFmt w:val="lowerLetter"/>
      <w:lvlText w:val="%2."/>
      <w:lvlJc w:val="left"/>
      <w:pPr>
        <w:ind w:left="2073" w:hanging="360"/>
      </w:pPr>
      <w:rPr>
        <w:rFonts w:cs="Times New Roman"/>
      </w:rPr>
    </w:lvl>
    <w:lvl w:ilvl="2" w:tplc="0421001B" w:tentative="1">
      <w:start w:val="1"/>
      <w:numFmt w:val="lowerRoman"/>
      <w:lvlText w:val="%3."/>
      <w:lvlJc w:val="right"/>
      <w:pPr>
        <w:ind w:left="2793" w:hanging="180"/>
      </w:pPr>
      <w:rPr>
        <w:rFonts w:cs="Times New Roman"/>
      </w:rPr>
    </w:lvl>
    <w:lvl w:ilvl="3" w:tplc="0421000F" w:tentative="1">
      <w:start w:val="1"/>
      <w:numFmt w:val="decimal"/>
      <w:lvlText w:val="%4."/>
      <w:lvlJc w:val="left"/>
      <w:pPr>
        <w:ind w:left="3513" w:hanging="360"/>
      </w:pPr>
      <w:rPr>
        <w:rFonts w:cs="Times New Roman"/>
      </w:rPr>
    </w:lvl>
    <w:lvl w:ilvl="4" w:tplc="04210019" w:tentative="1">
      <w:start w:val="1"/>
      <w:numFmt w:val="lowerLetter"/>
      <w:lvlText w:val="%5."/>
      <w:lvlJc w:val="left"/>
      <w:pPr>
        <w:ind w:left="4233" w:hanging="360"/>
      </w:pPr>
      <w:rPr>
        <w:rFonts w:cs="Times New Roman"/>
      </w:rPr>
    </w:lvl>
    <w:lvl w:ilvl="5" w:tplc="0421001B" w:tentative="1">
      <w:start w:val="1"/>
      <w:numFmt w:val="lowerRoman"/>
      <w:lvlText w:val="%6."/>
      <w:lvlJc w:val="right"/>
      <w:pPr>
        <w:ind w:left="4953" w:hanging="180"/>
      </w:pPr>
      <w:rPr>
        <w:rFonts w:cs="Times New Roman"/>
      </w:rPr>
    </w:lvl>
    <w:lvl w:ilvl="6" w:tplc="0421000F" w:tentative="1">
      <w:start w:val="1"/>
      <w:numFmt w:val="decimal"/>
      <w:lvlText w:val="%7."/>
      <w:lvlJc w:val="left"/>
      <w:pPr>
        <w:ind w:left="5673" w:hanging="360"/>
      </w:pPr>
      <w:rPr>
        <w:rFonts w:cs="Times New Roman"/>
      </w:rPr>
    </w:lvl>
    <w:lvl w:ilvl="7" w:tplc="04210019" w:tentative="1">
      <w:start w:val="1"/>
      <w:numFmt w:val="lowerLetter"/>
      <w:lvlText w:val="%8."/>
      <w:lvlJc w:val="left"/>
      <w:pPr>
        <w:ind w:left="6393" w:hanging="360"/>
      </w:pPr>
      <w:rPr>
        <w:rFonts w:cs="Times New Roman"/>
      </w:rPr>
    </w:lvl>
    <w:lvl w:ilvl="8" w:tplc="0421001B" w:tentative="1">
      <w:start w:val="1"/>
      <w:numFmt w:val="lowerRoman"/>
      <w:lvlText w:val="%9."/>
      <w:lvlJc w:val="right"/>
      <w:pPr>
        <w:ind w:left="7113" w:hanging="180"/>
      </w:pPr>
      <w:rPr>
        <w:rFonts w:cs="Times New Roman"/>
      </w:rPr>
    </w:lvl>
  </w:abstractNum>
  <w:abstractNum w:abstractNumId="65" w15:restartNumberingAfterBreak="0">
    <w:nsid w:val="7D404DF9"/>
    <w:multiLevelType w:val="hybridMultilevel"/>
    <w:tmpl w:val="FFFFFFFF"/>
    <w:lvl w:ilvl="0" w:tplc="F224F4CE">
      <w:start w:val="1"/>
      <w:numFmt w:val="decimal"/>
      <w:lvlText w:val="%1."/>
      <w:lvlJc w:val="left"/>
      <w:pPr>
        <w:ind w:left="927" w:hanging="360"/>
      </w:pPr>
      <w:rPr>
        <w:rFonts w:cs="Times New Roman"/>
        <w:i w:val="0"/>
      </w:rPr>
    </w:lvl>
    <w:lvl w:ilvl="1" w:tplc="04090019">
      <w:start w:val="1"/>
      <w:numFmt w:val="lowerLetter"/>
      <w:lvlText w:val="%2."/>
      <w:lvlJc w:val="left"/>
      <w:pPr>
        <w:ind w:left="1647" w:hanging="360"/>
      </w:pPr>
      <w:rPr>
        <w:rFonts w:cs="Times New Roman"/>
      </w:rPr>
    </w:lvl>
    <w:lvl w:ilvl="2" w:tplc="0409001B">
      <w:start w:val="1"/>
      <w:numFmt w:val="lowerRoman"/>
      <w:lvlText w:val="%3."/>
      <w:lvlJc w:val="right"/>
      <w:pPr>
        <w:ind w:left="2367" w:hanging="180"/>
      </w:pPr>
      <w:rPr>
        <w:rFonts w:cs="Times New Roman"/>
      </w:rPr>
    </w:lvl>
    <w:lvl w:ilvl="3" w:tplc="0409000F">
      <w:start w:val="1"/>
      <w:numFmt w:val="decimal"/>
      <w:lvlText w:val="%4."/>
      <w:lvlJc w:val="left"/>
      <w:pPr>
        <w:ind w:left="3087" w:hanging="360"/>
      </w:pPr>
      <w:rPr>
        <w:rFonts w:cs="Times New Roman"/>
      </w:rPr>
    </w:lvl>
    <w:lvl w:ilvl="4" w:tplc="04090019">
      <w:start w:val="1"/>
      <w:numFmt w:val="lowerLetter"/>
      <w:lvlText w:val="%5."/>
      <w:lvlJc w:val="left"/>
      <w:pPr>
        <w:ind w:left="3807" w:hanging="360"/>
      </w:pPr>
      <w:rPr>
        <w:rFonts w:cs="Times New Roman"/>
      </w:rPr>
    </w:lvl>
    <w:lvl w:ilvl="5" w:tplc="0409001B">
      <w:start w:val="1"/>
      <w:numFmt w:val="lowerRoman"/>
      <w:lvlText w:val="%6."/>
      <w:lvlJc w:val="right"/>
      <w:pPr>
        <w:ind w:left="4527" w:hanging="180"/>
      </w:pPr>
      <w:rPr>
        <w:rFonts w:cs="Times New Roman"/>
      </w:rPr>
    </w:lvl>
    <w:lvl w:ilvl="6" w:tplc="0409000F">
      <w:start w:val="1"/>
      <w:numFmt w:val="decimal"/>
      <w:lvlText w:val="%7."/>
      <w:lvlJc w:val="left"/>
      <w:pPr>
        <w:ind w:left="5247" w:hanging="360"/>
      </w:pPr>
      <w:rPr>
        <w:rFonts w:cs="Times New Roman"/>
      </w:rPr>
    </w:lvl>
    <w:lvl w:ilvl="7" w:tplc="04090019">
      <w:start w:val="1"/>
      <w:numFmt w:val="lowerLetter"/>
      <w:lvlText w:val="%8."/>
      <w:lvlJc w:val="left"/>
      <w:pPr>
        <w:ind w:left="5967" w:hanging="360"/>
      </w:pPr>
      <w:rPr>
        <w:rFonts w:cs="Times New Roman"/>
      </w:rPr>
    </w:lvl>
    <w:lvl w:ilvl="8" w:tplc="0409001B">
      <w:start w:val="1"/>
      <w:numFmt w:val="lowerRoman"/>
      <w:lvlText w:val="%9."/>
      <w:lvlJc w:val="right"/>
      <w:pPr>
        <w:ind w:left="6687" w:hanging="180"/>
      </w:pPr>
      <w:rPr>
        <w:rFonts w:cs="Times New Roman"/>
      </w:rPr>
    </w:lvl>
  </w:abstractNum>
  <w:abstractNum w:abstractNumId="66" w15:restartNumberingAfterBreak="0">
    <w:nsid w:val="7E606F6F"/>
    <w:multiLevelType w:val="hybridMultilevel"/>
    <w:tmpl w:val="FFFFFFFF"/>
    <w:lvl w:ilvl="0" w:tplc="04090017">
      <w:start w:val="1"/>
      <w:numFmt w:val="lowerLetter"/>
      <w:lvlText w:val="%1)"/>
      <w:lvlJc w:val="left"/>
      <w:pPr>
        <w:ind w:left="1495" w:hanging="360"/>
      </w:pPr>
      <w:rPr>
        <w:rFonts w:cs="Times New Roman"/>
      </w:rPr>
    </w:lvl>
    <w:lvl w:ilvl="1" w:tplc="04090019" w:tentative="1">
      <w:start w:val="1"/>
      <w:numFmt w:val="lowerLetter"/>
      <w:lvlText w:val="%2."/>
      <w:lvlJc w:val="left"/>
      <w:pPr>
        <w:ind w:left="2215" w:hanging="360"/>
      </w:pPr>
      <w:rPr>
        <w:rFonts w:cs="Times New Roman"/>
      </w:rPr>
    </w:lvl>
    <w:lvl w:ilvl="2" w:tplc="0409001B" w:tentative="1">
      <w:start w:val="1"/>
      <w:numFmt w:val="lowerRoman"/>
      <w:lvlText w:val="%3."/>
      <w:lvlJc w:val="right"/>
      <w:pPr>
        <w:ind w:left="2935" w:hanging="180"/>
      </w:pPr>
      <w:rPr>
        <w:rFonts w:cs="Times New Roman"/>
      </w:rPr>
    </w:lvl>
    <w:lvl w:ilvl="3" w:tplc="0409000F" w:tentative="1">
      <w:start w:val="1"/>
      <w:numFmt w:val="decimal"/>
      <w:lvlText w:val="%4."/>
      <w:lvlJc w:val="left"/>
      <w:pPr>
        <w:ind w:left="3655" w:hanging="360"/>
      </w:pPr>
      <w:rPr>
        <w:rFonts w:cs="Times New Roman"/>
      </w:rPr>
    </w:lvl>
    <w:lvl w:ilvl="4" w:tplc="04090019" w:tentative="1">
      <w:start w:val="1"/>
      <w:numFmt w:val="lowerLetter"/>
      <w:lvlText w:val="%5."/>
      <w:lvlJc w:val="left"/>
      <w:pPr>
        <w:ind w:left="4375" w:hanging="360"/>
      </w:pPr>
      <w:rPr>
        <w:rFonts w:cs="Times New Roman"/>
      </w:rPr>
    </w:lvl>
    <w:lvl w:ilvl="5" w:tplc="0409001B" w:tentative="1">
      <w:start w:val="1"/>
      <w:numFmt w:val="lowerRoman"/>
      <w:lvlText w:val="%6."/>
      <w:lvlJc w:val="right"/>
      <w:pPr>
        <w:ind w:left="5095" w:hanging="180"/>
      </w:pPr>
      <w:rPr>
        <w:rFonts w:cs="Times New Roman"/>
      </w:rPr>
    </w:lvl>
    <w:lvl w:ilvl="6" w:tplc="0409000F" w:tentative="1">
      <w:start w:val="1"/>
      <w:numFmt w:val="decimal"/>
      <w:lvlText w:val="%7."/>
      <w:lvlJc w:val="left"/>
      <w:pPr>
        <w:ind w:left="5815" w:hanging="360"/>
      </w:pPr>
      <w:rPr>
        <w:rFonts w:cs="Times New Roman"/>
      </w:rPr>
    </w:lvl>
    <w:lvl w:ilvl="7" w:tplc="04090019" w:tentative="1">
      <w:start w:val="1"/>
      <w:numFmt w:val="lowerLetter"/>
      <w:lvlText w:val="%8."/>
      <w:lvlJc w:val="left"/>
      <w:pPr>
        <w:ind w:left="6535" w:hanging="360"/>
      </w:pPr>
      <w:rPr>
        <w:rFonts w:cs="Times New Roman"/>
      </w:rPr>
    </w:lvl>
    <w:lvl w:ilvl="8" w:tplc="0409001B" w:tentative="1">
      <w:start w:val="1"/>
      <w:numFmt w:val="lowerRoman"/>
      <w:lvlText w:val="%9."/>
      <w:lvlJc w:val="right"/>
      <w:pPr>
        <w:ind w:left="7255" w:hanging="180"/>
      </w:pPr>
      <w:rPr>
        <w:rFonts w:cs="Times New Roman"/>
      </w:rPr>
    </w:lvl>
  </w:abstractNum>
  <w:abstractNum w:abstractNumId="67" w15:restartNumberingAfterBreak="0">
    <w:nsid w:val="7E874BAC"/>
    <w:multiLevelType w:val="hybridMultilevel"/>
    <w:tmpl w:val="FFFFFFFF"/>
    <w:lvl w:ilvl="0" w:tplc="04090011">
      <w:start w:val="1"/>
      <w:numFmt w:val="decimal"/>
      <w:lvlText w:val="%1)"/>
      <w:lvlJc w:val="left"/>
      <w:pPr>
        <w:ind w:left="720" w:hanging="360"/>
      </w:pPr>
      <w:rPr>
        <w:rFonts w:cs="Times New Roman"/>
      </w:rPr>
    </w:lvl>
    <w:lvl w:ilvl="1" w:tplc="04090011">
      <w:start w:val="1"/>
      <w:numFmt w:val="decimal"/>
      <w:lvlText w:val="%2)"/>
      <w:lvlJc w:val="left"/>
      <w:pPr>
        <w:ind w:left="1440" w:hanging="360"/>
      </w:pPr>
      <w:rPr>
        <w:rFonts w:cs="Times New Roman"/>
      </w:rPr>
    </w:lvl>
    <w:lvl w:ilvl="2" w:tplc="0114B3CE">
      <w:start w:val="1"/>
      <w:numFmt w:val="upperLetter"/>
      <w:lvlText w:val="%3."/>
      <w:lvlJc w:val="left"/>
      <w:pPr>
        <w:ind w:left="2340" w:hanging="360"/>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8" w15:restartNumberingAfterBreak="0">
    <w:nsid w:val="7F0E1FB5"/>
    <w:multiLevelType w:val="hybridMultilevel"/>
    <w:tmpl w:val="FFFFFFFF"/>
    <w:lvl w:ilvl="0" w:tplc="04090011">
      <w:start w:val="1"/>
      <w:numFmt w:val="decimal"/>
      <w:lvlText w:val="%1)"/>
      <w:lvlJc w:val="left"/>
      <w:pPr>
        <w:ind w:left="1440" w:hanging="360"/>
      </w:pPr>
      <w:rPr>
        <w:rFonts w:cs="Times New Roman"/>
      </w:rPr>
    </w:lvl>
    <w:lvl w:ilvl="1" w:tplc="04090011">
      <w:start w:val="1"/>
      <w:numFmt w:val="decimal"/>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48CAD2AA">
      <w:start w:val="1"/>
      <w:numFmt w:val="decimal"/>
      <w:lvlText w:val="%4."/>
      <w:lvlJc w:val="left"/>
      <w:pPr>
        <w:ind w:left="3600" w:hanging="360"/>
      </w:pPr>
      <w:rPr>
        <w:rFonts w:cs="Times New Roman" w:hint="default"/>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30"/>
  </w:num>
  <w:num w:numId="2">
    <w:abstractNumId w:val="46"/>
  </w:num>
  <w:num w:numId="3">
    <w:abstractNumId w:val="28"/>
  </w:num>
  <w:num w:numId="4">
    <w:abstractNumId w:val="11"/>
  </w:num>
  <w:num w:numId="5">
    <w:abstractNumId w:val="48"/>
  </w:num>
  <w:num w:numId="6">
    <w:abstractNumId w:val="50"/>
  </w:num>
  <w:num w:numId="7">
    <w:abstractNumId w:val="7"/>
  </w:num>
  <w:num w:numId="8">
    <w:abstractNumId w:val="19"/>
  </w:num>
  <w:num w:numId="9">
    <w:abstractNumId w:val="67"/>
  </w:num>
  <w:num w:numId="10">
    <w:abstractNumId w:val="10"/>
  </w:num>
  <w:num w:numId="11">
    <w:abstractNumId w:val="61"/>
  </w:num>
  <w:num w:numId="12">
    <w:abstractNumId w:val="2"/>
  </w:num>
  <w:num w:numId="13">
    <w:abstractNumId w:val="68"/>
  </w:num>
  <w:num w:numId="14">
    <w:abstractNumId w:val="41"/>
  </w:num>
  <w:num w:numId="15">
    <w:abstractNumId w:val="15"/>
  </w:num>
  <w:num w:numId="16">
    <w:abstractNumId w:val="52"/>
  </w:num>
  <w:num w:numId="17">
    <w:abstractNumId w:val="3"/>
  </w:num>
  <w:num w:numId="18">
    <w:abstractNumId w:val="23"/>
  </w:num>
  <w:num w:numId="19">
    <w:abstractNumId w:val="38"/>
  </w:num>
  <w:num w:numId="20">
    <w:abstractNumId w:val="56"/>
  </w:num>
  <w:num w:numId="21">
    <w:abstractNumId w:val="34"/>
  </w:num>
  <w:num w:numId="22">
    <w:abstractNumId w:val="40"/>
  </w:num>
  <w:num w:numId="23">
    <w:abstractNumId w:val="22"/>
  </w:num>
  <w:num w:numId="24">
    <w:abstractNumId w:val="54"/>
  </w:num>
  <w:num w:numId="25">
    <w:abstractNumId w:val="54"/>
    <w:lvlOverride w:ilvl="0">
      <w:startOverride w:val="1"/>
    </w:lvlOverride>
  </w:num>
  <w:num w:numId="26">
    <w:abstractNumId w:val="20"/>
  </w:num>
  <w:num w:numId="27">
    <w:abstractNumId w:val="20"/>
    <w:lvlOverride w:ilvl="0">
      <w:startOverride w:val="1"/>
    </w:lvlOverride>
  </w:num>
  <w:num w:numId="28">
    <w:abstractNumId w:val="20"/>
    <w:lvlOverride w:ilvl="0">
      <w:startOverride w:val="1"/>
    </w:lvlOverride>
  </w:num>
  <w:num w:numId="29">
    <w:abstractNumId w:val="54"/>
    <w:lvlOverride w:ilvl="0">
      <w:startOverride w:val="1"/>
    </w:lvlOverride>
  </w:num>
  <w:num w:numId="30">
    <w:abstractNumId w:val="54"/>
    <w:lvlOverride w:ilvl="0">
      <w:startOverride w:val="1"/>
    </w:lvlOverride>
  </w:num>
  <w:num w:numId="31">
    <w:abstractNumId w:val="54"/>
    <w:lvlOverride w:ilvl="0">
      <w:startOverride w:val="1"/>
    </w:lvlOverride>
  </w:num>
  <w:num w:numId="32">
    <w:abstractNumId w:val="42"/>
  </w:num>
  <w:num w:numId="33">
    <w:abstractNumId w:val="0"/>
  </w:num>
  <w:num w:numId="34">
    <w:abstractNumId w:val="59"/>
  </w:num>
  <w:num w:numId="35">
    <w:abstractNumId w:val="36"/>
  </w:num>
  <w:num w:numId="36">
    <w:abstractNumId w:val="6"/>
  </w:num>
  <w:num w:numId="37">
    <w:abstractNumId w:val="49"/>
  </w:num>
  <w:num w:numId="38">
    <w:abstractNumId w:val="24"/>
  </w:num>
  <w:num w:numId="39">
    <w:abstractNumId w:val="60"/>
  </w:num>
  <w:num w:numId="40">
    <w:abstractNumId w:val="26"/>
  </w:num>
  <w:num w:numId="41">
    <w:abstractNumId w:val="55"/>
  </w:num>
  <w:num w:numId="42">
    <w:abstractNumId w:val="1"/>
  </w:num>
  <w:num w:numId="43">
    <w:abstractNumId w:val="17"/>
  </w:num>
  <w:num w:numId="44">
    <w:abstractNumId w:val="12"/>
  </w:num>
  <w:num w:numId="45">
    <w:abstractNumId w:val="29"/>
  </w:num>
  <w:num w:numId="46">
    <w:abstractNumId w:val="33"/>
  </w:num>
  <w:num w:numId="47">
    <w:abstractNumId w:val="32"/>
  </w:num>
  <w:num w:numId="48">
    <w:abstractNumId w:val="51"/>
  </w:num>
  <w:num w:numId="49">
    <w:abstractNumId w:val="27"/>
  </w:num>
  <w:num w:numId="50">
    <w:abstractNumId w:val="4"/>
  </w:num>
  <w:num w:numId="51">
    <w:abstractNumId w:val="8"/>
  </w:num>
  <w:num w:numId="52">
    <w:abstractNumId w:val="31"/>
  </w:num>
  <w:num w:numId="53">
    <w:abstractNumId w:val="25"/>
  </w:num>
  <w:num w:numId="54">
    <w:abstractNumId w:val="18"/>
  </w:num>
  <w:num w:numId="55">
    <w:abstractNumId w:val="57"/>
  </w:num>
  <w:num w:numId="56">
    <w:abstractNumId w:val="5"/>
  </w:num>
  <w:num w:numId="57">
    <w:abstractNumId w:val="66"/>
  </w:num>
  <w:num w:numId="58">
    <w:abstractNumId w:val="39"/>
  </w:num>
  <w:num w:numId="59">
    <w:abstractNumId w:val="21"/>
  </w:num>
  <w:num w:numId="60">
    <w:abstractNumId w:val="53"/>
  </w:num>
  <w:num w:numId="61">
    <w:abstractNumId w:val="16"/>
  </w:num>
  <w:num w:numId="62">
    <w:abstractNumId w:val="44"/>
  </w:num>
  <w:num w:numId="63">
    <w:abstractNumId w:val="9"/>
  </w:num>
  <w:num w:numId="64">
    <w:abstractNumId w:val="14"/>
  </w:num>
  <w:num w:numId="65">
    <w:abstractNumId w:val="45"/>
  </w:num>
  <w:num w:numId="66">
    <w:abstractNumId w:val="35"/>
  </w:num>
  <w:num w:numId="67">
    <w:abstractNumId w:val="64"/>
  </w:num>
  <w:num w:numId="68">
    <w:abstractNumId w:val="63"/>
  </w:num>
  <w:num w:numId="69">
    <w:abstractNumId w:val="62"/>
  </w:num>
  <w:num w:numId="70">
    <w:abstractNumId w:val="37"/>
  </w:num>
  <w:num w:numId="71">
    <w:abstractNumId w:val="58"/>
  </w:num>
  <w:num w:numId="72">
    <w:abstractNumId w:val="43"/>
  </w:num>
  <w:num w:numId="73">
    <w:abstractNumId w:val="47"/>
  </w:num>
  <w:num w:numId="7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4"/>
    <w:lvlOverride w:ilvl="0">
      <w:startOverride w:val="2"/>
    </w:lvlOverride>
  </w:num>
  <w:num w:numId="77">
    <w:abstractNumId w:val="54"/>
    <w:lvlOverride w:ilvl="0">
      <w:startOverride w:val="2"/>
    </w:lvlOverride>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DF37B2"/>
    <w:rsid w:val="0000157F"/>
    <w:rsid w:val="000026E9"/>
    <w:rsid w:val="000046C5"/>
    <w:rsid w:val="00005036"/>
    <w:rsid w:val="00006220"/>
    <w:rsid w:val="00006D3C"/>
    <w:rsid w:val="00012426"/>
    <w:rsid w:val="00012449"/>
    <w:rsid w:val="0001272E"/>
    <w:rsid w:val="00013CFE"/>
    <w:rsid w:val="00014D02"/>
    <w:rsid w:val="00017B16"/>
    <w:rsid w:val="00017DB6"/>
    <w:rsid w:val="0002074A"/>
    <w:rsid w:val="00022CE7"/>
    <w:rsid w:val="00024B39"/>
    <w:rsid w:val="00024E90"/>
    <w:rsid w:val="00026D84"/>
    <w:rsid w:val="00027697"/>
    <w:rsid w:val="00027AF4"/>
    <w:rsid w:val="00030C75"/>
    <w:rsid w:val="00030DB2"/>
    <w:rsid w:val="00030F81"/>
    <w:rsid w:val="00031D40"/>
    <w:rsid w:val="00031F38"/>
    <w:rsid w:val="0003296B"/>
    <w:rsid w:val="00033BE1"/>
    <w:rsid w:val="000356FB"/>
    <w:rsid w:val="000361EE"/>
    <w:rsid w:val="00036823"/>
    <w:rsid w:val="000379F6"/>
    <w:rsid w:val="000400E5"/>
    <w:rsid w:val="00040779"/>
    <w:rsid w:val="00040927"/>
    <w:rsid w:val="00041A87"/>
    <w:rsid w:val="00041FFD"/>
    <w:rsid w:val="00042348"/>
    <w:rsid w:val="000427FB"/>
    <w:rsid w:val="000448A9"/>
    <w:rsid w:val="00045763"/>
    <w:rsid w:val="000459C2"/>
    <w:rsid w:val="00050F48"/>
    <w:rsid w:val="0005183D"/>
    <w:rsid w:val="00053142"/>
    <w:rsid w:val="00055254"/>
    <w:rsid w:val="00055B68"/>
    <w:rsid w:val="0005656F"/>
    <w:rsid w:val="000611A1"/>
    <w:rsid w:val="0006355E"/>
    <w:rsid w:val="00065068"/>
    <w:rsid w:val="000653ED"/>
    <w:rsid w:val="00065A37"/>
    <w:rsid w:val="00065C87"/>
    <w:rsid w:val="0006773F"/>
    <w:rsid w:val="000677F1"/>
    <w:rsid w:val="00070B28"/>
    <w:rsid w:val="00070BFF"/>
    <w:rsid w:val="00072BF3"/>
    <w:rsid w:val="00073B02"/>
    <w:rsid w:val="000752B5"/>
    <w:rsid w:val="0007665F"/>
    <w:rsid w:val="000767D8"/>
    <w:rsid w:val="000772CA"/>
    <w:rsid w:val="000809A7"/>
    <w:rsid w:val="00080AD3"/>
    <w:rsid w:val="000815F4"/>
    <w:rsid w:val="00082F05"/>
    <w:rsid w:val="00083839"/>
    <w:rsid w:val="00084D48"/>
    <w:rsid w:val="00085DB3"/>
    <w:rsid w:val="00086B76"/>
    <w:rsid w:val="00086C35"/>
    <w:rsid w:val="0008767F"/>
    <w:rsid w:val="00093287"/>
    <w:rsid w:val="000944AE"/>
    <w:rsid w:val="000944F0"/>
    <w:rsid w:val="00095B57"/>
    <w:rsid w:val="000966E3"/>
    <w:rsid w:val="00096ACC"/>
    <w:rsid w:val="00097B9C"/>
    <w:rsid w:val="000A0515"/>
    <w:rsid w:val="000A09B8"/>
    <w:rsid w:val="000A1389"/>
    <w:rsid w:val="000A247E"/>
    <w:rsid w:val="000A4ADF"/>
    <w:rsid w:val="000A609A"/>
    <w:rsid w:val="000A68AE"/>
    <w:rsid w:val="000A7EE8"/>
    <w:rsid w:val="000B12D9"/>
    <w:rsid w:val="000B3350"/>
    <w:rsid w:val="000B3449"/>
    <w:rsid w:val="000B4414"/>
    <w:rsid w:val="000B55D0"/>
    <w:rsid w:val="000C0D20"/>
    <w:rsid w:val="000C2433"/>
    <w:rsid w:val="000C243A"/>
    <w:rsid w:val="000C32ED"/>
    <w:rsid w:val="000C43BD"/>
    <w:rsid w:val="000C5022"/>
    <w:rsid w:val="000C5365"/>
    <w:rsid w:val="000C578E"/>
    <w:rsid w:val="000C5E76"/>
    <w:rsid w:val="000C72A7"/>
    <w:rsid w:val="000D02FF"/>
    <w:rsid w:val="000D05E7"/>
    <w:rsid w:val="000D0668"/>
    <w:rsid w:val="000D133F"/>
    <w:rsid w:val="000D1C51"/>
    <w:rsid w:val="000D1D57"/>
    <w:rsid w:val="000D1D58"/>
    <w:rsid w:val="000D21B3"/>
    <w:rsid w:val="000D26A7"/>
    <w:rsid w:val="000D2A86"/>
    <w:rsid w:val="000D42E9"/>
    <w:rsid w:val="000D50E8"/>
    <w:rsid w:val="000D6864"/>
    <w:rsid w:val="000D776B"/>
    <w:rsid w:val="000D7E70"/>
    <w:rsid w:val="000D7F3B"/>
    <w:rsid w:val="000E05A2"/>
    <w:rsid w:val="000E1ED5"/>
    <w:rsid w:val="000E3914"/>
    <w:rsid w:val="000E3C98"/>
    <w:rsid w:val="000E4464"/>
    <w:rsid w:val="000E4E56"/>
    <w:rsid w:val="000E6143"/>
    <w:rsid w:val="000F0FC8"/>
    <w:rsid w:val="000F239A"/>
    <w:rsid w:val="000F528E"/>
    <w:rsid w:val="000F53E9"/>
    <w:rsid w:val="000F6178"/>
    <w:rsid w:val="000F7941"/>
    <w:rsid w:val="000F79FD"/>
    <w:rsid w:val="000F7D53"/>
    <w:rsid w:val="00100A13"/>
    <w:rsid w:val="00100A3E"/>
    <w:rsid w:val="001013BD"/>
    <w:rsid w:val="001038BB"/>
    <w:rsid w:val="001064D4"/>
    <w:rsid w:val="00107C99"/>
    <w:rsid w:val="00107CF1"/>
    <w:rsid w:val="00110806"/>
    <w:rsid w:val="00110E27"/>
    <w:rsid w:val="00111FA5"/>
    <w:rsid w:val="001124B0"/>
    <w:rsid w:val="00112702"/>
    <w:rsid w:val="001130BC"/>
    <w:rsid w:val="0011330B"/>
    <w:rsid w:val="00114138"/>
    <w:rsid w:val="001146CE"/>
    <w:rsid w:val="00114AC7"/>
    <w:rsid w:val="001171B8"/>
    <w:rsid w:val="00117672"/>
    <w:rsid w:val="00117A4B"/>
    <w:rsid w:val="00117D62"/>
    <w:rsid w:val="00117EDD"/>
    <w:rsid w:val="0012105F"/>
    <w:rsid w:val="001212A7"/>
    <w:rsid w:val="0012164B"/>
    <w:rsid w:val="00121F9E"/>
    <w:rsid w:val="0012240C"/>
    <w:rsid w:val="00122F6C"/>
    <w:rsid w:val="00123191"/>
    <w:rsid w:val="0012402C"/>
    <w:rsid w:val="00124D84"/>
    <w:rsid w:val="00124F84"/>
    <w:rsid w:val="00126CA8"/>
    <w:rsid w:val="00126D84"/>
    <w:rsid w:val="0012752A"/>
    <w:rsid w:val="00130A46"/>
    <w:rsid w:val="00130B2E"/>
    <w:rsid w:val="00131E4F"/>
    <w:rsid w:val="0013204B"/>
    <w:rsid w:val="00132CA1"/>
    <w:rsid w:val="00132F97"/>
    <w:rsid w:val="0013405F"/>
    <w:rsid w:val="00134354"/>
    <w:rsid w:val="00134FB4"/>
    <w:rsid w:val="001353E5"/>
    <w:rsid w:val="00135CD8"/>
    <w:rsid w:val="00136AAD"/>
    <w:rsid w:val="00137170"/>
    <w:rsid w:val="001407FA"/>
    <w:rsid w:val="001408AE"/>
    <w:rsid w:val="00140AA9"/>
    <w:rsid w:val="00140E4D"/>
    <w:rsid w:val="001414BF"/>
    <w:rsid w:val="00144656"/>
    <w:rsid w:val="00146653"/>
    <w:rsid w:val="00146693"/>
    <w:rsid w:val="001470A6"/>
    <w:rsid w:val="00147468"/>
    <w:rsid w:val="00147788"/>
    <w:rsid w:val="0015013F"/>
    <w:rsid w:val="001515CF"/>
    <w:rsid w:val="00154E5B"/>
    <w:rsid w:val="001550B9"/>
    <w:rsid w:val="00155DD3"/>
    <w:rsid w:val="00156028"/>
    <w:rsid w:val="00156A24"/>
    <w:rsid w:val="00156AD7"/>
    <w:rsid w:val="00157AB5"/>
    <w:rsid w:val="00160A58"/>
    <w:rsid w:val="0016205B"/>
    <w:rsid w:val="0016289F"/>
    <w:rsid w:val="001634DD"/>
    <w:rsid w:val="00163AEE"/>
    <w:rsid w:val="00163C3E"/>
    <w:rsid w:val="00165B6D"/>
    <w:rsid w:val="0016701B"/>
    <w:rsid w:val="001702DA"/>
    <w:rsid w:val="001708C3"/>
    <w:rsid w:val="00170B3C"/>
    <w:rsid w:val="00170FCE"/>
    <w:rsid w:val="00171A8D"/>
    <w:rsid w:val="00171BC6"/>
    <w:rsid w:val="00171DB1"/>
    <w:rsid w:val="00172FC6"/>
    <w:rsid w:val="00173B86"/>
    <w:rsid w:val="00174349"/>
    <w:rsid w:val="0017478C"/>
    <w:rsid w:val="001747B9"/>
    <w:rsid w:val="00175CDF"/>
    <w:rsid w:val="00175D7B"/>
    <w:rsid w:val="00177FC7"/>
    <w:rsid w:val="00181079"/>
    <w:rsid w:val="001810B4"/>
    <w:rsid w:val="00181273"/>
    <w:rsid w:val="001826AE"/>
    <w:rsid w:val="00185F3C"/>
    <w:rsid w:val="001869B1"/>
    <w:rsid w:val="00191263"/>
    <w:rsid w:val="001922E5"/>
    <w:rsid w:val="00192674"/>
    <w:rsid w:val="00192745"/>
    <w:rsid w:val="00194B50"/>
    <w:rsid w:val="00195832"/>
    <w:rsid w:val="001964BD"/>
    <w:rsid w:val="00197F98"/>
    <w:rsid w:val="001A027C"/>
    <w:rsid w:val="001A06A3"/>
    <w:rsid w:val="001A29D0"/>
    <w:rsid w:val="001A3596"/>
    <w:rsid w:val="001A35E3"/>
    <w:rsid w:val="001A4585"/>
    <w:rsid w:val="001A4DC0"/>
    <w:rsid w:val="001A5846"/>
    <w:rsid w:val="001A59AF"/>
    <w:rsid w:val="001A6848"/>
    <w:rsid w:val="001A68FD"/>
    <w:rsid w:val="001A72C0"/>
    <w:rsid w:val="001A7CF8"/>
    <w:rsid w:val="001B0420"/>
    <w:rsid w:val="001B10B7"/>
    <w:rsid w:val="001B12AA"/>
    <w:rsid w:val="001B261E"/>
    <w:rsid w:val="001B3A26"/>
    <w:rsid w:val="001B3E46"/>
    <w:rsid w:val="001B4BEF"/>
    <w:rsid w:val="001B5AB6"/>
    <w:rsid w:val="001B6966"/>
    <w:rsid w:val="001B6B74"/>
    <w:rsid w:val="001B6DE9"/>
    <w:rsid w:val="001B6E13"/>
    <w:rsid w:val="001B714F"/>
    <w:rsid w:val="001B7447"/>
    <w:rsid w:val="001B7AFE"/>
    <w:rsid w:val="001B7D88"/>
    <w:rsid w:val="001B7EF0"/>
    <w:rsid w:val="001C0036"/>
    <w:rsid w:val="001C0D23"/>
    <w:rsid w:val="001C12B9"/>
    <w:rsid w:val="001C235A"/>
    <w:rsid w:val="001C2F68"/>
    <w:rsid w:val="001C2F7C"/>
    <w:rsid w:val="001C3765"/>
    <w:rsid w:val="001C5B16"/>
    <w:rsid w:val="001C6854"/>
    <w:rsid w:val="001C6BEF"/>
    <w:rsid w:val="001D01B2"/>
    <w:rsid w:val="001D1841"/>
    <w:rsid w:val="001D198D"/>
    <w:rsid w:val="001D289B"/>
    <w:rsid w:val="001D2ED1"/>
    <w:rsid w:val="001D2FED"/>
    <w:rsid w:val="001D3669"/>
    <w:rsid w:val="001D3E2C"/>
    <w:rsid w:val="001D4199"/>
    <w:rsid w:val="001D4552"/>
    <w:rsid w:val="001D537F"/>
    <w:rsid w:val="001D6A72"/>
    <w:rsid w:val="001D7802"/>
    <w:rsid w:val="001E150B"/>
    <w:rsid w:val="001E17B6"/>
    <w:rsid w:val="001E3667"/>
    <w:rsid w:val="001E3FAC"/>
    <w:rsid w:val="001E47ED"/>
    <w:rsid w:val="001E573F"/>
    <w:rsid w:val="001E66BE"/>
    <w:rsid w:val="001E6AAB"/>
    <w:rsid w:val="001E79D6"/>
    <w:rsid w:val="001F0181"/>
    <w:rsid w:val="001F05F9"/>
    <w:rsid w:val="001F0D9C"/>
    <w:rsid w:val="001F2D2C"/>
    <w:rsid w:val="001F2F4F"/>
    <w:rsid w:val="001F5164"/>
    <w:rsid w:val="001F566C"/>
    <w:rsid w:val="001F5FE0"/>
    <w:rsid w:val="002001CD"/>
    <w:rsid w:val="00200BDB"/>
    <w:rsid w:val="00206171"/>
    <w:rsid w:val="00207F9E"/>
    <w:rsid w:val="00210102"/>
    <w:rsid w:val="00210D49"/>
    <w:rsid w:val="00212079"/>
    <w:rsid w:val="002137A1"/>
    <w:rsid w:val="00214481"/>
    <w:rsid w:val="00215E34"/>
    <w:rsid w:val="00216182"/>
    <w:rsid w:val="00216252"/>
    <w:rsid w:val="00216BA2"/>
    <w:rsid w:val="00217D45"/>
    <w:rsid w:val="00217F0B"/>
    <w:rsid w:val="0022035E"/>
    <w:rsid w:val="00220AD2"/>
    <w:rsid w:val="00220F55"/>
    <w:rsid w:val="00221EC8"/>
    <w:rsid w:val="002224D4"/>
    <w:rsid w:val="00223F40"/>
    <w:rsid w:val="00224157"/>
    <w:rsid w:val="00224B79"/>
    <w:rsid w:val="00224D2E"/>
    <w:rsid w:val="0022505B"/>
    <w:rsid w:val="002261D7"/>
    <w:rsid w:val="0022656D"/>
    <w:rsid w:val="00227173"/>
    <w:rsid w:val="002272FA"/>
    <w:rsid w:val="00227FBA"/>
    <w:rsid w:val="00233387"/>
    <w:rsid w:val="00233814"/>
    <w:rsid w:val="002379E7"/>
    <w:rsid w:val="00241B34"/>
    <w:rsid w:val="00242B6B"/>
    <w:rsid w:val="00242B9E"/>
    <w:rsid w:val="00242CB5"/>
    <w:rsid w:val="00242F37"/>
    <w:rsid w:val="002432B7"/>
    <w:rsid w:val="0024352B"/>
    <w:rsid w:val="00243C4F"/>
    <w:rsid w:val="00247682"/>
    <w:rsid w:val="00247C8C"/>
    <w:rsid w:val="0025068C"/>
    <w:rsid w:val="00251257"/>
    <w:rsid w:val="00252FC7"/>
    <w:rsid w:val="00253CFC"/>
    <w:rsid w:val="00254AFD"/>
    <w:rsid w:val="0025586C"/>
    <w:rsid w:val="00255E7F"/>
    <w:rsid w:val="00257095"/>
    <w:rsid w:val="00257BEB"/>
    <w:rsid w:val="00257E5A"/>
    <w:rsid w:val="002618AF"/>
    <w:rsid w:val="002618FA"/>
    <w:rsid w:val="00262A15"/>
    <w:rsid w:val="0026546E"/>
    <w:rsid w:val="00265D7B"/>
    <w:rsid w:val="0026699A"/>
    <w:rsid w:val="002700B6"/>
    <w:rsid w:val="002701A6"/>
    <w:rsid w:val="00270CC9"/>
    <w:rsid w:val="00271021"/>
    <w:rsid w:val="00272D43"/>
    <w:rsid w:val="00274692"/>
    <w:rsid w:val="00274CE9"/>
    <w:rsid w:val="00275DDA"/>
    <w:rsid w:val="002777CE"/>
    <w:rsid w:val="00277DCB"/>
    <w:rsid w:val="00277F75"/>
    <w:rsid w:val="0028017F"/>
    <w:rsid w:val="00280939"/>
    <w:rsid w:val="002809F6"/>
    <w:rsid w:val="00282368"/>
    <w:rsid w:val="002823F4"/>
    <w:rsid w:val="00283141"/>
    <w:rsid w:val="00283CC4"/>
    <w:rsid w:val="0028439D"/>
    <w:rsid w:val="002851D8"/>
    <w:rsid w:val="0028560F"/>
    <w:rsid w:val="00285D7A"/>
    <w:rsid w:val="0028751F"/>
    <w:rsid w:val="002905C9"/>
    <w:rsid w:val="00291D89"/>
    <w:rsid w:val="00292F38"/>
    <w:rsid w:val="00293646"/>
    <w:rsid w:val="00294E8A"/>
    <w:rsid w:val="002954A0"/>
    <w:rsid w:val="00295B36"/>
    <w:rsid w:val="00295CF8"/>
    <w:rsid w:val="0029687F"/>
    <w:rsid w:val="00297339"/>
    <w:rsid w:val="002A1A03"/>
    <w:rsid w:val="002A29B3"/>
    <w:rsid w:val="002A302A"/>
    <w:rsid w:val="002A3455"/>
    <w:rsid w:val="002A40C8"/>
    <w:rsid w:val="002A4958"/>
    <w:rsid w:val="002B02FE"/>
    <w:rsid w:val="002B04D8"/>
    <w:rsid w:val="002B0710"/>
    <w:rsid w:val="002B07FD"/>
    <w:rsid w:val="002B0BF2"/>
    <w:rsid w:val="002B1708"/>
    <w:rsid w:val="002B28F6"/>
    <w:rsid w:val="002B336C"/>
    <w:rsid w:val="002B3773"/>
    <w:rsid w:val="002B3CA9"/>
    <w:rsid w:val="002B4DB1"/>
    <w:rsid w:val="002B4EE0"/>
    <w:rsid w:val="002B4FAD"/>
    <w:rsid w:val="002B50ED"/>
    <w:rsid w:val="002B6126"/>
    <w:rsid w:val="002B75D0"/>
    <w:rsid w:val="002C05DA"/>
    <w:rsid w:val="002C0EA4"/>
    <w:rsid w:val="002C165A"/>
    <w:rsid w:val="002C2415"/>
    <w:rsid w:val="002C3428"/>
    <w:rsid w:val="002C4071"/>
    <w:rsid w:val="002C4D0B"/>
    <w:rsid w:val="002C5803"/>
    <w:rsid w:val="002C58B2"/>
    <w:rsid w:val="002C758F"/>
    <w:rsid w:val="002D08F0"/>
    <w:rsid w:val="002D1EA7"/>
    <w:rsid w:val="002D2EBA"/>
    <w:rsid w:val="002D3F5F"/>
    <w:rsid w:val="002D50F0"/>
    <w:rsid w:val="002D768B"/>
    <w:rsid w:val="002E3477"/>
    <w:rsid w:val="002E499E"/>
    <w:rsid w:val="002E60D2"/>
    <w:rsid w:val="002F03C8"/>
    <w:rsid w:val="002F325E"/>
    <w:rsid w:val="002F4042"/>
    <w:rsid w:val="002F42C1"/>
    <w:rsid w:val="002F6C86"/>
    <w:rsid w:val="00300669"/>
    <w:rsid w:val="00300A97"/>
    <w:rsid w:val="0030206C"/>
    <w:rsid w:val="00302D32"/>
    <w:rsid w:val="00303616"/>
    <w:rsid w:val="00303631"/>
    <w:rsid w:val="003049C3"/>
    <w:rsid w:val="0030740A"/>
    <w:rsid w:val="00307789"/>
    <w:rsid w:val="00307839"/>
    <w:rsid w:val="0031076B"/>
    <w:rsid w:val="00311836"/>
    <w:rsid w:val="00312471"/>
    <w:rsid w:val="00312D42"/>
    <w:rsid w:val="0031388B"/>
    <w:rsid w:val="00313C49"/>
    <w:rsid w:val="00316741"/>
    <w:rsid w:val="00316774"/>
    <w:rsid w:val="00316F92"/>
    <w:rsid w:val="003173F3"/>
    <w:rsid w:val="00320CB0"/>
    <w:rsid w:val="00320D3E"/>
    <w:rsid w:val="0032115E"/>
    <w:rsid w:val="00321221"/>
    <w:rsid w:val="003213A0"/>
    <w:rsid w:val="003213AC"/>
    <w:rsid w:val="0032191D"/>
    <w:rsid w:val="003232D5"/>
    <w:rsid w:val="003238A3"/>
    <w:rsid w:val="003275FC"/>
    <w:rsid w:val="00327AAF"/>
    <w:rsid w:val="00330FCE"/>
    <w:rsid w:val="00331872"/>
    <w:rsid w:val="00332643"/>
    <w:rsid w:val="00333902"/>
    <w:rsid w:val="00333BE8"/>
    <w:rsid w:val="00333E80"/>
    <w:rsid w:val="0033439F"/>
    <w:rsid w:val="003344C7"/>
    <w:rsid w:val="0033483A"/>
    <w:rsid w:val="00334AD1"/>
    <w:rsid w:val="00336940"/>
    <w:rsid w:val="00336B62"/>
    <w:rsid w:val="0034047D"/>
    <w:rsid w:val="00340735"/>
    <w:rsid w:val="00341055"/>
    <w:rsid w:val="003414E9"/>
    <w:rsid w:val="0034166B"/>
    <w:rsid w:val="003422AB"/>
    <w:rsid w:val="0034234D"/>
    <w:rsid w:val="00342732"/>
    <w:rsid w:val="00343B5C"/>
    <w:rsid w:val="003445CD"/>
    <w:rsid w:val="0034526E"/>
    <w:rsid w:val="003453A8"/>
    <w:rsid w:val="003476B1"/>
    <w:rsid w:val="0035019B"/>
    <w:rsid w:val="0035324E"/>
    <w:rsid w:val="003538C6"/>
    <w:rsid w:val="00353B89"/>
    <w:rsid w:val="00353EFF"/>
    <w:rsid w:val="00355183"/>
    <w:rsid w:val="003557F1"/>
    <w:rsid w:val="00356595"/>
    <w:rsid w:val="0035696F"/>
    <w:rsid w:val="003577F1"/>
    <w:rsid w:val="003607ED"/>
    <w:rsid w:val="00360A85"/>
    <w:rsid w:val="003619D0"/>
    <w:rsid w:val="003636ED"/>
    <w:rsid w:val="00363854"/>
    <w:rsid w:val="00363DC8"/>
    <w:rsid w:val="00364251"/>
    <w:rsid w:val="0036546E"/>
    <w:rsid w:val="00366732"/>
    <w:rsid w:val="00366D2B"/>
    <w:rsid w:val="00367EEF"/>
    <w:rsid w:val="0037058C"/>
    <w:rsid w:val="00375863"/>
    <w:rsid w:val="00377D48"/>
    <w:rsid w:val="00381D3C"/>
    <w:rsid w:val="003839A5"/>
    <w:rsid w:val="00385C2D"/>
    <w:rsid w:val="00385D19"/>
    <w:rsid w:val="00386772"/>
    <w:rsid w:val="00391D37"/>
    <w:rsid w:val="00393034"/>
    <w:rsid w:val="003957B2"/>
    <w:rsid w:val="003974F4"/>
    <w:rsid w:val="003975AA"/>
    <w:rsid w:val="003A2BD3"/>
    <w:rsid w:val="003A4115"/>
    <w:rsid w:val="003A54B6"/>
    <w:rsid w:val="003A58F3"/>
    <w:rsid w:val="003A6182"/>
    <w:rsid w:val="003A6294"/>
    <w:rsid w:val="003A68AB"/>
    <w:rsid w:val="003A76AF"/>
    <w:rsid w:val="003A7C85"/>
    <w:rsid w:val="003B166B"/>
    <w:rsid w:val="003B231E"/>
    <w:rsid w:val="003B302F"/>
    <w:rsid w:val="003B3991"/>
    <w:rsid w:val="003B494A"/>
    <w:rsid w:val="003B73BA"/>
    <w:rsid w:val="003C0450"/>
    <w:rsid w:val="003C04A8"/>
    <w:rsid w:val="003C159A"/>
    <w:rsid w:val="003C288A"/>
    <w:rsid w:val="003C2BF8"/>
    <w:rsid w:val="003C491A"/>
    <w:rsid w:val="003C50D7"/>
    <w:rsid w:val="003C56EB"/>
    <w:rsid w:val="003C6893"/>
    <w:rsid w:val="003C7EDC"/>
    <w:rsid w:val="003C7F04"/>
    <w:rsid w:val="003D0052"/>
    <w:rsid w:val="003D0178"/>
    <w:rsid w:val="003D0BCD"/>
    <w:rsid w:val="003D0CD2"/>
    <w:rsid w:val="003D188F"/>
    <w:rsid w:val="003D29EF"/>
    <w:rsid w:val="003D3C4E"/>
    <w:rsid w:val="003D3DDA"/>
    <w:rsid w:val="003D4222"/>
    <w:rsid w:val="003D42A8"/>
    <w:rsid w:val="003D66D2"/>
    <w:rsid w:val="003D7491"/>
    <w:rsid w:val="003D7F25"/>
    <w:rsid w:val="003E0CD9"/>
    <w:rsid w:val="003E0F9C"/>
    <w:rsid w:val="003E387C"/>
    <w:rsid w:val="003E4371"/>
    <w:rsid w:val="003E4674"/>
    <w:rsid w:val="003E6035"/>
    <w:rsid w:val="003E6AF9"/>
    <w:rsid w:val="003E75E0"/>
    <w:rsid w:val="003F0E61"/>
    <w:rsid w:val="003F15CD"/>
    <w:rsid w:val="003F1EDC"/>
    <w:rsid w:val="003F2359"/>
    <w:rsid w:val="003F24C9"/>
    <w:rsid w:val="003F26F2"/>
    <w:rsid w:val="003F33EF"/>
    <w:rsid w:val="003F361D"/>
    <w:rsid w:val="003F386B"/>
    <w:rsid w:val="003F3B4E"/>
    <w:rsid w:val="003F49FB"/>
    <w:rsid w:val="003F67F0"/>
    <w:rsid w:val="003F6EE8"/>
    <w:rsid w:val="003F6F6C"/>
    <w:rsid w:val="003F78D6"/>
    <w:rsid w:val="004010C8"/>
    <w:rsid w:val="0040119B"/>
    <w:rsid w:val="00401747"/>
    <w:rsid w:val="004028E1"/>
    <w:rsid w:val="00403763"/>
    <w:rsid w:val="00404A28"/>
    <w:rsid w:val="00404C71"/>
    <w:rsid w:val="004051E6"/>
    <w:rsid w:val="004051FB"/>
    <w:rsid w:val="00407ABA"/>
    <w:rsid w:val="00407BCA"/>
    <w:rsid w:val="00407D9B"/>
    <w:rsid w:val="00410514"/>
    <w:rsid w:val="004107C6"/>
    <w:rsid w:val="00411E10"/>
    <w:rsid w:val="00412035"/>
    <w:rsid w:val="00412213"/>
    <w:rsid w:val="00412741"/>
    <w:rsid w:val="00412CD7"/>
    <w:rsid w:val="004133A7"/>
    <w:rsid w:val="004136BB"/>
    <w:rsid w:val="00414332"/>
    <w:rsid w:val="004143C9"/>
    <w:rsid w:val="00414517"/>
    <w:rsid w:val="00414788"/>
    <w:rsid w:val="00414C02"/>
    <w:rsid w:val="0041574D"/>
    <w:rsid w:val="0041586B"/>
    <w:rsid w:val="00415FA4"/>
    <w:rsid w:val="0041696D"/>
    <w:rsid w:val="004202F1"/>
    <w:rsid w:val="00420312"/>
    <w:rsid w:val="00422ADA"/>
    <w:rsid w:val="0042307D"/>
    <w:rsid w:val="004234D8"/>
    <w:rsid w:val="00423A35"/>
    <w:rsid w:val="00424454"/>
    <w:rsid w:val="00424662"/>
    <w:rsid w:val="00424F7C"/>
    <w:rsid w:val="00425F7B"/>
    <w:rsid w:val="004265B9"/>
    <w:rsid w:val="0042706C"/>
    <w:rsid w:val="004270FC"/>
    <w:rsid w:val="00430753"/>
    <w:rsid w:val="004307FA"/>
    <w:rsid w:val="004309FF"/>
    <w:rsid w:val="0043187D"/>
    <w:rsid w:val="0043207B"/>
    <w:rsid w:val="0043256C"/>
    <w:rsid w:val="00432D12"/>
    <w:rsid w:val="00433600"/>
    <w:rsid w:val="00435382"/>
    <w:rsid w:val="00435740"/>
    <w:rsid w:val="004360E5"/>
    <w:rsid w:val="00436691"/>
    <w:rsid w:val="00436941"/>
    <w:rsid w:val="00436E19"/>
    <w:rsid w:val="0044199F"/>
    <w:rsid w:val="0044354C"/>
    <w:rsid w:val="00443664"/>
    <w:rsid w:val="004449E5"/>
    <w:rsid w:val="004451BC"/>
    <w:rsid w:val="00445899"/>
    <w:rsid w:val="004468F3"/>
    <w:rsid w:val="00447B76"/>
    <w:rsid w:val="00450DE8"/>
    <w:rsid w:val="00451116"/>
    <w:rsid w:val="00451207"/>
    <w:rsid w:val="00455AF0"/>
    <w:rsid w:val="00457037"/>
    <w:rsid w:val="00457B2A"/>
    <w:rsid w:val="00461BE1"/>
    <w:rsid w:val="00463D53"/>
    <w:rsid w:val="00463D85"/>
    <w:rsid w:val="004659B3"/>
    <w:rsid w:val="00467F22"/>
    <w:rsid w:val="00470994"/>
    <w:rsid w:val="00470BAA"/>
    <w:rsid w:val="0047296D"/>
    <w:rsid w:val="00472ADF"/>
    <w:rsid w:val="004736AE"/>
    <w:rsid w:val="004757B5"/>
    <w:rsid w:val="00475F11"/>
    <w:rsid w:val="0047667E"/>
    <w:rsid w:val="004775C7"/>
    <w:rsid w:val="00480124"/>
    <w:rsid w:val="00481126"/>
    <w:rsid w:val="00482E2C"/>
    <w:rsid w:val="00483037"/>
    <w:rsid w:val="0048447D"/>
    <w:rsid w:val="00484E5E"/>
    <w:rsid w:val="00485597"/>
    <w:rsid w:val="004858E6"/>
    <w:rsid w:val="00485EEA"/>
    <w:rsid w:val="0048634C"/>
    <w:rsid w:val="00486CC3"/>
    <w:rsid w:val="0048706E"/>
    <w:rsid w:val="004902D6"/>
    <w:rsid w:val="00491E19"/>
    <w:rsid w:val="00491FE1"/>
    <w:rsid w:val="00492019"/>
    <w:rsid w:val="00492B44"/>
    <w:rsid w:val="00492CC7"/>
    <w:rsid w:val="00492F6D"/>
    <w:rsid w:val="00493267"/>
    <w:rsid w:val="0049345C"/>
    <w:rsid w:val="00494154"/>
    <w:rsid w:val="00494867"/>
    <w:rsid w:val="00494C1C"/>
    <w:rsid w:val="00496CBD"/>
    <w:rsid w:val="004A0096"/>
    <w:rsid w:val="004A03FA"/>
    <w:rsid w:val="004A21AA"/>
    <w:rsid w:val="004A33E0"/>
    <w:rsid w:val="004A399F"/>
    <w:rsid w:val="004A4286"/>
    <w:rsid w:val="004A46C8"/>
    <w:rsid w:val="004A4C41"/>
    <w:rsid w:val="004A59CD"/>
    <w:rsid w:val="004A6C3F"/>
    <w:rsid w:val="004A6FFE"/>
    <w:rsid w:val="004B09E4"/>
    <w:rsid w:val="004B22F8"/>
    <w:rsid w:val="004B2A3E"/>
    <w:rsid w:val="004B354E"/>
    <w:rsid w:val="004B3AD1"/>
    <w:rsid w:val="004B3EF6"/>
    <w:rsid w:val="004B5047"/>
    <w:rsid w:val="004B61E9"/>
    <w:rsid w:val="004B6248"/>
    <w:rsid w:val="004B67A2"/>
    <w:rsid w:val="004B732E"/>
    <w:rsid w:val="004C05AB"/>
    <w:rsid w:val="004C1AEF"/>
    <w:rsid w:val="004C2D3B"/>
    <w:rsid w:val="004C31B5"/>
    <w:rsid w:val="004C3657"/>
    <w:rsid w:val="004C3FD0"/>
    <w:rsid w:val="004C478D"/>
    <w:rsid w:val="004C4F63"/>
    <w:rsid w:val="004C55A9"/>
    <w:rsid w:val="004C5AE6"/>
    <w:rsid w:val="004C5D6F"/>
    <w:rsid w:val="004C62A3"/>
    <w:rsid w:val="004C639A"/>
    <w:rsid w:val="004C7A3C"/>
    <w:rsid w:val="004D0D82"/>
    <w:rsid w:val="004D0E9D"/>
    <w:rsid w:val="004D12CC"/>
    <w:rsid w:val="004D1337"/>
    <w:rsid w:val="004D1FB3"/>
    <w:rsid w:val="004D3036"/>
    <w:rsid w:val="004D351F"/>
    <w:rsid w:val="004D46C8"/>
    <w:rsid w:val="004D499D"/>
    <w:rsid w:val="004D57E6"/>
    <w:rsid w:val="004D599F"/>
    <w:rsid w:val="004D6465"/>
    <w:rsid w:val="004D7495"/>
    <w:rsid w:val="004E2391"/>
    <w:rsid w:val="004E25DD"/>
    <w:rsid w:val="004E57DC"/>
    <w:rsid w:val="004E758C"/>
    <w:rsid w:val="004E7F7E"/>
    <w:rsid w:val="004F06AC"/>
    <w:rsid w:val="004F0C73"/>
    <w:rsid w:val="004F0F7D"/>
    <w:rsid w:val="004F14E3"/>
    <w:rsid w:val="004F2BF1"/>
    <w:rsid w:val="004F3080"/>
    <w:rsid w:val="004F3979"/>
    <w:rsid w:val="004F3A79"/>
    <w:rsid w:val="004F53B0"/>
    <w:rsid w:val="005001D8"/>
    <w:rsid w:val="00501236"/>
    <w:rsid w:val="0050180B"/>
    <w:rsid w:val="00503007"/>
    <w:rsid w:val="00503111"/>
    <w:rsid w:val="0050496E"/>
    <w:rsid w:val="00504D77"/>
    <w:rsid w:val="0050514F"/>
    <w:rsid w:val="0050533C"/>
    <w:rsid w:val="005056DD"/>
    <w:rsid w:val="00506213"/>
    <w:rsid w:val="0050784A"/>
    <w:rsid w:val="00507AC2"/>
    <w:rsid w:val="00510DFB"/>
    <w:rsid w:val="00511443"/>
    <w:rsid w:val="0051281A"/>
    <w:rsid w:val="00513327"/>
    <w:rsid w:val="005140B8"/>
    <w:rsid w:val="00516125"/>
    <w:rsid w:val="00517937"/>
    <w:rsid w:val="00520333"/>
    <w:rsid w:val="00521A30"/>
    <w:rsid w:val="005237D7"/>
    <w:rsid w:val="00525DCF"/>
    <w:rsid w:val="00527212"/>
    <w:rsid w:val="005300DE"/>
    <w:rsid w:val="005316F7"/>
    <w:rsid w:val="00531E14"/>
    <w:rsid w:val="005337C9"/>
    <w:rsid w:val="00533C6A"/>
    <w:rsid w:val="00533CFF"/>
    <w:rsid w:val="00534E98"/>
    <w:rsid w:val="00535BA0"/>
    <w:rsid w:val="00535FC2"/>
    <w:rsid w:val="005368E6"/>
    <w:rsid w:val="00536996"/>
    <w:rsid w:val="005376C4"/>
    <w:rsid w:val="005409F1"/>
    <w:rsid w:val="005414E5"/>
    <w:rsid w:val="00541816"/>
    <w:rsid w:val="005431F0"/>
    <w:rsid w:val="00547F9B"/>
    <w:rsid w:val="00550C83"/>
    <w:rsid w:val="00550D0A"/>
    <w:rsid w:val="005522B6"/>
    <w:rsid w:val="005528B1"/>
    <w:rsid w:val="0055342F"/>
    <w:rsid w:val="00553606"/>
    <w:rsid w:val="00554F23"/>
    <w:rsid w:val="00555950"/>
    <w:rsid w:val="00556858"/>
    <w:rsid w:val="005568DA"/>
    <w:rsid w:val="005571EC"/>
    <w:rsid w:val="005574B2"/>
    <w:rsid w:val="00557684"/>
    <w:rsid w:val="00560456"/>
    <w:rsid w:val="00561C2D"/>
    <w:rsid w:val="00562323"/>
    <w:rsid w:val="005626CF"/>
    <w:rsid w:val="00562E15"/>
    <w:rsid w:val="00563DF3"/>
    <w:rsid w:val="00563EE8"/>
    <w:rsid w:val="0056467F"/>
    <w:rsid w:val="0056568A"/>
    <w:rsid w:val="00565E0D"/>
    <w:rsid w:val="00565E76"/>
    <w:rsid w:val="00571592"/>
    <w:rsid w:val="00571633"/>
    <w:rsid w:val="00572BFF"/>
    <w:rsid w:val="005745C6"/>
    <w:rsid w:val="00574B59"/>
    <w:rsid w:val="00575267"/>
    <w:rsid w:val="00575C84"/>
    <w:rsid w:val="00576264"/>
    <w:rsid w:val="00576AB6"/>
    <w:rsid w:val="00581012"/>
    <w:rsid w:val="005816CB"/>
    <w:rsid w:val="00581744"/>
    <w:rsid w:val="00583D85"/>
    <w:rsid w:val="00586157"/>
    <w:rsid w:val="0058717C"/>
    <w:rsid w:val="0058734A"/>
    <w:rsid w:val="00587427"/>
    <w:rsid w:val="00587522"/>
    <w:rsid w:val="00587FF9"/>
    <w:rsid w:val="005900FE"/>
    <w:rsid w:val="00590631"/>
    <w:rsid w:val="00590AA2"/>
    <w:rsid w:val="00590CA3"/>
    <w:rsid w:val="00591B2D"/>
    <w:rsid w:val="00591B61"/>
    <w:rsid w:val="00591D28"/>
    <w:rsid w:val="00592F37"/>
    <w:rsid w:val="00593655"/>
    <w:rsid w:val="00594F8A"/>
    <w:rsid w:val="005950C6"/>
    <w:rsid w:val="005951AD"/>
    <w:rsid w:val="00595302"/>
    <w:rsid w:val="005961F2"/>
    <w:rsid w:val="0059652E"/>
    <w:rsid w:val="00597994"/>
    <w:rsid w:val="00597F91"/>
    <w:rsid w:val="005A0479"/>
    <w:rsid w:val="005A0A0B"/>
    <w:rsid w:val="005A1CDD"/>
    <w:rsid w:val="005A2901"/>
    <w:rsid w:val="005A4F32"/>
    <w:rsid w:val="005A60FD"/>
    <w:rsid w:val="005A74C1"/>
    <w:rsid w:val="005A7DC0"/>
    <w:rsid w:val="005B02A3"/>
    <w:rsid w:val="005B0488"/>
    <w:rsid w:val="005B064C"/>
    <w:rsid w:val="005B0B0B"/>
    <w:rsid w:val="005B3EC6"/>
    <w:rsid w:val="005B4733"/>
    <w:rsid w:val="005B4E77"/>
    <w:rsid w:val="005B5DF9"/>
    <w:rsid w:val="005B6AD1"/>
    <w:rsid w:val="005B6CEB"/>
    <w:rsid w:val="005B7F3C"/>
    <w:rsid w:val="005C1127"/>
    <w:rsid w:val="005C1AE3"/>
    <w:rsid w:val="005C1DF6"/>
    <w:rsid w:val="005C1DFF"/>
    <w:rsid w:val="005C2994"/>
    <w:rsid w:val="005C2F08"/>
    <w:rsid w:val="005C3E36"/>
    <w:rsid w:val="005C4FF7"/>
    <w:rsid w:val="005C5268"/>
    <w:rsid w:val="005C5461"/>
    <w:rsid w:val="005C5571"/>
    <w:rsid w:val="005C63CF"/>
    <w:rsid w:val="005C6655"/>
    <w:rsid w:val="005C7472"/>
    <w:rsid w:val="005C7618"/>
    <w:rsid w:val="005D15C2"/>
    <w:rsid w:val="005D1890"/>
    <w:rsid w:val="005D3401"/>
    <w:rsid w:val="005D419A"/>
    <w:rsid w:val="005D4BA5"/>
    <w:rsid w:val="005D611F"/>
    <w:rsid w:val="005D6C07"/>
    <w:rsid w:val="005D6F0D"/>
    <w:rsid w:val="005D7826"/>
    <w:rsid w:val="005E2665"/>
    <w:rsid w:val="005E3C77"/>
    <w:rsid w:val="005E533E"/>
    <w:rsid w:val="005E5E4C"/>
    <w:rsid w:val="005E5E6D"/>
    <w:rsid w:val="005E6EDC"/>
    <w:rsid w:val="005F087E"/>
    <w:rsid w:val="005F0925"/>
    <w:rsid w:val="005F0F9C"/>
    <w:rsid w:val="005F1059"/>
    <w:rsid w:val="005F169E"/>
    <w:rsid w:val="005F2064"/>
    <w:rsid w:val="005F2CC6"/>
    <w:rsid w:val="005F5EFC"/>
    <w:rsid w:val="005F681B"/>
    <w:rsid w:val="005F6C06"/>
    <w:rsid w:val="00600665"/>
    <w:rsid w:val="006023C3"/>
    <w:rsid w:val="00602DCC"/>
    <w:rsid w:val="006034B1"/>
    <w:rsid w:val="00606D5C"/>
    <w:rsid w:val="00607317"/>
    <w:rsid w:val="0060738B"/>
    <w:rsid w:val="00607659"/>
    <w:rsid w:val="00607879"/>
    <w:rsid w:val="0061120D"/>
    <w:rsid w:val="0061265E"/>
    <w:rsid w:val="006133EB"/>
    <w:rsid w:val="00613CE2"/>
    <w:rsid w:val="00614D39"/>
    <w:rsid w:val="0061518E"/>
    <w:rsid w:val="00616A8B"/>
    <w:rsid w:val="00620970"/>
    <w:rsid w:val="00620E4E"/>
    <w:rsid w:val="00623AFE"/>
    <w:rsid w:val="00626001"/>
    <w:rsid w:val="00626AC0"/>
    <w:rsid w:val="00634501"/>
    <w:rsid w:val="0063638B"/>
    <w:rsid w:val="00636711"/>
    <w:rsid w:val="00640019"/>
    <w:rsid w:val="00640120"/>
    <w:rsid w:val="00641CCB"/>
    <w:rsid w:val="0064218F"/>
    <w:rsid w:val="0064365C"/>
    <w:rsid w:val="00646D29"/>
    <w:rsid w:val="0064780C"/>
    <w:rsid w:val="0065105D"/>
    <w:rsid w:val="0065295B"/>
    <w:rsid w:val="00652E0B"/>
    <w:rsid w:val="0065307E"/>
    <w:rsid w:val="00653DB5"/>
    <w:rsid w:val="006563C5"/>
    <w:rsid w:val="0065707C"/>
    <w:rsid w:val="0065708B"/>
    <w:rsid w:val="006635CC"/>
    <w:rsid w:val="00663A54"/>
    <w:rsid w:val="0066630B"/>
    <w:rsid w:val="00666DF0"/>
    <w:rsid w:val="006678C6"/>
    <w:rsid w:val="00667964"/>
    <w:rsid w:val="00667F6C"/>
    <w:rsid w:val="00667FF8"/>
    <w:rsid w:val="00670087"/>
    <w:rsid w:val="006716C2"/>
    <w:rsid w:val="00671CEE"/>
    <w:rsid w:val="0067368D"/>
    <w:rsid w:val="00674206"/>
    <w:rsid w:val="00677B61"/>
    <w:rsid w:val="006842CE"/>
    <w:rsid w:val="006847B7"/>
    <w:rsid w:val="00686427"/>
    <w:rsid w:val="00690527"/>
    <w:rsid w:val="006914BD"/>
    <w:rsid w:val="00691C60"/>
    <w:rsid w:val="00691D2D"/>
    <w:rsid w:val="00692553"/>
    <w:rsid w:val="006925C9"/>
    <w:rsid w:val="00693430"/>
    <w:rsid w:val="006940FB"/>
    <w:rsid w:val="00695CE8"/>
    <w:rsid w:val="0069624C"/>
    <w:rsid w:val="00696CCC"/>
    <w:rsid w:val="006970ED"/>
    <w:rsid w:val="006A08A7"/>
    <w:rsid w:val="006A4B29"/>
    <w:rsid w:val="006A4DD4"/>
    <w:rsid w:val="006A5A84"/>
    <w:rsid w:val="006A5BEF"/>
    <w:rsid w:val="006A6525"/>
    <w:rsid w:val="006A688B"/>
    <w:rsid w:val="006A79D9"/>
    <w:rsid w:val="006B13CD"/>
    <w:rsid w:val="006B1965"/>
    <w:rsid w:val="006B1B6C"/>
    <w:rsid w:val="006B1FD9"/>
    <w:rsid w:val="006B3DFB"/>
    <w:rsid w:val="006B42C8"/>
    <w:rsid w:val="006B4A90"/>
    <w:rsid w:val="006B55D3"/>
    <w:rsid w:val="006B6C7A"/>
    <w:rsid w:val="006C1302"/>
    <w:rsid w:val="006C2ED7"/>
    <w:rsid w:val="006C3733"/>
    <w:rsid w:val="006C3B83"/>
    <w:rsid w:val="006C3EA9"/>
    <w:rsid w:val="006C44B0"/>
    <w:rsid w:val="006C56A7"/>
    <w:rsid w:val="006C587A"/>
    <w:rsid w:val="006C5E4E"/>
    <w:rsid w:val="006C63FD"/>
    <w:rsid w:val="006C6C3D"/>
    <w:rsid w:val="006C751F"/>
    <w:rsid w:val="006D00DA"/>
    <w:rsid w:val="006D1F74"/>
    <w:rsid w:val="006D6C3B"/>
    <w:rsid w:val="006D6C5E"/>
    <w:rsid w:val="006D78CE"/>
    <w:rsid w:val="006D7D79"/>
    <w:rsid w:val="006E0B93"/>
    <w:rsid w:val="006E109A"/>
    <w:rsid w:val="006E1936"/>
    <w:rsid w:val="006E195B"/>
    <w:rsid w:val="006E2808"/>
    <w:rsid w:val="006E29C5"/>
    <w:rsid w:val="006E2B89"/>
    <w:rsid w:val="006E332D"/>
    <w:rsid w:val="006E412A"/>
    <w:rsid w:val="006E4889"/>
    <w:rsid w:val="006E5905"/>
    <w:rsid w:val="006E6647"/>
    <w:rsid w:val="006E6A57"/>
    <w:rsid w:val="006E7141"/>
    <w:rsid w:val="006E7710"/>
    <w:rsid w:val="006E7830"/>
    <w:rsid w:val="006F0D97"/>
    <w:rsid w:val="006F0F49"/>
    <w:rsid w:val="006F1611"/>
    <w:rsid w:val="006F1994"/>
    <w:rsid w:val="006F2A3B"/>
    <w:rsid w:val="006F3957"/>
    <w:rsid w:val="006F4167"/>
    <w:rsid w:val="006F493E"/>
    <w:rsid w:val="006F5B9E"/>
    <w:rsid w:val="006F743C"/>
    <w:rsid w:val="00700467"/>
    <w:rsid w:val="007067E1"/>
    <w:rsid w:val="00707D8E"/>
    <w:rsid w:val="00707F3E"/>
    <w:rsid w:val="00710CAF"/>
    <w:rsid w:val="00710CE8"/>
    <w:rsid w:val="00710EC2"/>
    <w:rsid w:val="00712A13"/>
    <w:rsid w:val="00712E53"/>
    <w:rsid w:val="00713C45"/>
    <w:rsid w:val="00716BD0"/>
    <w:rsid w:val="007208EF"/>
    <w:rsid w:val="00720E11"/>
    <w:rsid w:val="00721805"/>
    <w:rsid w:val="007223B5"/>
    <w:rsid w:val="00727A98"/>
    <w:rsid w:val="00727F12"/>
    <w:rsid w:val="007301FB"/>
    <w:rsid w:val="007305B7"/>
    <w:rsid w:val="00732094"/>
    <w:rsid w:val="00733381"/>
    <w:rsid w:val="0073396C"/>
    <w:rsid w:val="00733D49"/>
    <w:rsid w:val="00734A03"/>
    <w:rsid w:val="0073569C"/>
    <w:rsid w:val="007356EB"/>
    <w:rsid w:val="007372A5"/>
    <w:rsid w:val="0073744E"/>
    <w:rsid w:val="00737925"/>
    <w:rsid w:val="00741232"/>
    <w:rsid w:val="00742ECB"/>
    <w:rsid w:val="00744691"/>
    <w:rsid w:val="00744BEF"/>
    <w:rsid w:val="0074697B"/>
    <w:rsid w:val="007478E1"/>
    <w:rsid w:val="007504AC"/>
    <w:rsid w:val="007517FC"/>
    <w:rsid w:val="00752501"/>
    <w:rsid w:val="00752A24"/>
    <w:rsid w:val="00755F92"/>
    <w:rsid w:val="0075625B"/>
    <w:rsid w:val="0075677A"/>
    <w:rsid w:val="00757437"/>
    <w:rsid w:val="00760283"/>
    <w:rsid w:val="007606F8"/>
    <w:rsid w:val="00760BC2"/>
    <w:rsid w:val="00763785"/>
    <w:rsid w:val="00764E9B"/>
    <w:rsid w:val="0076545F"/>
    <w:rsid w:val="00765755"/>
    <w:rsid w:val="00766062"/>
    <w:rsid w:val="007660F2"/>
    <w:rsid w:val="00766B8D"/>
    <w:rsid w:val="007706C2"/>
    <w:rsid w:val="00773C55"/>
    <w:rsid w:val="0077434F"/>
    <w:rsid w:val="0077647E"/>
    <w:rsid w:val="00776D6F"/>
    <w:rsid w:val="00776DB4"/>
    <w:rsid w:val="00777388"/>
    <w:rsid w:val="00777B3A"/>
    <w:rsid w:val="007803FD"/>
    <w:rsid w:val="00782F96"/>
    <w:rsid w:val="00784423"/>
    <w:rsid w:val="00784BBC"/>
    <w:rsid w:val="0078602D"/>
    <w:rsid w:val="00786243"/>
    <w:rsid w:val="0078713E"/>
    <w:rsid w:val="00787FEB"/>
    <w:rsid w:val="00790627"/>
    <w:rsid w:val="0079069F"/>
    <w:rsid w:val="007915F5"/>
    <w:rsid w:val="00791B0F"/>
    <w:rsid w:val="007928B5"/>
    <w:rsid w:val="007948C4"/>
    <w:rsid w:val="0079557F"/>
    <w:rsid w:val="00795CDA"/>
    <w:rsid w:val="007A14F2"/>
    <w:rsid w:val="007A1D4E"/>
    <w:rsid w:val="007A2595"/>
    <w:rsid w:val="007A3C10"/>
    <w:rsid w:val="007A3FB9"/>
    <w:rsid w:val="007A4A9C"/>
    <w:rsid w:val="007B0389"/>
    <w:rsid w:val="007B27B7"/>
    <w:rsid w:val="007B3DCE"/>
    <w:rsid w:val="007B49C1"/>
    <w:rsid w:val="007B4EC5"/>
    <w:rsid w:val="007B59CC"/>
    <w:rsid w:val="007B5D95"/>
    <w:rsid w:val="007B6E08"/>
    <w:rsid w:val="007B71FE"/>
    <w:rsid w:val="007C00AF"/>
    <w:rsid w:val="007C17BD"/>
    <w:rsid w:val="007C1998"/>
    <w:rsid w:val="007C1A1A"/>
    <w:rsid w:val="007C2FE9"/>
    <w:rsid w:val="007C353D"/>
    <w:rsid w:val="007C35AE"/>
    <w:rsid w:val="007C3616"/>
    <w:rsid w:val="007C3E29"/>
    <w:rsid w:val="007C4815"/>
    <w:rsid w:val="007C4D33"/>
    <w:rsid w:val="007C5376"/>
    <w:rsid w:val="007C5655"/>
    <w:rsid w:val="007C5C9C"/>
    <w:rsid w:val="007C5EFD"/>
    <w:rsid w:val="007C5FD6"/>
    <w:rsid w:val="007C7206"/>
    <w:rsid w:val="007C792B"/>
    <w:rsid w:val="007C79C3"/>
    <w:rsid w:val="007D0730"/>
    <w:rsid w:val="007D0F05"/>
    <w:rsid w:val="007D17B8"/>
    <w:rsid w:val="007D4DAA"/>
    <w:rsid w:val="007D5E48"/>
    <w:rsid w:val="007E0027"/>
    <w:rsid w:val="007E2D38"/>
    <w:rsid w:val="007E397F"/>
    <w:rsid w:val="007E4773"/>
    <w:rsid w:val="007E5424"/>
    <w:rsid w:val="007E5627"/>
    <w:rsid w:val="007E64B6"/>
    <w:rsid w:val="007E7707"/>
    <w:rsid w:val="007F04FF"/>
    <w:rsid w:val="007F14B4"/>
    <w:rsid w:val="007F3261"/>
    <w:rsid w:val="007F3D3C"/>
    <w:rsid w:val="007F403F"/>
    <w:rsid w:val="007F48CD"/>
    <w:rsid w:val="007F4C1E"/>
    <w:rsid w:val="007F65FC"/>
    <w:rsid w:val="007F687C"/>
    <w:rsid w:val="00800BA1"/>
    <w:rsid w:val="00801A57"/>
    <w:rsid w:val="008022AA"/>
    <w:rsid w:val="00802647"/>
    <w:rsid w:val="00803C23"/>
    <w:rsid w:val="00804268"/>
    <w:rsid w:val="00806A7E"/>
    <w:rsid w:val="00807054"/>
    <w:rsid w:val="008070A0"/>
    <w:rsid w:val="0080749A"/>
    <w:rsid w:val="00807A25"/>
    <w:rsid w:val="00807DBD"/>
    <w:rsid w:val="00811019"/>
    <w:rsid w:val="008125EB"/>
    <w:rsid w:val="00813502"/>
    <w:rsid w:val="00813B58"/>
    <w:rsid w:val="008147F9"/>
    <w:rsid w:val="008154DC"/>
    <w:rsid w:val="00815908"/>
    <w:rsid w:val="0081740E"/>
    <w:rsid w:val="008238B0"/>
    <w:rsid w:val="008241CD"/>
    <w:rsid w:val="00825628"/>
    <w:rsid w:val="008329B6"/>
    <w:rsid w:val="008332EB"/>
    <w:rsid w:val="008341B4"/>
    <w:rsid w:val="0083442E"/>
    <w:rsid w:val="008355EF"/>
    <w:rsid w:val="00836698"/>
    <w:rsid w:val="0083720B"/>
    <w:rsid w:val="00837B25"/>
    <w:rsid w:val="00840096"/>
    <w:rsid w:val="008418F8"/>
    <w:rsid w:val="008422E6"/>
    <w:rsid w:val="0084317A"/>
    <w:rsid w:val="008437BA"/>
    <w:rsid w:val="008464A8"/>
    <w:rsid w:val="008470C8"/>
    <w:rsid w:val="0084748A"/>
    <w:rsid w:val="00847597"/>
    <w:rsid w:val="00850F93"/>
    <w:rsid w:val="008511A5"/>
    <w:rsid w:val="00851D92"/>
    <w:rsid w:val="00854E0C"/>
    <w:rsid w:val="00856318"/>
    <w:rsid w:val="008564F7"/>
    <w:rsid w:val="008566C1"/>
    <w:rsid w:val="00857E16"/>
    <w:rsid w:val="00860044"/>
    <w:rsid w:val="00860BAF"/>
    <w:rsid w:val="00862582"/>
    <w:rsid w:val="008625C4"/>
    <w:rsid w:val="00863637"/>
    <w:rsid w:val="008655CF"/>
    <w:rsid w:val="008668CD"/>
    <w:rsid w:val="008710A8"/>
    <w:rsid w:val="00871E08"/>
    <w:rsid w:val="008734A2"/>
    <w:rsid w:val="00873B6C"/>
    <w:rsid w:val="008748CE"/>
    <w:rsid w:val="008756E3"/>
    <w:rsid w:val="008757EE"/>
    <w:rsid w:val="00875E1D"/>
    <w:rsid w:val="008762E8"/>
    <w:rsid w:val="0087636F"/>
    <w:rsid w:val="00876A79"/>
    <w:rsid w:val="00877D76"/>
    <w:rsid w:val="0088019A"/>
    <w:rsid w:val="008801CA"/>
    <w:rsid w:val="0088259C"/>
    <w:rsid w:val="00882DFC"/>
    <w:rsid w:val="00883838"/>
    <w:rsid w:val="00883CC8"/>
    <w:rsid w:val="00884036"/>
    <w:rsid w:val="008840B2"/>
    <w:rsid w:val="0088508A"/>
    <w:rsid w:val="00885B3C"/>
    <w:rsid w:val="0088664E"/>
    <w:rsid w:val="00887157"/>
    <w:rsid w:val="008879C1"/>
    <w:rsid w:val="008928BF"/>
    <w:rsid w:val="008939C9"/>
    <w:rsid w:val="00893B6A"/>
    <w:rsid w:val="00893B9A"/>
    <w:rsid w:val="00896EB5"/>
    <w:rsid w:val="00897FA8"/>
    <w:rsid w:val="008A063B"/>
    <w:rsid w:val="008A176C"/>
    <w:rsid w:val="008A23B8"/>
    <w:rsid w:val="008A2A07"/>
    <w:rsid w:val="008A2A7E"/>
    <w:rsid w:val="008A2B46"/>
    <w:rsid w:val="008A303A"/>
    <w:rsid w:val="008A34AA"/>
    <w:rsid w:val="008A3635"/>
    <w:rsid w:val="008A4041"/>
    <w:rsid w:val="008A5C56"/>
    <w:rsid w:val="008A7E05"/>
    <w:rsid w:val="008B070F"/>
    <w:rsid w:val="008B14E6"/>
    <w:rsid w:val="008B2F2E"/>
    <w:rsid w:val="008B3512"/>
    <w:rsid w:val="008B3FEA"/>
    <w:rsid w:val="008B5F18"/>
    <w:rsid w:val="008B6683"/>
    <w:rsid w:val="008B7136"/>
    <w:rsid w:val="008B76A0"/>
    <w:rsid w:val="008B76BC"/>
    <w:rsid w:val="008C1AF4"/>
    <w:rsid w:val="008C274E"/>
    <w:rsid w:val="008C2860"/>
    <w:rsid w:val="008C3DFB"/>
    <w:rsid w:val="008C4C2B"/>
    <w:rsid w:val="008C56F4"/>
    <w:rsid w:val="008C5A16"/>
    <w:rsid w:val="008C652E"/>
    <w:rsid w:val="008C65ED"/>
    <w:rsid w:val="008C79A0"/>
    <w:rsid w:val="008C7AB1"/>
    <w:rsid w:val="008D0C9C"/>
    <w:rsid w:val="008D1389"/>
    <w:rsid w:val="008D31B6"/>
    <w:rsid w:val="008D393E"/>
    <w:rsid w:val="008D5DDD"/>
    <w:rsid w:val="008D6836"/>
    <w:rsid w:val="008D75B7"/>
    <w:rsid w:val="008D75C5"/>
    <w:rsid w:val="008E073F"/>
    <w:rsid w:val="008E080E"/>
    <w:rsid w:val="008E1146"/>
    <w:rsid w:val="008E35D0"/>
    <w:rsid w:val="008E37EF"/>
    <w:rsid w:val="008E53E8"/>
    <w:rsid w:val="008E55E3"/>
    <w:rsid w:val="008E61EF"/>
    <w:rsid w:val="008E6E10"/>
    <w:rsid w:val="008E7386"/>
    <w:rsid w:val="008E74EE"/>
    <w:rsid w:val="008F201D"/>
    <w:rsid w:val="008F2F7A"/>
    <w:rsid w:val="008F2FBF"/>
    <w:rsid w:val="008F3E58"/>
    <w:rsid w:val="008F6072"/>
    <w:rsid w:val="008F735D"/>
    <w:rsid w:val="008F752B"/>
    <w:rsid w:val="008F7695"/>
    <w:rsid w:val="009030DA"/>
    <w:rsid w:val="00903128"/>
    <w:rsid w:val="00903DFC"/>
    <w:rsid w:val="0090445D"/>
    <w:rsid w:val="009058AF"/>
    <w:rsid w:val="0090610A"/>
    <w:rsid w:val="00906132"/>
    <w:rsid w:val="00907C99"/>
    <w:rsid w:val="00907ED0"/>
    <w:rsid w:val="009102C7"/>
    <w:rsid w:val="00911F06"/>
    <w:rsid w:val="00911FFA"/>
    <w:rsid w:val="00912C86"/>
    <w:rsid w:val="0091376F"/>
    <w:rsid w:val="00913C89"/>
    <w:rsid w:val="00913EDA"/>
    <w:rsid w:val="009203B5"/>
    <w:rsid w:val="00921675"/>
    <w:rsid w:val="00922113"/>
    <w:rsid w:val="009232BF"/>
    <w:rsid w:val="00924A01"/>
    <w:rsid w:val="00924BA1"/>
    <w:rsid w:val="00925C64"/>
    <w:rsid w:val="00925E2F"/>
    <w:rsid w:val="009264B4"/>
    <w:rsid w:val="009268AF"/>
    <w:rsid w:val="009273B6"/>
    <w:rsid w:val="00927746"/>
    <w:rsid w:val="009304A0"/>
    <w:rsid w:val="00930B72"/>
    <w:rsid w:val="0093160D"/>
    <w:rsid w:val="00931ABF"/>
    <w:rsid w:val="00934455"/>
    <w:rsid w:val="0093489D"/>
    <w:rsid w:val="00935526"/>
    <w:rsid w:val="00935F0E"/>
    <w:rsid w:val="00937130"/>
    <w:rsid w:val="00937FDF"/>
    <w:rsid w:val="009400F4"/>
    <w:rsid w:val="00941123"/>
    <w:rsid w:val="00942951"/>
    <w:rsid w:val="009431B6"/>
    <w:rsid w:val="009444BB"/>
    <w:rsid w:val="00944AEE"/>
    <w:rsid w:val="00946660"/>
    <w:rsid w:val="0094745C"/>
    <w:rsid w:val="00947737"/>
    <w:rsid w:val="009506B7"/>
    <w:rsid w:val="009511EE"/>
    <w:rsid w:val="00951E3E"/>
    <w:rsid w:val="009524B6"/>
    <w:rsid w:val="009528A9"/>
    <w:rsid w:val="00953610"/>
    <w:rsid w:val="00956455"/>
    <w:rsid w:val="00961D4C"/>
    <w:rsid w:val="00963474"/>
    <w:rsid w:val="0096430A"/>
    <w:rsid w:val="00964B77"/>
    <w:rsid w:val="00964F5D"/>
    <w:rsid w:val="00965125"/>
    <w:rsid w:val="009658E2"/>
    <w:rsid w:val="009659E1"/>
    <w:rsid w:val="00966B8F"/>
    <w:rsid w:val="00970B42"/>
    <w:rsid w:val="00972BA7"/>
    <w:rsid w:val="00973D46"/>
    <w:rsid w:val="0097486C"/>
    <w:rsid w:val="0097536A"/>
    <w:rsid w:val="009753F0"/>
    <w:rsid w:val="009754FA"/>
    <w:rsid w:val="00976C32"/>
    <w:rsid w:val="00976E5E"/>
    <w:rsid w:val="00980A1A"/>
    <w:rsid w:val="00980FC4"/>
    <w:rsid w:val="00981298"/>
    <w:rsid w:val="00981636"/>
    <w:rsid w:val="00983315"/>
    <w:rsid w:val="0098331A"/>
    <w:rsid w:val="00983C6E"/>
    <w:rsid w:val="00984024"/>
    <w:rsid w:val="00985C2D"/>
    <w:rsid w:val="009866BA"/>
    <w:rsid w:val="009875C3"/>
    <w:rsid w:val="00990476"/>
    <w:rsid w:val="0099069C"/>
    <w:rsid w:val="00991707"/>
    <w:rsid w:val="009917A6"/>
    <w:rsid w:val="009925EF"/>
    <w:rsid w:val="0099384A"/>
    <w:rsid w:val="0099518D"/>
    <w:rsid w:val="00995BCA"/>
    <w:rsid w:val="00995F7A"/>
    <w:rsid w:val="009962C7"/>
    <w:rsid w:val="009973BF"/>
    <w:rsid w:val="00997542"/>
    <w:rsid w:val="0099763E"/>
    <w:rsid w:val="009A09A0"/>
    <w:rsid w:val="009A1057"/>
    <w:rsid w:val="009A2319"/>
    <w:rsid w:val="009A30C3"/>
    <w:rsid w:val="009A3C25"/>
    <w:rsid w:val="009A4C1F"/>
    <w:rsid w:val="009A5011"/>
    <w:rsid w:val="009A5E76"/>
    <w:rsid w:val="009B025A"/>
    <w:rsid w:val="009B084E"/>
    <w:rsid w:val="009B2400"/>
    <w:rsid w:val="009B3D2D"/>
    <w:rsid w:val="009B3E79"/>
    <w:rsid w:val="009B4780"/>
    <w:rsid w:val="009B48FA"/>
    <w:rsid w:val="009B7E31"/>
    <w:rsid w:val="009B7F22"/>
    <w:rsid w:val="009C0686"/>
    <w:rsid w:val="009C3714"/>
    <w:rsid w:val="009C5CAB"/>
    <w:rsid w:val="009C60CD"/>
    <w:rsid w:val="009C73C3"/>
    <w:rsid w:val="009C752F"/>
    <w:rsid w:val="009C7C71"/>
    <w:rsid w:val="009D0343"/>
    <w:rsid w:val="009D0E56"/>
    <w:rsid w:val="009D1B9C"/>
    <w:rsid w:val="009D2394"/>
    <w:rsid w:val="009D39BA"/>
    <w:rsid w:val="009D47C7"/>
    <w:rsid w:val="009D47EC"/>
    <w:rsid w:val="009D7302"/>
    <w:rsid w:val="009E1895"/>
    <w:rsid w:val="009E1A92"/>
    <w:rsid w:val="009E1D40"/>
    <w:rsid w:val="009E3E69"/>
    <w:rsid w:val="009E428A"/>
    <w:rsid w:val="009E43E6"/>
    <w:rsid w:val="009E5F78"/>
    <w:rsid w:val="009E6515"/>
    <w:rsid w:val="009F02EE"/>
    <w:rsid w:val="009F03F2"/>
    <w:rsid w:val="009F10DF"/>
    <w:rsid w:val="009F156B"/>
    <w:rsid w:val="009F23E7"/>
    <w:rsid w:val="009F289C"/>
    <w:rsid w:val="009F4129"/>
    <w:rsid w:val="009F4655"/>
    <w:rsid w:val="009F6C8A"/>
    <w:rsid w:val="009F7024"/>
    <w:rsid w:val="009F74DA"/>
    <w:rsid w:val="00A01531"/>
    <w:rsid w:val="00A022BB"/>
    <w:rsid w:val="00A024BE"/>
    <w:rsid w:val="00A02B8C"/>
    <w:rsid w:val="00A031A6"/>
    <w:rsid w:val="00A03445"/>
    <w:rsid w:val="00A0478C"/>
    <w:rsid w:val="00A04A41"/>
    <w:rsid w:val="00A04D18"/>
    <w:rsid w:val="00A065E5"/>
    <w:rsid w:val="00A0704D"/>
    <w:rsid w:val="00A07F0E"/>
    <w:rsid w:val="00A127A9"/>
    <w:rsid w:val="00A12BD0"/>
    <w:rsid w:val="00A13363"/>
    <w:rsid w:val="00A15226"/>
    <w:rsid w:val="00A164A3"/>
    <w:rsid w:val="00A17160"/>
    <w:rsid w:val="00A2068C"/>
    <w:rsid w:val="00A20C4C"/>
    <w:rsid w:val="00A22448"/>
    <w:rsid w:val="00A23D54"/>
    <w:rsid w:val="00A251D8"/>
    <w:rsid w:val="00A25ABE"/>
    <w:rsid w:val="00A26994"/>
    <w:rsid w:val="00A26FBD"/>
    <w:rsid w:val="00A27071"/>
    <w:rsid w:val="00A315E1"/>
    <w:rsid w:val="00A32997"/>
    <w:rsid w:val="00A33AD6"/>
    <w:rsid w:val="00A342F9"/>
    <w:rsid w:val="00A3480B"/>
    <w:rsid w:val="00A3532C"/>
    <w:rsid w:val="00A355E8"/>
    <w:rsid w:val="00A35A7E"/>
    <w:rsid w:val="00A35BEF"/>
    <w:rsid w:val="00A35D95"/>
    <w:rsid w:val="00A36D22"/>
    <w:rsid w:val="00A36EE0"/>
    <w:rsid w:val="00A3754C"/>
    <w:rsid w:val="00A37B00"/>
    <w:rsid w:val="00A40CBF"/>
    <w:rsid w:val="00A41B78"/>
    <w:rsid w:val="00A45214"/>
    <w:rsid w:val="00A45271"/>
    <w:rsid w:val="00A45A10"/>
    <w:rsid w:val="00A45DAB"/>
    <w:rsid w:val="00A465F2"/>
    <w:rsid w:val="00A46B30"/>
    <w:rsid w:val="00A500B1"/>
    <w:rsid w:val="00A501FF"/>
    <w:rsid w:val="00A51486"/>
    <w:rsid w:val="00A5150B"/>
    <w:rsid w:val="00A51C16"/>
    <w:rsid w:val="00A54942"/>
    <w:rsid w:val="00A5601D"/>
    <w:rsid w:val="00A647B0"/>
    <w:rsid w:val="00A648FC"/>
    <w:rsid w:val="00A65E51"/>
    <w:rsid w:val="00A66644"/>
    <w:rsid w:val="00A668F9"/>
    <w:rsid w:val="00A67272"/>
    <w:rsid w:val="00A70267"/>
    <w:rsid w:val="00A71646"/>
    <w:rsid w:val="00A7200D"/>
    <w:rsid w:val="00A72532"/>
    <w:rsid w:val="00A72CB1"/>
    <w:rsid w:val="00A737BF"/>
    <w:rsid w:val="00A7617F"/>
    <w:rsid w:val="00A809C4"/>
    <w:rsid w:val="00A80A8F"/>
    <w:rsid w:val="00A818E8"/>
    <w:rsid w:val="00A82509"/>
    <w:rsid w:val="00A82D4B"/>
    <w:rsid w:val="00A82DB6"/>
    <w:rsid w:val="00A859CB"/>
    <w:rsid w:val="00A90252"/>
    <w:rsid w:val="00A909E6"/>
    <w:rsid w:val="00A90B78"/>
    <w:rsid w:val="00A90D55"/>
    <w:rsid w:val="00A911F1"/>
    <w:rsid w:val="00A91B3C"/>
    <w:rsid w:val="00A91B77"/>
    <w:rsid w:val="00A92858"/>
    <w:rsid w:val="00A92B77"/>
    <w:rsid w:val="00AA24B2"/>
    <w:rsid w:val="00AA3918"/>
    <w:rsid w:val="00AA3975"/>
    <w:rsid w:val="00AA4E00"/>
    <w:rsid w:val="00AA5741"/>
    <w:rsid w:val="00AA5C14"/>
    <w:rsid w:val="00AA7900"/>
    <w:rsid w:val="00AA79EA"/>
    <w:rsid w:val="00AB075B"/>
    <w:rsid w:val="00AB0B50"/>
    <w:rsid w:val="00AB0CEE"/>
    <w:rsid w:val="00AB17CC"/>
    <w:rsid w:val="00AB37D1"/>
    <w:rsid w:val="00AB415A"/>
    <w:rsid w:val="00AB4673"/>
    <w:rsid w:val="00AB5605"/>
    <w:rsid w:val="00AB562F"/>
    <w:rsid w:val="00AB5F67"/>
    <w:rsid w:val="00AB61B6"/>
    <w:rsid w:val="00AB6A4C"/>
    <w:rsid w:val="00AB78D3"/>
    <w:rsid w:val="00AB7A69"/>
    <w:rsid w:val="00AB7B7D"/>
    <w:rsid w:val="00AC0E70"/>
    <w:rsid w:val="00AC110F"/>
    <w:rsid w:val="00AC2BD2"/>
    <w:rsid w:val="00AC3A25"/>
    <w:rsid w:val="00AC613C"/>
    <w:rsid w:val="00AD0E4D"/>
    <w:rsid w:val="00AD10B6"/>
    <w:rsid w:val="00AD42AA"/>
    <w:rsid w:val="00AD47C6"/>
    <w:rsid w:val="00AD6735"/>
    <w:rsid w:val="00AD7658"/>
    <w:rsid w:val="00AE0BA0"/>
    <w:rsid w:val="00AE0E42"/>
    <w:rsid w:val="00AE2A4B"/>
    <w:rsid w:val="00AE3E85"/>
    <w:rsid w:val="00AE3EE9"/>
    <w:rsid w:val="00AE49CB"/>
    <w:rsid w:val="00AE5423"/>
    <w:rsid w:val="00AE6EDF"/>
    <w:rsid w:val="00AE6FCD"/>
    <w:rsid w:val="00AF05BE"/>
    <w:rsid w:val="00AF24C4"/>
    <w:rsid w:val="00AF2B7D"/>
    <w:rsid w:val="00AF353D"/>
    <w:rsid w:val="00AF378D"/>
    <w:rsid w:val="00AF401E"/>
    <w:rsid w:val="00AF52A1"/>
    <w:rsid w:val="00AF72AF"/>
    <w:rsid w:val="00B00066"/>
    <w:rsid w:val="00B00C43"/>
    <w:rsid w:val="00B018C1"/>
    <w:rsid w:val="00B0259A"/>
    <w:rsid w:val="00B03130"/>
    <w:rsid w:val="00B03E66"/>
    <w:rsid w:val="00B04166"/>
    <w:rsid w:val="00B050B4"/>
    <w:rsid w:val="00B052E7"/>
    <w:rsid w:val="00B053B2"/>
    <w:rsid w:val="00B05D69"/>
    <w:rsid w:val="00B07BF2"/>
    <w:rsid w:val="00B11410"/>
    <w:rsid w:val="00B1289E"/>
    <w:rsid w:val="00B146E4"/>
    <w:rsid w:val="00B153A1"/>
    <w:rsid w:val="00B15637"/>
    <w:rsid w:val="00B15C21"/>
    <w:rsid w:val="00B173CC"/>
    <w:rsid w:val="00B17E92"/>
    <w:rsid w:val="00B20E90"/>
    <w:rsid w:val="00B22CC3"/>
    <w:rsid w:val="00B24216"/>
    <w:rsid w:val="00B24FFD"/>
    <w:rsid w:val="00B26023"/>
    <w:rsid w:val="00B26363"/>
    <w:rsid w:val="00B263B5"/>
    <w:rsid w:val="00B30293"/>
    <w:rsid w:val="00B31600"/>
    <w:rsid w:val="00B3161A"/>
    <w:rsid w:val="00B31B59"/>
    <w:rsid w:val="00B3229D"/>
    <w:rsid w:val="00B329E7"/>
    <w:rsid w:val="00B37642"/>
    <w:rsid w:val="00B41D2D"/>
    <w:rsid w:val="00B41E6C"/>
    <w:rsid w:val="00B423B5"/>
    <w:rsid w:val="00B43084"/>
    <w:rsid w:val="00B452E0"/>
    <w:rsid w:val="00B46525"/>
    <w:rsid w:val="00B467FC"/>
    <w:rsid w:val="00B46CEE"/>
    <w:rsid w:val="00B50A27"/>
    <w:rsid w:val="00B50B5F"/>
    <w:rsid w:val="00B521A8"/>
    <w:rsid w:val="00B52805"/>
    <w:rsid w:val="00B538B0"/>
    <w:rsid w:val="00B54C02"/>
    <w:rsid w:val="00B56E49"/>
    <w:rsid w:val="00B572DA"/>
    <w:rsid w:val="00B60021"/>
    <w:rsid w:val="00B638B7"/>
    <w:rsid w:val="00B6458F"/>
    <w:rsid w:val="00B6481A"/>
    <w:rsid w:val="00B64A40"/>
    <w:rsid w:val="00B64F36"/>
    <w:rsid w:val="00B65E20"/>
    <w:rsid w:val="00B65F80"/>
    <w:rsid w:val="00B66823"/>
    <w:rsid w:val="00B66AE7"/>
    <w:rsid w:val="00B67006"/>
    <w:rsid w:val="00B678C7"/>
    <w:rsid w:val="00B71332"/>
    <w:rsid w:val="00B715C4"/>
    <w:rsid w:val="00B72867"/>
    <w:rsid w:val="00B7574D"/>
    <w:rsid w:val="00B75880"/>
    <w:rsid w:val="00B75A38"/>
    <w:rsid w:val="00B768BB"/>
    <w:rsid w:val="00B81852"/>
    <w:rsid w:val="00B82157"/>
    <w:rsid w:val="00B83572"/>
    <w:rsid w:val="00B83F27"/>
    <w:rsid w:val="00B84141"/>
    <w:rsid w:val="00B85B1D"/>
    <w:rsid w:val="00B87816"/>
    <w:rsid w:val="00B900C2"/>
    <w:rsid w:val="00B901FC"/>
    <w:rsid w:val="00B917C3"/>
    <w:rsid w:val="00B92CD0"/>
    <w:rsid w:val="00B931B8"/>
    <w:rsid w:val="00B93C84"/>
    <w:rsid w:val="00B94FD8"/>
    <w:rsid w:val="00B952D1"/>
    <w:rsid w:val="00B95B0B"/>
    <w:rsid w:val="00BA1012"/>
    <w:rsid w:val="00BA1F5E"/>
    <w:rsid w:val="00BA3551"/>
    <w:rsid w:val="00BA3888"/>
    <w:rsid w:val="00BA3EBA"/>
    <w:rsid w:val="00BA54C8"/>
    <w:rsid w:val="00BA56DA"/>
    <w:rsid w:val="00BA5DD0"/>
    <w:rsid w:val="00BA72A2"/>
    <w:rsid w:val="00BB070E"/>
    <w:rsid w:val="00BB4FA0"/>
    <w:rsid w:val="00BB5B82"/>
    <w:rsid w:val="00BB604D"/>
    <w:rsid w:val="00BB688D"/>
    <w:rsid w:val="00BC0175"/>
    <w:rsid w:val="00BC02F3"/>
    <w:rsid w:val="00BC032C"/>
    <w:rsid w:val="00BC037E"/>
    <w:rsid w:val="00BC132B"/>
    <w:rsid w:val="00BC1BE9"/>
    <w:rsid w:val="00BC347F"/>
    <w:rsid w:val="00BC39DF"/>
    <w:rsid w:val="00BC3CB7"/>
    <w:rsid w:val="00BC4118"/>
    <w:rsid w:val="00BC4F3D"/>
    <w:rsid w:val="00BC5EEA"/>
    <w:rsid w:val="00BD09C0"/>
    <w:rsid w:val="00BD0D37"/>
    <w:rsid w:val="00BD1BAB"/>
    <w:rsid w:val="00BD319F"/>
    <w:rsid w:val="00BD3507"/>
    <w:rsid w:val="00BD35E3"/>
    <w:rsid w:val="00BD5355"/>
    <w:rsid w:val="00BD5A2F"/>
    <w:rsid w:val="00BD5E89"/>
    <w:rsid w:val="00BD66A1"/>
    <w:rsid w:val="00BE0125"/>
    <w:rsid w:val="00BE3128"/>
    <w:rsid w:val="00BE3D41"/>
    <w:rsid w:val="00BE3F00"/>
    <w:rsid w:val="00BF023F"/>
    <w:rsid w:val="00BF22AF"/>
    <w:rsid w:val="00BF27A2"/>
    <w:rsid w:val="00BF3219"/>
    <w:rsid w:val="00BF3795"/>
    <w:rsid w:val="00BF5DE7"/>
    <w:rsid w:val="00BF5F30"/>
    <w:rsid w:val="00BF63D4"/>
    <w:rsid w:val="00BF7A8F"/>
    <w:rsid w:val="00C0016C"/>
    <w:rsid w:val="00C00BF0"/>
    <w:rsid w:val="00C00EDE"/>
    <w:rsid w:val="00C01CEB"/>
    <w:rsid w:val="00C02B88"/>
    <w:rsid w:val="00C0380F"/>
    <w:rsid w:val="00C0435C"/>
    <w:rsid w:val="00C0506E"/>
    <w:rsid w:val="00C051D4"/>
    <w:rsid w:val="00C05B81"/>
    <w:rsid w:val="00C05BC8"/>
    <w:rsid w:val="00C05FAB"/>
    <w:rsid w:val="00C065B7"/>
    <w:rsid w:val="00C076F5"/>
    <w:rsid w:val="00C10AC7"/>
    <w:rsid w:val="00C119A5"/>
    <w:rsid w:val="00C11D77"/>
    <w:rsid w:val="00C1265E"/>
    <w:rsid w:val="00C1448D"/>
    <w:rsid w:val="00C16060"/>
    <w:rsid w:val="00C16389"/>
    <w:rsid w:val="00C16D81"/>
    <w:rsid w:val="00C17582"/>
    <w:rsid w:val="00C17617"/>
    <w:rsid w:val="00C17FF1"/>
    <w:rsid w:val="00C20BB8"/>
    <w:rsid w:val="00C20CDC"/>
    <w:rsid w:val="00C21C45"/>
    <w:rsid w:val="00C21C53"/>
    <w:rsid w:val="00C2366B"/>
    <w:rsid w:val="00C2374B"/>
    <w:rsid w:val="00C23CFA"/>
    <w:rsid w:val="00C24E0A"/>
    <w:rsid w:val="00C24F4A"/>
    <w:rsid w:val="00C25FD4"/>
    <w:rsid w:val="00C26269"/>
    <w:rsid w:val="00C26ABC"/>
    <w:rsid w:val="00C27BC5"/>
    <w:rsid w:val="00C303AE"/>
    <w:rsid w:val="00C30B52"/>
    <w:rsid w:val="00C30B7D"/>
    <w:rsid w:val="00C3260A"/>
    <w:rsid w:val="00C3267B"/>
    <w:rsid w:val="00C32CBA"/>
    <w:rsid w:val="00C3360B"/>
    <w:rsid w:val="00C33FEB"/>
    <w:rsid w:val="00C342C6"/>
    <w:rsid w:val="00C345CA"/>
    <w:rsid w:val="00C34CCC"/>
    <w:rsid w:val="00C3523F"/>
    <w:rsid w:val="00C354DB"/>
    <w:rsid w:val="00C375A0"/>
    <w:rsid w:val="00C37A63"/>
    <w:rsid w:val="00C41675"/>
    <w:rsid w:val="00C41C56"/>
    <w:rsid w:val="00C42C02"/>
    <w:rsid w:val="00C4397D"/>
    <w:rsid w:val="00C441B5"/>
    <w:rsid w:val="00C454FD"/>
    <w:rsid w:val="00C459F9"/>
    <w:rsid w:val="00C46A0B"/>
    <w:rsid w:val="00C46D6F"/>
    <w:rsid w:val="00C473FC"/>
    <w:rsid w:val="00C47A28"/>
    <w:rsid w:val="00C50232"/>
    <w:rsid w:val="00C53840"/>
    <w:rsid w:val="00C53E2E"/>
    <w:rsid w:val="00C545D6"/>
    <w:rsid w:val="00C546DD"/>
    <w:rsid w:val="00C54E38"/>
    <w:rsid w:val="00C55C8A"/>
    <w:rsid w:val="00C5664C"/>
    <w:rsid w:val="00C56D22"/>
    <w:rsid w:val="00C57993"/>
    <w:rsid w:val="00C60E79"/>
    <w:rsid w:val="00C61BC5"/>
    <w:rsid w:val="00C61CDD"/>
    <w:rsid w:val="00C62DBD"/>
    <w:rsid w:val="00C635FE"/>
    <w:rsid w:val="00C6494B"/>
    <w:rsid w:val="00C65D5F"/>
    <w:rsid w:val="00C67809"/>
    <w:rsid w:val="00C70E21"/>
    <w:rsid w:val="00C728E0"/>
    <w:rsid w:val="00C7594D"/>
    <w:rsid w:val="00C76287"/>
    <w:rsid w:val="00C76579"/>
    <w:rsid w:val="00C76D12"/>
    <w:rsid w:val="00C77DE8"/>
    <w:rsid w:val="00C800DC"/>
    <w:rsid w:val="00C80213"/>
    <w:rsid w:val="00C81451"/>
    <w:rsid w:val="00C81530"/>
    <w:rsid w:val="00C8162E"/>
    <w:rsid w:val="00C817D6"/>
    <w:rsid w:val="00C84AED"/>
    <w:rsid w:val="00C84E83"/>
    <w:rsid w:val="00C86172"/>
    <w:rsid w:val="00C865CB"/>
    <w:rsid w:val="00C86616"/>
    <w:rsid w:val="00C876E2"/>
    <w:rsid w:val="00C87DA7"/>
    <w:rsid w:val="00C87E9C"/>
    <w:rsid w:val="00C913F0"/>
    <w:rsid w:val="00C9184B"/>
    <w:rsid w:val="00C91E25"/>
    <w:rsid w:val="00CA1570"/>
    <w:rsid w:val="00CA1586"/>
    <w:rsid w:val="00CA2856"/>
    <w:rsid w:val="00CA3C67"/>
    <w:rsid w:val="00CA447B"/>
    <w:rsid w:val="00CA4A01"/>
    <w:rsid w:val="00CA4C32"/>
    <w:rsid w:val="00CA5EDA"/>
    <w:rsid w:val="00CA67A2"/>
    <w:rsid w:val="00CA67D7"/>
    <w:rsid w:val="00CA6BDD"/>
    <w:rsid w:val="00CA77EA"/>
    <w:rsid w:val="00CB0464"/>
    <w:rsid w:val="00CB1DA4"/>
    <w:rsid w:val="00CB23A4"/>
    <w:rsid w:val="00CB306D"/>
    <w:rsid w:val="00CB3E2C"/>
    <w:rsid w:val="00CB45B9"/>
    <w:rsid w:val="00CB476D"/>
    <w:rsid w:val="00CB4E50"/>
    <w:rsid w:val="00CB5523"/>
    <w:rsid w:val="00CB7C41"/>
    <w:rsid w:val="00CC2759"/>
    <w:rsid w:val="00CC2922"/>
    <w:rsid w:val="00CC2B8B"/>
    <w:rsid w:val="00CC4767"/>
    <w:rsid w:val="00CC6994"/>
    <w:rsid w:val="00CD0A83"/>
    <w:rsid w:val="00CD2F25"/>
    <w:rsid w:val="00CD35B4"/>
    <w:rsid w:val="00CD3E62"/>
    <w:rsid w:val="00CD44EA"/>
    <w:rsid w:val="00CD5E6F"/>
    <w:rsid w:val="00CD74A9"/>
    <w:rsid w:val="00CD7581"/>
    <w:rsid w:val="00CD781B"/>
    <w:rsid w:val="00CE09CA"/>
    <w:rsid w:val="00CE1978"/>
    <w:rsid w:val="00CE3070"/>
    <w:rsid w:val="00CE316B"/>
    <w:rsid w:val="00CE5451"/>
    <w:rsid w:val="00CE5EA0"/>
    <w:rsid w:val="00CE6F2C"/>
    <w:rsid w:val="00CE71BF"/>
    <w:rsid w:val="00CF0135"/>
    <w:rsid w:val="00CF0334"/>
    <w:rsid w:val="00CF07CA"/>
    <w:rsid w:val="00CF3A0A"/>
    <w:rsid w:val="00CF3A79"/>
    <w:rsid w:val="00CF43FD"/>
    <w:rsid w:val="00CF442A"/>
    <w:rsid w:val="00CF4F3A"/>
    <w:rsid w:val="00CF4FCA"/>
    <w:rsid w:val="00CF541C"/>
    <w:rsid w:val="00CF63B6"/>
    <w:rsid w:val="00D001FE"/>
    <w:rsid w:val="00D0024F"/>
    <w:rsid w:val="00D00636"/>
    <w:rsid w:val="00D01111"/>
    <w:rsid w:val="00D01774"/>
    <w:rsid w:val="00D0196F"/>
    <w:rsid w:val="00D04AA7"/>
    <w:rsid w:val="00D12965"/>
    <w:rsid w:val="00D12EF9"/>
    <w:rsid w:val="00D137E1"/>
    <w:rsid w:val="00D15D3F"/>
    <w:rsid w:val="00D179E8"/>
    <w:rsid w:val="00D228B0"/>
    <w:rsid w:val="00D23189"/>
    <w:rsid w:val="00D2381E"/>
    <w:rsid w:val="00D24558"/>
    <w:rsid w:val="00D25751"/>
    <w:rsid w:val="00D26811"/>
    <w:rsid w:val="00D31425"/>
    <w:rsid w:val="00D32C1D"/>
    <w:rsid w:val="00D33B10"/>
    <w:rsid w:val="00D34383"/>
    <w:rsid w:val="00D349AF"/>
    <w:rsid w:val="00D3550C"/>
    <w:rsid w:val="00D35682"/>
    <w:rsid w:val="00D366DB"/>
    <w:rsid w:val="00D37FB5"/>
    <w:rsid w:val="00D40727"/>
    <w:rsid w:val="00D441AD"/>
    <w:rsid w:val="00D450F2"/>
    <w:rsid w:val="00D46AC2"/>
    <w:rsid w:val="00D47625"/>
    <w:rsid w:val="00D47802"/>
    <w:rsid w:val="00D50FF1"/>
    <w:rsid w:val="00D51FC2"/>
    <w:rsid w:val="00D52AAA"/>
    <w:rsid w:val="00D534A0"/>
    <w:rsid w:val="00D54A75"/>
    <w:rsid w:val="00D55CB2"/>
    <w:rsid w:val="00D578F0"/>
    <w:rsid w:val="00D60763"/>
    <w:rsid w:val="00D60FBA"/>
    <w:rsid w:val="00D6221D"/>
    <w:rsid w:val="00D62AA6"/>
    <w:rsid w:val="00D64213"/>
    <w:rsid w:val="00D66CC5"/>
    <w:rsid w:val="00D675D0"/>
    <w:rsid w:val="00D70161"/>
    <w:rsid w:val="00D713B2"/>
    <w:rsid w:val="00D72273"/>
    <w:rsid w:val="00D738C5"/>
    <w:rsid w:val="00D74940"/>
    <w:rsid w:val="00D74E19"/>
    <w:rsid w:val="00D766A6"/>
    <w:rsid w:val="00D779D0"/>
    <w:rsid w:val="00D77BC3"/>
    <w:rsid w:val="00D77C99"/>
    <w:rsid w:val="00D823C5"/>
    <w:rsid w:val="00D826D5"/>
    <w:rsid w:val="00D82F44"/>
    <w:rsid w:val="00D83A10"/>
    <w:rsid w:val="00D8461D"/>
    <w:rsid w:val="00D8545C"/>
    <w:rsid w:val="00D858BA"/>
    <w:rsid w:val="00D85D45"/>
    <w:rsid w:val="00D86398"/>
    <w:rsid w:val="00D86BFC"/>
    <w:rsid w:val="00D871F4"/>
    <w:rsid w:val="00D87CBA"/>
    <w:rsid w:val="00D90273"/>
    <w:rsid w:val="00D90B12"/>
    <w:rsid w:val="00D90D41"/>
    <w:rsid w:val="00D913D1"/>
    <w:rsid w:val="00D9161E"/>
    <w:rsid w:val="00D92112"/>
    <w:rsid w:val="00D93BBA"/>
    <w:rsid w:val="00D94F65"/>
    <w:rsid w:val="00D97083"/>
    <w:rsid w:val="00DA0400"/>
    <w:rsid w:val="00DA04D9"/>
    <w:rsid w:val="00DA093B"/>
    <w:rsid w:val="00DA0B9D"/>
    <w:rsid w:val="00DA1C41"/>
    <w:rsid w:val="00DA2117"/>
    <w:rsid w:val="00DA2A0F"/>
    <w:rsid w:val="00DA3B97"/>
    <w:rsid w:val="00DA6AE8"/>
    <w:rsid w:val="00DB0D4C"/>
    <w:rsid w:val="00DB13F1"/>
    <w:rsid w:val="00DB1BBA"/>
    <w:rsid w:val="00DB37A0"/>
    <w:rsid w:val="00DB385E"/>
    <w:rsid w:val="00DB3C42"/>
    <w:rsid w:val="00DB3CFB"/>
    <w:rsid w:val="00DB579C"/>
    <w:rsid w:val="00DC1085"/>
    <w:rsid w:val="00DC1327"/>
    <w:rsid w:val="00DC2BA4"/>
    <w:rsid w:val="00DC4FB3"/>
    <w:rsid w:val="00DC57A1"/>
    <w:rsid w:val="00DD0560"/>
    <w:rsid w:val="00DD1B89"/>
    <w:rsid w:val="00DD2E0D"/>
    <w:rsid w:val="00DD3BF4"/>
    <w:rsid w:val="00DD44AB"/>
    <w:rsid w:val="00DD46DE"/>
    <w:rsid w:val="00DD4F4A"/>
    <w:rsid w:val="00DD66D4"/>
    <w:rsid w:val="00DD7A54"/>
    <w:rsid w:val="00DE07E9"/>
    <w:rsid w:val="00DE1F7B"/>
    <w:rsid w:val="00DE36E1"/>
    <w:rsid w:val="00DE3729"/>
    <w:rsid w:val="00DE3818"/>
    <w:rsid w:val="00DE4434"/>
    <w:rsid w:val="00DE7DB0"/>
    <w:rsid w:val="00DF0957"/>
    <w:rsid w:val="00DF10BD"/>
    <w:rsid w:val="00DF14C0"/>
    <w:rsid w:val="00DF37A2"/>
    <w:rsid w:val="00DF37B2"/>
    <w:rsid w:val="00DF44D0"/>
    <w:rsid w:val="00DF4B12"/>
    <w:rsid w:val="00DF503A"/>
    <w:rsid w:val="00DF5A50"/>
    <w:rsid w:val="00DF6E39"/>
    <w:rsid w:val="00DF735E"/>
    <w:rsid w:val="00E021C3"/>
    <w:rsid w:val="00E02F22"/>
    <w:rsid w:val="00E03ACD"/>
    <w:rsid w:val="00E046F6"/>
    <w:rsid w:val="00E05595"/>
    <w:rsid w:val="00E05CB9"/>
    <w:rsid w:val="00E05CE8"/>
    <w:rsid w:val="00E061A5"/>
    <w:rsid w:val="00E07D72"/>
    <w:rsid w:val="00E07F2B"/>
    <w:rsid w:val="00E10010"/>
    <w:rsid w:val="00E148E9"/>
    <w:rsid w:val="00E14B9F"/>
    <w:rsid w:val="00E15B92"/>
    <w:rsid w:val="00E16879"/>
    <w:rsid w:val="00E168E2"/>
    <w:rsid w:val="00E16EDD"/>
    <w:rsid w:val="00E17CFF"/>
    <w:rsid w:val="00E201C0"/>
    <w:rsid w:val="00E21330"/>
    <w:rsid w:val="00E21EAD"/>
    <w:rsid w:val="00E221AE"/>
    <w:rsid w:val="00E23280"/>
    <w:rsid w:val="00E23DF1"/>
    <w:rsid w:val="00E23E49"/>
    <w:rsid w:val="00E250DF"/>
    <w:rsid w:val="00E25570"/>
    <w:rsid w:val="00E25EB1"/>
    <w:rsid w:val="00E30395"/>
    <w:rsid w:val="00E30ADD"/>
    <w:rsid w:val="00E317EB"/>
    <w:rsid w:val="00E31B70"/>
    <w:rsid w:val="00E31C02"/>
    <w:rsid w:val="00E3266B"/>
    <w:rsid w:val="00E33AD6"/>
    <w:rsid w:val="00E34869"/>
    <w:rsid w:val="00E36F10"/>
    <w:rsid w:val="00E36FE2"/>
    <w:rsid w:val="00E41D28"/>
    <w:rsid w:val="00E41FC1"/>
    <w:rsid w:val="00E42E08"/>
    <w:rsid w:val="00E43ED9"/>
    <w:rsid w:val="00E440EB"/>
    <w:rsid w:val="00E44F0D"/>
    <w:rsid w:val="00E45053"/>
    <w:rsid w:val="00E47492"/>
    <w:rsid w:val="00E516E0"/>
    <w:rsid w:val="00E51E30"/>
    <w:rsid w:val="00E53CFD"/>
    <w:rsid w:val="00E55CAB"/>
    <w:rsid w:val="00E5722D"/>
    <w:rsid w:val="00E57A46"/>
    <w:rsid w:val="00E60E2C"/>
    <w:rsid w:val="00E628C6"/>
    <w:rsid w:val="00E637E1"/>
    <w:rsid w:val="00E63D59"/>
    <w:rsid w:val="00E644F5"/>
    <w:rsid w:val="00E646B7"/>
    <w:rsid w:val="00E651A3"/>
    <w:rsid w:val="00E65EC5"/>
    <w:rsid w:val="00E66E72"/>
    <w:rsid w:val="00E66E7C"/>
    <w:rsid w:val="00E66F0E"/>
    <w:rsid w:val="00E67C66"/>
    <w:rsid w:val="00E67DAF"/>
    <w:rsid w:val="00E7017D"/>
    <w:rsid w:val="00E71685"/>
    <w:rsid w:val="00E71AEA"/>
    <w:rsid w:val="00E7222C"/>
    <w:rsid w:val="00E7273B"/>
    <w:rsid w:val="00E757E2"/>
    <w:rsid w:val="00E76AA9"/>
    <w:rsid w:val="00E76AE6"/>
    <w:rsid w:val="00E77E37"/>
    <w:rsid w:val="00E8012C"/>
    <w:rsid w:val="00E80747"/>
    <w:rsid w:val="00E80D6B"/>
    <w:rsid w:val="00E811BB"/>
    <w:rsid w:val="00E8256F"/>
    <w:rsid w:val="00E82BD0"/>
    <w:rsid w:val="00E849C1"/>
    <w:rsid w:val="00E84C54"/>
    <w:rsid w:val="00E84E9D"/>
    <w:rsid w:val="00E85B9F"/>
    <w:rsid w:val="00E86E74"/>
    <w:rsid w:val="00E90E9D"/>
    <w:rsid w:val="00E9190A"/>
    <w:rsid w:val="00E91E3C"/>
    <w:rsid w:val="00E94737"/>
    <w:rsid w:val="00E95543"/>
    <w:rsid w:val="00E95564"/>
    <w:rsid w:val="00E95BBD"/>
    <w:rsid w:val="00E967DB"/>
    <w:rsid w:val="00EA0F4F"/>
    <w:rsid w:val="00EA18A0"/>
    <w:rsid w:val="00EA1FDF"/>
    <w:rsid w:val="00EA2DE8"/>
    <w:rsid w:val="00EA3051"/>
    <w:rsid w:val="00EA57FD"/>
    <w:rsid w:val="00EA5A14"/>
    <w:rsid w:val="00EA5BA2"/>
    <w:rsid w:val="00EB02D4"/>
    <w:rsid w:val="00EB0423"/>
    <w:rsid w:val="00EB0BA9"/>
    <w:rsid w:val="00EB1305"/>
    <w:rsid w:val="00EB1947"/>
    <w:rsid w:val="00EB59E2"/>
    <w:rsid w:val="00EB5ED5"/>
    <w:rsid w:val="00EB5FE7"/>
    <w:rsid w:val="00EB6B4A"/>
    <w:rsid w:val="00EC0BBB"/>
    <w:rsid w:val="00EC1B0F"/>
    <w:rsid w:val="00EC21D5"/>
    <w:rsid w:val="00EC29CF"/>
    <w:rsid w:val="00EC2A47"/>
    <w:rsid w:val="00EC5077"/>
    <w:rsid w:val="00EC56C5"/>
    <w:rsid w:val="00EC616D"/>
    <w:rsid w:val="00EC6AC1"/>
    <w:rsid w:val="00ED01E7"/>
    <w:rsid w:val="00ED0D47"/>
    <w:rsid w:val="00ED2620"/>
    <w:rsid w:val="00ED303E"/>
    <w:rsid w:val="00ED31B6"/>
    <w:rsid w:val="00ED499A"/>
    <w:rsid w:val="00ED596D"/>
    <w:rsid w:val="00ED5FBA"/>
    <w:rsid w:val="00ED6B64"/>
    <w:rsid w:val="00ED6C3D"/>
    <w:rsid w:val="00ED70CB"/>
    <w:rsid w:val="00ED7C6B"/>
    <w:rsid w:val="00EE2792"/>
    <w:rsid w:val="00EE4F74"/>
    <w:rsid w:val="00EE5E86"/>
    <w:rsid w:val="00EE6281"/>
    <w:rsid w:val="00EE6F99"/>
    <w:rsid w:val="00EF534E"/>
    <w:rsid w:val="00EF5E2B"/>
    <w:rsid w:val="00F007A8"/>
    <w:rsid w:val="00F01673"/>
    <w:rsid w:val="00F04423"/>
    <w:rsid w:val="00F04742"/>
    <w:rsid w:val="00F04ED8"/>
    <w:rsid w:val="00F05118"/>
    <w:rsid w:val="00F0580B"/>
    <w:rsid w:val="00F059BF"/>
    <w:rsid w:val="00F05B50"/>
    <w:rsid w:val="00F0651D"/>
    <w:rsid w:val="00F0656F"/>
    <w:rsid w:val="00F06D5E"/>
    <w:rsid w:val="00F11B3A"/>
    <w:rsid w:val="00F13378"/>
    <w:rsid w:val="00F149AD"/>
    <w:rsid w:val="00F15C5E"/>
    <w:rsid w:val="00F16264"/>
    <w:rsid w:val="00F17B43"/>
    <w:rsid w:val="00F22597"/>
    <w:rsid w:val="00F22875"/>
    <w:rsid w:val="00F22E3D"/>
    <w:rsid w:val="00F23059"/>
    <w:rsid w:val="00F234F4"/>
    <w:rsid w:val="00F23A15"/>
    <w:rsid w:val="00F248A0"/>
    <w:rsid w:val="00F24D99"/>
    <w:rsid w:val="00F26138"/>
    <w:rsid w:val="00F2673F"/>
    <w:rsid w:val="00F27E42"/>
    <w:rsid w:val="00F27F0A"/>
    <w:rsid w:val="00F304DF"/>
    <w:rsid w:val="00F33B62"/>
    <w:rsid w:val="00F33D5A"/>
    <w:rsid w:val="00F400BE"/>
    <w:rsid w:val="00F41371"/>
    <w:rsid w:val="00F43137"/>
    <w:rsid w:val="00F43989"/>
    <w:rsid w:val="00F46E5C"/>
    <w:rsid w:val="00F475E9"/>
    <w:rsid w:val="00F47DFC"/>
    <w:rsid w:val="00F47F1C"/>
    <w:rsid w:val="00F50CFC"/>
    <w:rsid w:val="00F51A59"/>
    <w:rsid w:val="00F52291"/>
    <w:rsid w:val="00F5342A"/>
    <w:rsid w:val="00F55415"/>
    <w:rsid w:val="00F5693B"/>
    <w:rsid w:val="00F6129D"/>
    <w:rsid w:val="00F6411B"/>
    <w:rsid w:val="00F65093"/>
    <w:rsid w:val="00F7267A"/>
    <w:rsid w:val="00F72D88"/>
    <w:rsid w:val="00F74A3E"/>
    <w:rsid w:val="00F75B79"/>
    <w:rsid w:val="00F76D6A"/>
    <w:rsid w:val="00F77EB0"/>
    <w:rsid w:val="00F81C25"/>
    <w:rsid w:val="00F81ED1"/>
    <w:rsid w:val="00F823F7"/>
    <w:rsid w:val="00F83764"/>
    <w:rsid w:val="00F83F2B"/>
    <w:rsid w:val="00F84020"/>
    <w:rsid w:val="00F8494E"/>
    <w:rsid w:val="00F853CF"/>
    <w:rsid w:val="00F87480"/>
    <w:rsid w:val="00F87D38"/>
    <w:rsid w:val="00F87E17"/>
    <w:rsid w:val="00F90296"/>
    <w:rsid w:val="00F906D1"/>
    <w:rsid w:val="00F906EE"/>
    <w:rsid w:val="00F909A4"/>
    <w:rsid w:val="00F91137"/>
    <w:rsid w:val="00F918D5"/>
    <w:rsid w:val="00F91FA1"/>
    <w:rsid w:val="00F930E8"/>
    <w:rsid w:val="00F96933"/>
    <w:rsid w:val="00F975D2"/>
    <w:rsid w:val="00FA003A"/>
    <w:rsid w:val="00FA0784"/>
    <w:rsid w:val="00FA0959"/>
    <w:rsid w:val="00FA2862"/>
    <w:rsid w:val="00FA2A30"/>
    <w:rsid w:val="00FA306C"/>
    <w:rsid w:val="00FA368D"/>
    <w:rsid w:val="00FA3E3A"/>
    <w:rsid w:val="00FA529A"/>
    <w:rsid w:val="00FA564B"/>
    <w:rsid w:val="00FA689D"/>
    <w:rsid w:val="00FA6C92"/>
    <w:rsid w:val="00FA6F0E"/>
    <w:rsid w:val="00FB0483"/>
    <w:rsid w:val="00FB0915"/>
    <w:rsid w:val="00FB3C1C"/>
    <w:rsid w:val="00FB3E3A"/>
    <w:rsid w:val="00FB4597"/>
    <w:rsid w:val="00FB4F3E"/>
    <w:rsid w:val="00FB6D12"/>
    <w:rsid w:val="00FB7729"/>
    <w:rsid w:val="00FB78BA"/>
    <w:rsid w:val="00FC08B1"/>
    <w:rsid w:val="00FC0FF0"/>
    <w:rsid w:val="00FC62AF"/>
    <w:rsid w:val="00FD2501"/>
    <w:rsid w:val="00FD3B80"/>
    <w:rsid w:val="00FD4681"/>
    <w:rsid w:val="00FD5CFB"/>
    <w:rsid w:val="00FD5F7D"/>
    <w:rsid w:val="00FD671B"/>
    <w:rsid w:val="00FD6803"/>
    <w:rsid w:val="00FD68C6"/>
    <w:rsid w:val="00FD71B2"/>
    <w:rsid w:val="00FE06EE"/>
    <w:rsid w:val="00FE13B0"/>
    <w:rsid w:val="00FE2268"/>
    <w:rsid w:val="00FE2D4C"/>
    <w:rsid w:val="00FE374B"/>
    <w:rsid w:val="00FE4C75"/>
    <w:rsid w:val="00FE5229"/>
    <w:rsid w:val="00FE631F"/>
    <w:rsid w:val="00FE63C4"/>
    <w:rsid w:val="00FF03CF"/>
    <w:rsid w:val="00FF03DD"/>
    <w:rsid w:val="00FF288D"/>
    <w:rsid w:val="00FF28DB"/>
    <w:rsid w:val="00FF3382"/>
    <w:rsid w:val="00FF37B7"/>
    <w:rsid w:val="00FF4366"/>
    <w:rsid w:val="00FF4DCE"/>
    <w:rsid w:val="00FF6C66"/>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AACBD664-F446-40B6-ADF8-954C4BF3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0B1"/>
    <w:rPr>
      <w:rFonts w:cs="Arial"/>
    </w:rPr>
  </w:style>
  <w:style w:type="paragraph" w:styleId="Heading1">
    <w:name w:val="heading 1"/>
    <w:basedOn w:val="Normal"/>
    <w:next w:val="Normal"/>
    <w:link w:val="Heading1Char"/>
    <w:uiPriority w:val="9"/>
    <w:qFormat/>
    <w:rsid w:val="00E31B70"/>
    <w:pPr>
      <w:keepNext/>
      <w:tabs>
        <w:tab w:val="num" w:pos="720"/>
      </w:tabs>
      <w:spacing w:before="240" w:after="60" w:line="360" w:lineRule="auto"/>
      <w:ind w:left="720" w:hanging="720"/>
      <w:jc w:val="center"/>
      <w:outlineLvl w:val="0"/>
    </w:pPr>
    <w:rPr>
      <w:rFonts w:asciiTheme="majorBidi" w:hAnsiTheme="majorBidi" w:cs="Times New Roman"/>
      <w:b/>
      <w:bCs/>
      <w:kern w:val="32"/>
      <w:sz w:val="24"/>
      <w:szCs w:val="32"/>
    </w:rPr>
  </w:style>
  <w:style w:type="paragraph" w:styleId="Heading2">
    <w:name w:val="heading 2"/>
    <w:basedOn w:val="Normal"/>
    <w:next w:val="Normal"/>
    <w:link w:val="Heading2Char"/>
    <w:uiPriority w:val="9"/>
    <w:unhideWhenUsed/>
    <w:qFormat/>
    <w:rsid w:val="00B75880"/>
    <w:pPr>
      <w:keepNext/>
      <w:numPr>
        <w:numId w:val="24"/>
      </w:numPr>
      <w:spacing w:before="240" w:after="60" w:line="480" w:lineRule="auto"/>
      <w:outlineLvl w:val="1"/>
    </w:pPr>
    <w:rPr>
      <w:rFonts w:asciiTheme="majorBidi" w:hAnsiTheme="majorBidi" w:cs="Times New Roman"/>
      <w:b/>
      <w:bCs/>
      <w:iCs/>
      <w:sz w:val="24"/>
      <w:szCs w:val="28"/>
    </w:rPr>
  </w:style>
  <w:style w:type="paragraph" w:styleId="Heading3">
    <w:name w:val="heading 3"/>
    <w:basedOn w:val="Normal"/>
    <w:next w:val="Normal"/>
    <w:link w:val="Heading3Char"/>
    <w:uiPriority w:val="9"/>
    <w:unhideWhenUsed/>
    <w:qFormat/>
    <w:rsid w:val="00B75880"/>
    <w:pPr>
      <w:keepNext/>
      <w:keepLines/>
      <w:numPr>
        <w:numId w:val="26"/>
      </w:numPr>
      <w:spacing w:before="200" w:after="0" w:line="360" w:lineRule="auto"/>
      <w:outlineLvl w:val="2"/>
    </w:pPr>
    <w:rPr>
      <w:rFonts w:asciiTheme="majorBidi" w:eastAsiaTheme="majorEastAsia" w:hAnsiTheme="majorBidi" w:cs="Times New Roman"/>
      <w:b/>
      <w:bCs/>
      <w:sz w:val="24"/>
    </w:rPr>
  </w:style>
  <w:style w:type="paragraph" w:styleId="Heading4">
    <w:name w:val="heading 4"/>
    <w:basedOn w:val="Normal"/>
    <w:next w:val="Normal"/>
    <w:link w:val="Heading4Char"/>
    <w:uiPriority w:val="9"/>
    <w:semiHidden/>
    <w:unhideWhenUsed/>
    <w:qFormat/>
    <w:rsid w:val="002272FA"/>
    <w:pPr>
      <w:keepNext/>
      <w:keepLines/>
      <w:spacing w:before="200" w:after="0"/>
      <w:outlineLvl w:val="3"/>
    </w:pPr>
    <w:rPr>
      <w:rFonts w:asciiTheme="majorHAnsi" w:eastAsiaTheme="majorEastAsia" w:hAnsiTheme="majorHAnsi" w:cs="Times New Roman"/>
      <w:b/>
      <w:bCs/>
      <w:i/>
      <w:iCs/>
      <w:color w:val="4F81BD" w:themeColor="accent1"/>
    </w:rPr>
  </w:style>
  <w:style w:type="paragraph" w:styleId="Heading5">
    <w:name w:val="heading 5"/>
    <w:basedOn w:val="Normal"/>
    <w:next w:val="Normal"/>
    <w:link w:val="Heading5Char"/>
    <w:uiPriority w:val="9"/>
    <w:semiHidden/>
    <w:unhideWhenUsed/>
    <w:qFormat/>
    <w:rsid w:val="00FD5F7D"/>
    <w:pPr>
      <w:tabs>
        <w:tab w:val="num" w:pos="3600"/>
      </w:tabs>
      <w:spacing w:before="240" w:after="60" w:line="240" w:lineRule="auto"/>
      <w:ind w:left="3600" w:hanging="72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FD5F7D"/>
    <w:pPr>
      <w:tabs>
        <w:tab w:val="num" w:pos="4320"/>
      </w:tabs>
      <w:spacing w:before="240" w:after="60" w:line="240" w:lineRule="auto"/>
      <w:ind w:left="4320" w:hanging="720"/>
      <w:outlineLvl w:val="5"/>
    </w:pPr>
    <w:rPr>
      <w:rFonts w:ascii="Times New Roman" w:hAnsi="Times New Roman" w:cs="Times New Roman"/>
      <w:b/>
      <w:bCs/>
    </w:rPr>
  </w:style>
  <w:style w:type="paragraph" w:styleId="Heading7">
    <w:name w:val="heading 7"/>
    <w:basedOn w:val="Normal"/>
    <w:next w:val="Normal"/>
    <w:link w:val="Heading7Char"/>
    <w:uiPriority w:val="9"/>
    <w:semiHidden/>
    <w:unhideWhenUsed/>
    <w:qFormat/>
    <w:rsid w:val="00FD5F7D"/>
    <w:pPr>
      <w:tabs>
        <w:tab w:val="num" w:pos="5040"/>
      </w:tabs>
      <w:spacing w:before="240" w:after="60" w:line="240" w:lineRule="auto"/>
      <w:ind w:left="5040" w:hanging="720"/>
      <w:outlineLvl w:val="6"/>
    </w:pPr>
    <w:rPr>
      <w:rFonts w:ascii="Calibri" w:hAnsi="Calibri"/>
      <w:sz w:val="24"/>
      <w:szCs w:val="24"/>
    </w:rPr>
  </w:style>
  <w:style w:type="paragraph" w:styleId="Heading8">
    <w:name w:val="heading 8"/>
    <w:basedOn w:val="Normal"/>
    <w:next w:val="Normal"/>
    <w:link w:val="Heading8Char"/>
    <w:uiPriority w:val="9"/>
    <w:semiHidden/>
    <w:unhideWhenUsed/>
    <w:qFormat/>
    <w:rsid w:val="00FD5F7D"/>
    <w:pPr>
      <w:tabs>
        <w:tab w:val="num" w:pos="5760"/>
      </w:tabs>
      <w:spacing w:before="240" w:after="60" w:line="240" w:lineRule="auto"/>
      <w:ind w:left="5760" w:hanging="720"/>
      <w:outlineLvl w:val="7"/>
    </w:pPr>
    <w:rPr>
      <w:rFonts w:ascii="Calibri" w:hAnsi="Calibri"/>
      <w:i/>
      <w:iCs/>
      <w:sz w:val="24"/>
      <w:szCs w:val="24"/>
    </w:rPr>
  </w:style>
  <w:style w:type="paragraph" w:styleId="Heading9">
    <w:name w:val="heading 9"/>
    <w:basedOn w:val="Normal"/>
    <w:next w:val="Normal"/>
    <w:link w:val="Heading9Char"/>
    <w:uiPriority w:val="9"/>
    <w:semiHidden/>
    <w:unhideWhenUsed/>
    <w:qFormat/>
    <w:rsid w:val="00FD5F7D"/>
    <w:pPr>
      <w:tabs>
        <w:tab w:val="num" w:pos="6480"/>
      </w:tabs>
      <w:spacing w:before="240" w:after="60" w:line="240" w:lineRule="auto"/>
      <w:ind w:left="6480" w:hanging="720"/>
      <w:outlineLvl w:val="8"/>
    </w:pPr>
    <w:rPr>
      <w:rFonts w:ascii="Cambria" w:hAnsi="Cambria"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E31B70"/>
    <w:rPr>
      <w:rFonts w:asciiTheme="majorBidi" w:hAnsiTheme="majorBidi" w:cs="Times New Roman"/>
      <w:b/>
      <w:bCs/>
      <w:kern w:val="32"/>
      <w:sz w:val="32"/>
      <w:szCs w:val="32"/>
    </w:rPr>
  </w:style>
  <w:style w:type="character" w:customStyle="1" w:styleId="Heading2Char">
    <w:name w:val="Heading 2 Char"/>
    <w:basedOn w:val="DefaultParagraphFont"/>
    <w:link w:val="Heading2"/>
    <w:uiPriority w:val="9"/>
    <w:locked/>
    <w:rsid w:val="00B75880"/>
    <w:rPr>
      <w:rFonts w:asciiTheme="majorBidi" w:hAnsiTheme="majorBidi" w:cs="Times New Roman"/>
      <w:b/>
      <w:bCs/>
      <w:iCs/>
      <w:sz w:val="28"/>
      <w:szCs w:val="28"/>
    </w:rPr>
  </w:style>
  <w:style w:type="character" w:customStyle="1" w:styleId="Heading3Char">
    <w:name w:val="Heading 3 Char"/>
    <w:basedOn w:val="DefaultParagraphFont"/>
    <w:link w:val="Heading3"/>
    <w:uiPriority w:val="9"/>
    <w:locked/>
    <w:rsid w:val="00B75880"/>
    <w:rPr>
      <w:rFonts w:asciiTheme="majorBidi" w:eastAsiaTheme="majorEastAsia" w:hAnsiTheme="majorBidi" w:cs="Times New Roman"/>
      <w:b/>
      <w:bCs/>
      <w:sz w:val="24"/>
    </w:rPr>
  </w:style>
  <w:style w:type="character" w:customStyle="1" w:styleId="Heading4Char">
    <w:name w:val="Heading 4 Char"/>
    <w:basedOn w:val="DefaultParagraphFont"/>
    <w:link w:val="Heading4"/>
    <w:uiPriority w:val="9"/>
    <w:locked/>
    <w:rsid w:val="002272FA"/>
    <w:rPr>
      <w:rFonts w:asciiTheme="majorHAnsi" w:eastAsiaTheme="majorEastAsia" w:hAnsiTheme="majorHAnsi" w:cs="Times New Roman"/>
      <w:b/>
      <w:bCs/>
      <w:i/>
      <w:iCs/>
      <w:color w:val="4F81BD" w:themeColor="accent1"/>
    </w:rPr>
  </w:style>
  <w:style w:type="character" w:customStyle="1" w:styleId="Heading5Char">
    <w:name w:val="Heading 5 Char"/>
    <w:basedOn w:val="DefaultParagraphFont"/>
    <w:link w:val="Heading5"/>
    <w:uiPriority w:val="9"/>
    <w:semiHidden/>
    <w:locked/>
    <w:rsid w:val="00FD5F7D"/>
    <w:rPr>
      <w:rFonts w:ascii="Calibri" w:hAnsi="Calibri" w:cs="Arial"/>
      <w:b/>
      <w:bCs/>
      <w:i/>
      <w:iCs/>
      <w:sz w:val="26"/>
      <w:szCs w:val="26"/>
    </w:rPr>
  </w:style>
  <w:style w:type="character" w:customStyle="1" w:styleId="Heading6Char">
    <w:name w:val="Heading 6 Char"/>
    <w:basedOn w:val="DefaultParagraphFont"/>
    <w:link w:val="Heading6"/>
    <w:uiPriority w:val="9"/>
    <w:semiHidden/>
    <w:locked/>
    <w:rsid w:val="00FD5F7D"/>
    <w:rPr>
      <w:rFonts w:ascii="Times New Roman" w:hAnsi="Times New Roman" w:cs="Times New Roman"/>
      <w:b/>
      <w:bCs/>
    </w:rPr>
  </w:style>
  <w:style w:type="character" w:customStyle="1" w:styleId="Heading7Char">
    <w:name w:val="Heading 7 Char"/>
    <w:basedOn w:val="DefaultParagraphFont"/>
    <w:link w:val="Heading7"/>
    <w:uiPriority w:val="9"/>
    <w:semiHidden/>
    <w:locked/>
    <w:rsid w:val="00FD5F7D"/>
    <w:rPr>
      <w:rFonts w:ascii="Calibri" w:hAnsi="Calibri" w:cs="Arial"/>
      <w:sz w:val="24"/>
      <w:szCs w:val="24"/>
    </w:rPr>
  </w:style>
  <w:style w:type="character" w:customStyle="1" w:styleId="Heading8Char">
    <w:name w:val="Heading 8 Char"/>
    <w:basedOn w:val="DefaultParagraphFont"/>
    <w:link w:val="Heading8"/>
    <w:uiPriority w:val="9"/>
    <w:semiHidden/>
    <w:locked/>
    <w:rsid w:val="00FD5F7D"/>
    <w:rPr>
      <w:rFonts w:ascii="Calibri" w:hAnsi="Calibri" w:cs="Arial"/>
      <w:i/>
      <w:iCs/>
      <w:sz w:val="24"/>
      <w:szCs w:val="24"/>
    </w:rPr>
  </w:style>
  <w:style w:type="character" w:customStyle="1" w:styleId="Heading9Char">
    <w:name w:val="Heading 9 Char"/>
    <w:basedOn w:val="DefaultParagraphFont"/>
    <w:link w:val="Heading9"/>
    <w:uiPriority w:val="9"/>
    <w:semiHidden/>
    <w:locked/>
    <w:rsid w:val="00FD5F7D"/>
    <w:rPr>
      <w:rFonts w:ascii="Cambria" w:hAnsi="Cambria" w:cs="Times New Roman"/>
    </w:rPr>
  </w:style>
  <w:style w:type="paragraph" w:styleId="ListParagraph">
    <w:name w:val="List Paragraph"/>
    <w:basedOn w:val="Normal"/>
    <w:link w:val="ListParagraphChar"/>
    <w:uiPriority w:val="34"/>
    <w:qFormat/>
    <w:rsid w:val="00AA5C14"/>
    <w:pPr>
      <w:ind w:left="720"/>
      <w:contextualSpacing/>
    </w:pPr>
  </w:style>
  <w:style w:type="paragraph" w:styleId="BalloonText">
    <w:name w:val="Balloon Text"/>
    <w:basedOn w:val="Normal"/>
    <w:link w:val="BalloonTextChar"/>
    <w:uiPriority w:val="99"/>
    <w:semiHidden/>
    <w:unhideWhenUsed/>
    <w:rsid w:val="007356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356EB"/>
    <w:rPr>
      <w:rFonts w:ascii="Tahoma" w:hAnsi="Tahoma" w:cs="Tahoma"/>
      <w:sz w:val="16"/>
      <w:szCs w:val="16"/>
    </w:rPr>
  </w:style>
  <w:style w:type="paragraph" w:styleId="NoSpacing">
    <w:name w:val="No Spacing"/>
    <w:uiPriority w:val="1"/>
    <w:qFormat/>
    <w:rsid w:val="00CD5E6F"/>
    <w:pPr>
      <w:spacing w:after="0" w:line="240" w:lineRule="auto"/>
    </w:pPr>
    <w:rPr>
      <w:rFonts w:cs="Arial"/>
    </w:rPr>
  </w:style>
  <w:style w:type="paragraph" w:styleId="NormalWeb">
    <w:name w:val="Normal (Web)"/>
    <w:basedOn w:val="Normal"/>
    <w:uiPriority w:val="99"/>
    <w:unhideWhenUsed/>
    <w:rsid w:val="000C0D20"/>
    <w:pPr>
      <w:spacing w:before="100" w:beforeAutospacing="1" w:after="100" w:afterAutospacing="1" w:line="240" w:lineRule="auto"/>
    </w:pPr>
    <w:rPr>
      <w:rFonts w:ascii="Times New Roman" w:hAnsi="Times New Roman" w:cs="Times New Roman"/>
      <w:sz w:val="24"/>
      <w:szCs w:val="24"/>
      <w:lang w:val="en-ID" w:eastAsia="en-ID"/>
    </w:rPr>
  </w:style>
  <w:style w:type="character" w:styleId="Emphasis">
    <w:name w:val="Emphasis"/>
    <w:basedOn w:val="DefaultParagraphFont"/>
    <w:uiPriority w:val="20"/>
    <w:qFormat/>
    <w:rsid w:val="000C0D20"/>
    <w:rPr>
      <w:rFonts w:cs="Times New Roman"/>
      <w:i/>
      <w:iCs/>
    </w:rPr>
  </w:style>
  <w:style w:type="character" w:styleId="Hyperlink">
    <w:name w:val="Hyperlink"/>
    <w:basedOn w:val="DefaultParagraphFont"/>
    <w:uiPriority w:val="99"/>
    <w:unhideWhenUsed/>
    <w:rsid w:val="000C0D20"/>
    <w:rPr>
      <w:rFonts w:cs="Times New Roman"/>
      <w:color w:val="0000FF"/>
      <w:u w:val="single"/>
    </w:rPr>
  </w:style>
  <w:style w:type="character" w:customStyle="1" w:styleId="ListParagraphChar">
    <w:name w:val="List Paragraph Char"/>
    <w:link w:val="ListParagraph"/>
    <w:uiPriority w:val="34"/>
    <w:qFormat/>
    <w:locked/>
    <w:rsid w:val="00837B25"/>
  </w:style>
  <w:style w:type="paragraph" w:customStyle="1" w:styleId="Default">
    <w:name w:val="Default"/>
    <w:rsid w:val="00C27BC5"/>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FootnoteText">
    <w:name w:val="footnote text"/>
    <w:basedOn w:val="Normal"/>
    <w:link w:val="FootnoteTextChar"/>
    <w:uiPriority w:val="99"/>
    <w:unhideWhenUsed/>
    <w:rsid w:val="0044354C"/>
    <w:pPr>
      <w:spacing w:after="0" w:line="240" w:lineRule="auto"/>
    </w:pPr>
    <w:rPr>
      <w:sz w:val="20"/>
      <w:szCs w:val="20"/>
    </w:rPr>
  </w:style>
  <w:style w:type="character" w:customStyle="1" w:styleId="FootnoteTextChar">
    <w:name w:val="Footnote Text Char"/>
    <w:basedOn w:val="DefaultParagraphFont"/>
    <w:link w:val="FootnoteText"/>
    <w:uiPriority w:val="99"/>
    <w:locked/>
    <w:rsid w:val="0044354C"/>
    <w:rPr>
      <w:rFonts w:cs="Times New Roman"/>
      <w:sz w:val="20"/>
      <w:szCs w:val="20"/>
    </w:rPr>
  </w:style>
  <w:style w:type="character" w:styleId="FootnoteReference">
    <w:name w:val="footnote reference"/>
    <w:basedOn w:val="DefaultParagraphFont"/>
    <w:uiPriority w:val="99"/>
    <w:unhideWhenUsed/>
    <w:rsid w:val="0044354C"/>
    <w:rPr>
      <w:rFonts w:cs="Times New Roman"/>
      <w:vertAlign w:val="superscript"/>
    </w:rPr>
  </w:style>
  <w:style w:type="paragraph" w:styleId="Header">
    <w:name w:val="header"/>
    <w:basedOn w:val="Normal"/>
    <w:link w:val="HeaderChar"/>
    <w:uiPriority w:val="99"/>
    <w:unhideWhenUsed/>
    <w:rsid w:val="005D4BA5"/>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5D4BA5"/>
    <w:rPr>
      <w:rFonts w:cs="Times New Roman"/>
    </w:rPr>
  </w:style>
  <w:style w:type="paragraph" w:styleId="Footer">
    <w:name w:val="footer"/>
    <w:basedOn w:val="Normal"/>
    <w:link w:val="FooterChar"/>
    <w:uiPriority w:val="99"/>
    <w:unhideWhenUsed/>
    <w:rsid w:val="005D4BA5"/>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5D4BA5"/>
    <w:rPr>
      <w:rFonts w:cs="Times New Roman"/>
    </w:rPr>
  </w:style>
  <w:style w:type="table" w:styleId="TableGrid">
    <w:name w:val="Table Grid"/>
    <w:basedOn w:val="TableNormal"/>
    <w:uiPriority w:val="39"/>
    <w:rsid w:val="00A51486"/>
    <w:pPr>
      <w:spacing w:after="0" w:line="240" w:lineRule="auto"/>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D7C6B"/>
    <w:pPr>
      <w:keepLines/>
      <w:tabs>
        <w:tab w:val="clear" w:pos="720"/>
      </w:tabs>
      <w:spacing w:after="0" w:line="259" w:lineRule="auto"/>
      <w:ind w:left="0" w:firstLine="0"/>
      <w:jc w:val="left"/>
      <w:outlineLvl w:val="9"/>
    </w:pPr>
    <w:rPr>
      <w:rFonts w:asciiTheme="majorHAnsi" w:eastAsiaTheme="majorEastAsia" w:hAnsiTheme="majorHAnsi"/>
      <w:b w:val="0"/>
      <w:bCs w:val="0"/>
      <w:color w:val="365F91" w:themeColor="accent1" w:themeShade="BF"/>
      <w:kern w:val="0"/>
      <w:sz w:val="32"/>
    </w:rPr>
  </w:style>
  <w:style w:type="paragraph" w:styleId="TOC1">
    <w:name w:val="toc 1"/>
    <w:basedOn w:val="Normal"/>
    <w:next w:val="Normal"/>
    <w:autoRedefine/>
    <w:uiPriority w:val="39"/>
    <w:unhideWhenUsed/>
    <w:rsid w:val="00ED7C6B"/>
    <w:pPr>
      <w:spacing w:after="100"/>
    </w:pPr>
    <w:rPr>
      <w:rFonts w:asciiTheme="majorBidi" w:hAnsiTheme="majorBidi"/>
      <w:b/>
      <w:sz w:val="24"/>
    </w:rPr>
  </w:style>
  <w:style w:type="paragraph" w:styleId="TOC2">
    <w:name w:val="toc 2"/>
    <w:basedOn w:val="Normal"/>
    <w:next w:val="Normal"/>
    <w:autoRedefine/>
    <w:uiPriority w:val="39"/>
    <w:unhideWhenUsed/>
    <w:rsid w:val="00ED7C6B"/>
    <w:pPr>
      <w:spacing w:after="100"/>
      <w:ind w:left="220"/>
    </w:pPr>
    <w:rPr>
      <w:rFonts w:asciiTheme="majorBidi" w:hAnsiTheme="majorBidi"/>
      <w:sz w:val="24"/>
    </w:rPr>
  </w:style>
  <w:style w:type="paragraph" w:styleId="TOC3">
    <w:name w:val="toc 3"/>
    <w:basedOn w:val="Normal"/>
    <w:next w:val="Normal"/>
    <w:autoRedefine/>
    <w:uiPriority w:val="39"/>
    <w:unhideWhenUsed/>
    <w:rsid w:val="00ED7C6B"/>
    <w:pPr>
      <w:spacing w:after="100"/>
      <w:ind w:left="440"/>
    </w:pPr>
    <w:rPr>
      <w:rFonts w:asciiTheme="majorBidi" w:hAnsiTheme="majorBidi"/>
      <w:sz w:val="24"/>
    </w:rPr>
  </w:style>
  <w:style w:type="paragraph" w:styleId="HTMLPreformatted">
    <w:name w:val="HTML Preformatted"/>
    <w:basedOn w:val="Normal"/>
    <w:link w:val="HTMLPreformattedChar"/>
    <w:uiPriority w:val="99"/>
    <w:unhideWhenUsed/>
    <w:rsid w:val="009840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984024"/>
    <w:rPr>
      <w:rFonts w:ascii="Courier New" w:hAnsi="Courier New" w:cs="Courier New"/>
      <w:sz w:val="20"/>
      <w:szCs w:val="20"/>
    </w:rPr>
  </w:style>
  <w:style w:type="character" w:customStyle="1" w:styleId="y2iqfc">
    <w:name w:val="y2iqfc"/>
    <w:basedOn w:val="DefaultParagraphFont"/>
    <w:rsid w:val="00984024"/>
    <w:rPr>
      <w:rFonts w:cs="Times New Roman"/>
    </w:rPr>
  </w:style>
  <w:style w:type="character" w:styleId="UnresolvedMention">
    <w:name w:val="Unresolved Mention"/>
    <w:basedOn w:val="DefaultParagraphFont"/>
    <w:uiPriority w:val="99"/>
    <w:semiHidden/>
    <w:unhideWhenUsed/>
    <w:rsid w:val="002B04D8"/>
    <w:rPr>
      <w:rFonts w:cs="Times New Roman"/>
      <w:color w:val="605E5C"/>
      <w:shd w:val="clear" w:color="auto" w:fill="E1DFDD"/>
    </w:rPr>
  </w:style>
  <w:style w:type="paragraph" w:styleId="BodyText">
    <w:name w:val="Body Text"/>
    <w:basedOn w:val="Normal"/>
    <w:link w:val="BodyTextChar"/>
    <w:uiPriority w:val="1"/>
    <w:qFormat/>
    <w:rsid w:val="007706C2"/>
    <w:pPr>
      <w:widowControl w:val="0"/>
      <w:autoSpaceDE w:val="0"/>
      <w:autoSpaceDN w:val="0"/>
      <w:spacing w:after="0" w:line="240" w:lineRule="auto"/>
    </w:pPr>
    <w:rPr>
      <w:rFonts w:ascii="Times New Roman" w:hAnsi="Times New Roman" w:cs="Times New Roman"/>
      <w:lang w:val="id-ID"/>
    </w:rPr>
  </w:style>
  <w:style w:type="character" w:customStyle="1" w:styleId="BodyTextChar">
    <w:name w:val="Body Text Char"/>
    <w:basedOn w:val="DefaultParagraphFont"/>
    <w:link w:val="BodyText"/>
    <w:uiPriority w:val="1"/>
    <w:locked/>
    <w:rsid w:val="007706C2"/>
    <w:rPr>
      <w:rFonts w:ascii="Times New Roman" w:hAnsi="Times New Roman" w:cs="Times New Roman"/>
      <w:lang w:val="id-ID" w:eastAsia="x-none"/>
    </w:rPr>
  </w:style>
  <w:style w:type="paragraph" w:customStyle="1" w:styleId="TableParagraph">
    <w:name w:val="Table Paragraph"/>
    <w:basedOn w:val="Normal"/>
    <w:uiPriority w:val="1"/>
    <w:qFormat/>
    <w:rsid w:val="00342732"/>
    <w:pPr>
      <w:widowControl w:val="0"/>
      <w:spacing w:after="0" w:line="240" w:lineRule="auto"/>
    </w:pPr>
    <w:rPr>
      <w:rFonts w:ascii="Times New Roman" w:hAnsi="Times New Roman" w:cs="Times New Roman"/>
    </w:rPr>
  </w:style>
  <w:style w:type="character" w:customStyle="1" w:styleId="markedcontent">
    <w:name w:val="markedcontent"/>
    <w:basedOn w:val="DefaultParagraphFont"/>
    <w:rsid w:val="001A68FD"/>
    <w:rPr>
      <w:rFonts w:cs="Times New Roman"/>
    </w:rPr>
  </w:style>
  <w:style w:type="character" w:styleId="Strong">
    <w:name w:val="Strong"/>
    <w:basedOn w:val="DefaultParagraphFont"/>
    <w:uiPriority w:val="22"/>
    <w:qFormat/>
    <w:rsid w:val="00C30B52"/>
    <w:rPr>
      <w:rFonts w:cs="Times New Roman"/>
      <w:b/>
      <w:bCs/>
    </w:rPr>
  </w:style>
  <w:style w:type="paragraph" w:styleId="ListContinue3">
    <w:name w:val="List Continue 3"/>
    <w:basedOn w:val="Normal"/>
    <w:uiPriority w:val="99"/>
    <w:semiHidden/>
    <w:unhideWhenUsed/>
    <w:rsid w:val="009A5011"/>
    <w:pPr>
      <w:spacing w:after="120"/>
      <w:ind w:left="849"/>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8302014">
      <w:marLeft w:val="0"/>
      <w:marRight w:val="0"/>
      <w:marTop w:val="0"/>
      <w:marBottom w:val="0"/>
      <w:divBdr>
        <w:top w:val="none" w:sz="0" w:space="0" w:color="auto"/>
        <w:left w:val="none" w:sz="0" w:space="0" w:color="auto"/>
        <w:bottom w:val="none" w:sz="0" w:space="0" w:color="auto"/>
        <w:right w:val="none" w:sz="0" w:space="0" w:color="auto"/>
      </w:divBdr>
    </w:div>
    <w:div w:id="1478302017">
      <w:marLeft w:val="0"/>
      <w:marRight w:val="0"/>
      <w:marTop w:val="0"/>
      <w:marBottom w:val="0"/>
      <w:divBdr>
        <w:top w:val="none" w:sz="0" w:space="0" w:color="auto"/>
        <w:left w:val="none" w:sz="0" w:space="0" w:color="auto"/>
        <w:bottom w:val="none" w:sz="0" w:space="0" w:color="auto"/>
        <w:right w:val="none" w:sz="0" w:space="0" w:color="auto"/>
      </w:divBdr>
    </w:div>
    <w:div w:id="1478302018">
      <w:marLeft w:val="0"/>
      <w:marRight w:val="0"/>
      <w:marTop w:val="0"/>
      <w:marBottom w:val="0"/>
      <w:divBdr>
        <w:top w:val="none" w:sz="0" w:space="0" w:color="auto"/>
        <w:left w:val="none" w:sz="0" w:space="0" w:color="auto"/>
        <w:bottom w:val="none" w:sz="0" w:space="0" w:color="auto"/>
        <w:right w:val="none" w:sz="0" w:space="0" w:color="auto"/>
      </w:divBdr>
    </w:div>
    <w:div w:id="1478302021">
      <w:marLeft w:val="0"/>
      <w:marRight w:val="0"/>
      <w:marTop w:val="0"/>
      <w:marBottom w:val="0"/>
      <w:divBdr>
        <w:top w:val="none" w:sz="0" w:space="0" w:color="auto"/>
        <w:left w:val="none" w:sz="0" w:space="0" w:color="auto"/>
        <w:bottom w:val="none" w:sz="0" w:space="0" w:color="auto"/>
        <w:right w:val="none" w:sz="0" w:space="0" w:color="auto"/>
      </w:divBdr>
    </w:div>
    <w:div w:id="1478302024">
      <w:marLeft w:val="0"/>
      <w:marRight w:val="0"/>
      <w:marTop w:val="0"/>
      <w:marBottom w:val="0"/>
      <w:divBdr>
        <w:top w:val="none" w:sz="0" w:space="0" w:color="auto"/>
        <w:left w:val="none" w:sz="0" w:space="0" w:color="auto"/>
        <w:bottom w:val="none" w:sz="0" w:space="0" w:color="auto"/>
        <w:right w:val="none" w:sz="0" w:space="0" w:color="auto"/>
      </w:divBdr>
      <w:divsChild>
        <w:div w:id="1478302022">
          <w:marLeft w:val="806"/>
          <w:marRight w:val="0"/>
          <w:marTop w:val="200"/>
          <w:marBottom w:val="0"/>
          <w:divBdr>
            <w:top w:val="none" w:sz="0" w:space="0" w:color="auto"/>
            <w:left w:val="none" w:sz="0" w:space="0" w:color="auto"/>
            <w:bottom w:val="none" w:sz="0" w:space="0" w:color="auto"/>
            <w:right w:val="none" w:sz="0" w:space="0" w:color="auto"/>
          </w:divBdr>
        </w:div>
        <w:div w:id="1478302027">
          <w:marLeft w:val="806"/>
          <w:marRight w:val="0"/>
          <w:marTop w:val="200"/>
          <w:marBottom w:val="0"/>
          <w:divBdr>
            <w:top w:val="none" w:sz="0" w:space="0" w:color="auto"/>
            <w:left w:val="none" w:sz="0" w:space="0" w:color="auto"/>
            <w:bottom w:val="none" w:sz="0" w:space="0" w:color="auto"/>
            <w:right w:val="none" w:sz="0" w:space="0" w:color="auto"/>
          </w:divBdr>
        </w:div>
        <w:div w:id="1478302032">
          <w:marLeft w:val="806"/>
          <w:marRight w:val="0"/>
          <w:marTop w:val="200"/>
          <w:marBottom w:val="0"/>
          <w:divBdr>
            <w:top w:val="none" w:sz="0" w:space="0" w:color="auto"/>
            <w:left w:val="none" w:sz="0" w:space="0" w:color="auto"/>
            <w:bottom w:val="none" w:sz="0" w:space="0" w:color="auto"/>
            <w:right w:val="none" w:sz="0" w:space="0" w:color="auto"/>
          </w:divBdr>
        </w:div>
        <w:div w:id="1478302087">
          <w:marLeft w:val="806"/>
          <w:marRight w:val="0"/>
          <w:marTop w:val="200"/>
          <w:marBottom w:val="0"/>
          <w:divBdr>
            <w:top w:val="none" w:sz="0" w:space="0" w:color="auto"/>
            <w:left w:val="none" w:sz="0" w:space="0" w:color="auto"/>
            <w:bottom w:val="none" w:sz="0" w:space="0" w:color="auto"/>
            <w:right w:val="none" w:sz="0" w:space="0" w:color="auto"/>
          </w:divBdr>
        </w:div>
        <w:div w:id="1478302090">
          <w:marLeft w:val="806"/>
          <w:marRight w:val="0"/>
          <w:marTop w:val="200"/>
          <w:marBottom w:val="0"/>
          <w:divBdr>
            <w:top w:val="none" w:sz="0" w:space="0" w:color="auto"/>
            <w:left w:val="none" w:sz="0" w:space="0" w:color="auto"/>
            <w:bottom w:val="none" w:sz="0" w:space="0" w:color="auto"/>
            <w:right w:val="none" w:sz="0" w:space="0" w:color="auto"/>
          </w:divBdr>
        </w:div>
      </w:divsChild>
    </w:div>
    <w:div w:id="1478302028">
      <w:marLeft w:val="0"/>
      <w:marRight w:val="0"/>
      <w:marTop w:val="0"/>
      <w:marBottom w:val="0"/>
      <w:divBdr>
        <w:top w:val="none" w:sz="0" w:space="0" w:color="auto"/>
        <w:left w:val="none" w:sz="0" w:space="0" w:color="auto"/>
        <w:bottom w:val="none" w:sz="0" w:space="0" w:color="auto"/>
        <w:right w:val="none" w:sz="0" w:space="0" w:color="auto"/>
      </w:divBdr>
    </w:div>
    <w:div w:id="1478302029">
      <w:marLeft w:val="0"/>
      <w:marRight w:val="0"/>
      <w:marTop w:val="0"/>
      <w:marBottom w:val="0"/>
      <w:divBdr>
        <w:top w:val="none" w:sz="0" w:space="0" w:color="auto"/>
        <w:left w:val="none" w:sz="0" w:space="0" w:color="auto"/>
        <w:bottom w:val="none" w:sz="0" w:space="0" w:color="auto"/>
        <w:right w:val="none" w:sz="0" w:space="0" w:color="auto"/>
      </w:divBdr>
    </w:div>
    <w:div w:id="1478302031">
      <w:marLeft w:val="0"/>
      <w:marRight w:val="0"/>
      <w:marTop w:val="0"/>
      <w:marBottom w:val="0"/>
      <w:divBdr>
        <w:top w:val="none" w:sz="0" w:space="0" w:color="auto"/>
        <w:left w:val="none" w:sz="0" w:space="0" w:color="auto"/>
        <w:bottom w:val="none" w:sz="0" w:space="0" w:color="auto"/>
        <w:right w:val="none" w:sz="0" w:space="0" w:color="auto"/>
      </w:divBdr>
    </w:div>
    <w:div w:id="1478302033">
      <w:marLeft w:val="0"/>
      <w:marRight w:val="0"/>
      <w:marTop w:val="0"/>
      <w:marBottom w:val="0"/>
      <w:divBdr>
        <w:top w:val="none" w:sz="0" w:space="0" w:color="auto"/>
        <w:left w:val="none" w:sz="0" w:space="0" w:color="auto"/>
        <w:bottom w:val="none" w:sz="0" w:space="0" w:color="auto"/>
        <w:right w:val="none" w:sz="0" w:space="0" w:color="auto"/>
      </w:divBdr>
    </w:div>
    <w:div w:id="1478302035">
      <w:marLeft w:val="0"/>
      <w:marRight w:val="0"/>
      <w:marTop w:val="0"/>
      <w:marBottom w:val="0"/>
      <w:divBdr>
        <w:top w:val="none" w:sz="0" w:space="0" w:color="auto"/>
        <w:left w:val="none" w:sz="0" w:space="0" w:color="auto"/>
        <w:bottom w:val="none" w:sz="0" w:space="0" w:color="auto"/>
        <w:right w:val="none" w:sz="0" w:space="0" w:color="auto"/>
      </w:divBdr>
      <w:divsChild>
        <w:div w:id="1478302041">
          <w:marLeft w:val="0"/>
          <w:marRight w:val="0"/>
          <w:marTop w:val="0"/>
          <w:marBottom w:val="0"/>
          <w:divBdr>
            <w:top w:val="none" w:sz="0" w:space="0" w:color="auto"/>
            <w:left w:val="none" w:sz="0" w:space="0" w:color="auto"/>
            <w:bottom w:val="none" w:sz="0" w:space="0" w:color="auto"/>
            <w:right w:val="none" w:sz="0" w:space="0" w:color="auto"/>
          </w:divBdr>
          <w:divsChild>
            <w:div w:id="1478302111">
              <w:marLeft w:val="0"/>
              <w:marRight w:val="0"/>
              <w:marTop w:val="0"/>
              <w:marBottom w:val="0"/>
              <w:divBdr>
                <w:top w:val="none" w:sz="0" w:space="0" w:color="auto"/>
                <w:left w:val="none" w:sz="0" w:space="0" w:color="auto"/>
                <w:bottom w:val="none" w:sz="0" w:space="0" w:color="auto"/>
                <w:right w:val="none" w:sz="0" w:space="0" w:color="auto"/>
              </w:divBdr>
              <w:divsChild>
                <w:div w:id="1478302056">
                  <w:marLeft w:val="0"/>
                  <w:marRight w:val="0"/>
                  <w:marTop w:val="0"/>
                  <w:marBottom w:val="0"/>
                  <w:divBdr>
                    <w:top w:val="none" w:sz="0" w:space="0" w:color="auto"/>
                    <w:left w:val="none" w:sz="0" w:space="0" w:color="auto"/>
                    <w:bottom w:val="none" w:sz="0" w:space="0" w:color="auto"/>
                    <w:right w:val="none" w:sz="0" w:space="0" w:color="auto"/>
                  </w:divBdr>
                  <w:divsChild>
                    <w:div w:id="1478302034">
                      <w:marLeft w:val="0"/>
                      <w:marRight w:val="0"/>
                      <w:marTop w:val="0"/>
                      <w:marBottom w:val="0"/>
                      <w:divBdr>
                        <w:top w:val="none" w:sz="0" w:space="0" w:color="auto"/>
                        <w:left w:val="none" w:sz="0" w:space="0" w:color="auto"/>
                        <w:bottom w:val="none" w:sz="0" w:space="0" w:color="auto"/>
                        <w:right w:val="none" w:sz="0" w:space="0" w:color="auto"/>
                      </w:divBdr>
                      <w:divsChild>
                        <w:div w:id="1478302098">
                          <w:marLeft w:val="0"/>
                          <w:marRight w:val="0"/>
                          <w:marTop w:val="0"/>
                          <w:marBottom w:val="0"/>
                          <w:divBdr>
                            <w:top w:val="none" w:sz="0" w:space="0" w:color="auto"/>
                            <w:left w:val="none" w:sz="0" w:space="0" w:color="auto"/>
                            <w:bottom w:val="none" w:sz="0" w:space="0" w:color="auto"/>
                            <w:right w:val="none" w:sz="0" w:space="0" w:color="auto"/>
                          </w:divBdr>
                          <w:divsChild>
                            <w:div w:id="1478302106">
                              <w:marLeft w:val="0"/>
                              <w:marRight w:val="0"/>
                              <w:marTop w:val="0"/>
                              <w:marBottom w:val="0"/>
                              <w:divBdr>
                                <w:top w:val="none" w:sz="0" w:space="0" w:color="auto"/>
                                <w:left w:val="none" w:sz="0" w:space="0" w:color="auto"/>
                                <w:bottom w:val="none" w:sz="0" w:space="0" w:color="auto"/>
                                <w:right w:val="none" w:sz="0" w:space="0" w:color="auto"/>
                              </w:divBdr>
                              <w:divsChild>
                                <w:div w:id="1478302064">
                                  <w:marLeft w:val="0"/>
                                  <w:marRight w:val="0"/>
                                  <w:marTop w:val="0"/>
                                  <w:marBottom w:val="0"/>
                                  <w:divBdr>
                                    <w:top w:val="none" w:sz="0" w:space="0" w:color="auto"/>
                                    <w:left w:val="none" w:sz="0" w:space="0" w:color="auto"/>
                                    <w:bottom w:val="none" w:sz="0" w:space="0" w:color="auto"/>
                                    <w:right w:val="none" w:sz="0" w:space="0" w:color="auto"/>
                                  </w:divBdr>
                                  <w:divsChild>
                                    <w:div w:id="1478302121">
                                      <w:marLeft w:val="0"/>
                                      <w:marRight w:val="0"/>
                                      <w:marTop w:val="0"/>
                                      <w:marBottom w:val="0"/>
                                      <w:divBdr>
                                        <w:top w:val="none" w:sz="0" w:space="0" w:color="auto"/>
                                        <w:left w:val="none" w:sz="0" w:space="0" w:color="auto"/>
                                        <w:bottom w:val="none" w:sz="0" w:space="0" w:color="auto"/>
                                        <w:right w:val="none" w:sz="0" w:space="0" w:color="auto"/>
                                      </w:divBdr>
                                      <w:divsChild>
                                        <w:div w:id="1478302019">
                                          <w:marLeft w:val="0"/>
                                          <w:marRight w:val="165"/>
                                          <w:marTop w:val="150"/>
                                          <w:marBottom w:val="0"/>
                                          <w:divBdr>
                                            <w:top w:val="none" w:sz="0" w:space="0" w:color="auto"/>
                                            <w:left w:val="none" w:sz="0" w:space="0" w:color="auto"/>
                                            <w:bottom w:val="none" w:sz="0" w:space="0" w:color="auto"/>
                                            <w:right w:val="none" w:sz="0" w:space="0" w:color="auto"/>
                                          </w:divBdr>
                                          <w:divsChild>
                                            <w:div w:id="1478302099">
                                              <w:marLeft w:val="0"/>
                                              <w:marRight w:val="0"/>
                                              <w:marTop w:val="0"/>
                                              <w:marBottom w:val="0"/>
                                              <w:divBdr>
                                                <w:top w:val="none" w:sz="0" w:space="0" w:color="auto"/>
                                                <w:left w:val="none" w:sz="0" w:space="0" w:color="auto"/>
                                                <w:bottom w:val="none" w:sz="0" w:space="0" w:color="auto"/>
                                                <w:right w:val="none" w:sz="0" w:space="0" w:color="auto"/>
                                              </w:divBdr>
                                              <w:divsChild>
                                                <w:div w:id="147830201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47830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8302036">
      <w:marLeft w:val="0"/>
      <w:marRight w:val="0"/>
      <w:marTop w:val="0"/>
      <w:marBottom w:val="0"/>
      <w:divBdr>
        <w:top w:val="none" w:sz="0" w:space="0" w:color="auto"/>
        <w:left w:val="none" w:sz="0" w:space="0" w:color="auto"/>
        <w:bottom w:val="none" w:sz="0" w:space="0" w:color="auto"/>
        <w:right w:val="none" w:sz="0" w:space="0" w:color="auto"/>
      </w:divBdr>
    </w:div>
    <w:div w:id="1478302040">
      <w:marLeft w:val="0"/>
      <w:marRight w:val="0"/>
      <w:marTop w:val="0"/>
      <w:marBottom w:val="0"/>
      <w:divBdr>
        <w:top w:val="none" w:sz="0" w:space="0" w:color="auto"/>
        <w:left w:val="none" w:sz="0" w:space="0" w:color="auto"/>
        <w:bottom w:val="none" w:sz="0" w:space="0" w:color="auto"/>
        <w:right w:val="none" w:sz="0" w:space="0" w:color="auto"/>
      </w:divBdr>
    </w:div>
    <w:div w:id="1478302042">
      <w:marLeft w:val="0"/>
      <w:marRight w:val="0"/>
      <w:marTop w:val="0"/>
      <w:marBottom w:val="0"/>
      <w:divBdr>
        <w:top w:val="none" w:sz="0" w:space="0" w:color="auto"/>
        <w:left w:val="none" w:sz="0" w:space="0" w:color="auto"/>
        <w:bottom w:val="none" w:sz="0" w:space="0" w:color="auto"/>
        <w:right w:val="none" w:sz="0" w:space="0" w:color="auto"/>
      </w:divBdr>
      <w:divsChild>
        <w:div w:id="1478302030">
          <w:marLeft w:val="360"/>
          <w:marRight w:val="0"/>
          <w:marTop w:val="200"/>
          <w:marBottom w:val="0"/>
          <w:divBdr>
            <w:top w:val="none" w:sz="0" w:space="0" w:color="auto"/>
            <w:left w:val="none" w:sz="0" w:space="0" w:color="auto"/>
            <w:bottom w:val="none" w:sz="0" w:space="0" w:color="auto"/>
            <w:right w:val="none" w:sz="0" w:space="0" w:color="auto"/>
          </w:divBdr>
        </w:div>
        <w:div w:id="1478302038">
          <w:marLeft w:val="360"/>
          <w:marRight w:val="0"/>
          <w:marTop w:val="200"/>
          <w:marBottom w:val="0"/>
          <w:divBdr>
            <w:top w:val="none" w:sz="0" w:space="0" w:color="auto"/>
            <w:left w:val="none" w:sz="0" w:space="0" w:color="auto"/>
            <w:bottom w:val="none" w:sz="0" w:space="0" w:color="auto"/>
            <w:right w:val="none" w:sz="0" w:space="0" w:color="auto"/>
          </w:divBdr>
        </w:div>
        <w:div w:id="1478302054">
          <w:marLeft w:val="720"/>
          <w:marRight w:val="0"/>
          <w:marTop w:val="200"/>
          <w:marBottom w:val="0"/>
          <w:divBdr>
            <w:top w:val="none" w:sz="0" w:space="0" w:color="auto"/>
            <w:left w:val="none" w:sz="0" w:space="0" w:color="auto"/>
            <w:bottom w:val="none" w:sz="0" w:space="0" w:color="auto"/>
            <w:right w:val="none" w:sz="0" w:space="0" w:color="auto"/>
          </w:divBdr>
        </w:div>
        <w:div w:id="1478302069">
          <w:marLeft w:val="360"/>
          <w:marRight w:val="0"/>
          <w:marTop w:val="200"/>
          <w:marBottom w:val="0"/>
          <w:divBdr>
            <w:top w:val="none" w:sz="0" w:space="0" w:color="auto"/>
            <w:left w:val="none" w:sz="0" w:space="0" w:color="auto"/>
            <w:bottom w:val="none" w:sz="0" w:space="0" w:color="auto"/>
            <w:right w:val="none" w:sz="0" w:space="0" w:color="auto"/>
          </w:divBdr>
        </w:div>
        <w:div w:id="1478302085">
          <w:marLeft w:val="360"/>
          <w:marRight w:val="0"/>
          <w:marTop w:val="200"/>
          <w:marBottom w:val="0"/>
          <w:divBdr>
            <w:top w:val="none" w:sz="0" w:space="0" w:color="auto"/>
            <w:left w:val="none" w:sz="0" w:space="0" w:color="auto"/>
            <w:bottom w:val="none" w:sz="0" w:space="0" w:color="auto"/>
            <w:right w:val="none" w:sz="0" w:space="0" w:color="auto"/>
          </w:divBdr>
        </w:div>
        <w:div w:id="1478302091">
          <w:marLeft w:val="360"/>
          <w:marRight w:val="0"/>
          <w:marTop w:val="200"/>
          <w:marBottom w:val="0"/>
          <w:divBdr>
            <w:top w:val="none" w:sz="0" w:space="0" w:color="auto"/>
            <w:left w:val="none" w:sz="0" w:space="0" w:color="auto"/>
            <w:bottom w:val="none" w:sz="0" w:space="0" w:color="auto"/>
            <w:right w:val="none" w:sz="0" w:space="0" w:color="auto"/>
          </w:divBdr>
        </w:div>
        <w:div w:id="1478302103">
          <w:marLeft w:val="720"/>
          <w:marRight w:val="0"/>
          <w:marTop w:val="200"/>
          <w:marBottom w:val="0"/>
          <w:divBdr>
            <w:top w:val="none" w:sz="0" w:space="0" w:color="auto"/>
            <w:left w:val="none" w:sz="0" w:space="0" w:color="auto"/>
            <w:bottom w:val="none" w:sz="0" w:space="0" w:color="auto"/>
            <w:right w:val="none" w:sz="0" w:space="0" w:color="auto"/>
          </w:divBdr>
        </w:div>
        <w:div w:id="1478302104">
          <w:marLeft w:val="360"/>
          <w:marRight w:val="0"/>
          <w:marTop w:val="200"/>
          <w:marBottom w:val="0"/>
          <w:divBdr>
            <w:top w:val="none" w:sz="0" w:space="0" w:color="auto"/>
            <w:left w:val="none" w:sz="0" w:space="0" w:color="auto"/>
            <w:bottom w:val="none" w:sz="0" w:space="0" w:color="auto"/>
            <w:right w:val="none" w:sz="0" w:space="0" w:color="auto"/>
          </w:divBdr>
        </w:div>
        <w:div w:id="1478302119">
          <w:marLeft w:val="720"/>
          <w:marRight w:val="0"/>
          <w:marTop w:val="200"/>
          <w:marBottom w:val="0"/>
          <w:divBdr>
            <w:top w:val="none" w:sz="0" w:space="0" w:color="auto"/>
            <w:left w:val="none" w:sz="0" w:space="0" w:color="auto"/>
            <w:bottom w:val="none" w:sz="0" w:space="0" w:color="auto"/>
            <w:right w:val="none" w:sz="0" w:space="0" w:color="auto"/>
          </w:divBdr>
        </w:div>
        <w:div w:id="1478302126">
          <w:marLeft w:val="360"/>
          <w:marRight w:val="0"/>
          <w:marTop w:val="200"/>
          <w:marBottom w:val="0"/>
          <w:divBdr>
            <w:top w:val="none" w:sz="0" w:space="0" w:color="auto"/>
            <w:left w:val="none" w:sz="0" w:space="0" w:color="auto"/>
            <w:bottom w:val="none" w:sz="0" w:space="0" w:color="auto"/>
            <w:right w:val="none" w:sz="0" w:space="0" w:color="auto"/>
          </w:divBdr>
        </w:div>
      </w:divsChild>
    </w:div>
    <w:div w:id="1478302043">
      <w:marLeft w:val="0"/>
      <w:marRight w:val="0"/>
      <w:marTop w:val="0"/>
      <w:marBottom w:val="0"/>
      <w:divBdr>
        <w:top w:val="none" w:sz="0" w:space="0" w:color="auto"/>
        <w:left w:val="none" w:sz="0" w:space="0" w:color="auto"/>
        <w:bottom w:val="none" w:sz="0" w:space="0" w:color="auto"/>
        <w:right w:val="none" w:sz="0" w:space="0" w:color="auto"/>
      </w:divBdr>
    </w:div>
    <w:div w:id="1478302044">
      <w:marLeft w:val="0"/>
      <w:marRight w:val="0"/>
      <w:marTop w:val="0"/>
      <w:marBottom w:val="0"/>
      <w:divBdr>
        <w:top w:val="none" w:sz="0" w:space="0" w:color="auto"/>
        <w:left w:val="none" w:sz="0" w:space="0" w:color="auto"/>
        <w:bottom w:val="none" w:sz="0" w:space="0" w:color="auto"/>
        <w:right w:val="none" w:sz="0" w:space="0" w:color="auto"/>
      </w:divBdr>
    </w:div>
    <w:div w:id="1478302046">
      <w:marLeft w:val="0"/>
      <w:marRight w:val="0"/>
      <w:marTop w:val="0"/>
      <w:marBottom w:val="0"/>
      <w:divBdr>
        <w:top w:val="none" w:sz="0" w:space="0" w:color="auto"/>
        <w:left w:val="none" w:sz="0" w:space="0" w:color="auto"/>
        <w:bottom w:val="none" w:sz="0" w:space="0" w:color="auto"/>
        <w:right w:val="none" w:sz="0" w:space="0" w:color="auto"/>
      </w:divBdr>
      <w:divsChild>
        <w:div w:id="1478302023">
          <w:marLeft w:val="360"/>
          <w:marRight w:val="0"/>
          <w:marTop w:val="200"/>
          <w:marBottom w:val="0"/>
          <w:divBdr>
            <w:top w:val="none" w:sz="0" w:space="0" w:color="auto"/>
            <w:left w:val="none" w:sz="0" w:space="0" w:color="auto"/>
            <w:bottom w:val="none" w:sz="0" w:space="0" w:color="auto"/>
            <w:right w:val="none" w:sz="0" w:space="0" w:color="auto"/>
          </w:divBdr>
        </w:div>
        <w:div w:id="1478302115">
          <w:marLeft w:val="360"/>
          <w:marRight w:val="0"/>
          <w:marTop w:val="200"/>
          <w:marBottom w:val="0"/>
          <w:divBdr>
            <w:top w:val="none" w:sz="0" w:space="0" w:color="auto"/>
            <w:left w:val="none" w:sz="0" w:space="0" w:color="auto"/>
            <w:bottom w:val="none" w:sz="0" w:space="0" w:color="auto"/>
            <w:right w:val="none" w:sz="0" w:space="0" w:color="auto"/>
          </w:divBdr>
        </w:div>
      </w:divsChild>
    </w:div>
    <w:div w:id="1478302047">
      <w:marLeft w:val="0"/>
      <w:marRight w:val="0"/>
      <w:marTop w:val="0"/>
      <w:marBottom w:val="0"/>
      <w:divBdr>
        <w:top w:val="none" w:sz="0" w:space="0" w:color="auto"/>
        <w:left w:val="none" w:sz="0" w:space="0" w:color="auto"/>
        <w:bottom w:val="none" w:sz="0" w:space="0" w:color="auto"/>
        <w:right w:val="none" w:sz="0" w:space="0" w:color="auto"/>
      </w:divBdr>
    </w:div>
    <w:div w:id="1478302048">
      <w:marLeft w:val="0"/>
      <w:marRight w:val="0"/>
      <w:marTop w:val="0"/>
      <w:marBottom w:val="0"/>
      <w:divBdr>
        <w:top w:val="none" w:sz="0" w:space="0" w:color="auto"/>
        <w:left w:val="none" w:sz="0" w:space="0" w:color="auto"/>
        <w:bottom w:val="none" w:sz="0" w:space="0" w:color="auto"/>
        <w:right w:val="none" w:sz="0" w:space="0" w:color="auto"/>
      </w:divBdr>
    </w:div>
    <w:div w:id="1478302049">
      <w:marLeft w:val="0"/>
      <w:marRight w:val="0"/>
      <w:marTop w:val="0"/>
      <w:marBottom w:val="0"/>
      <w:divBdr>
        <w:top w:val="none" w:sz="0" w:space="0" w:color="auto"/>
        <w:left w:val="none" w:sz="0" w:space="0" w:color="auto"/>
        <w:bottom w:val="none" w:sz="0" w:space="0" w:color="auto"/>
        <w:right w:val="none" w:sz="0" w:space="0" w:color="auto"/>
      </w:divBdr>
    </w:div>
    <w:div w:id="1478302050">
      <w:marLeft w:val="0"/>
      <w:marRight w:val="0"/>
      <w:marTop w:val="0"/>
      <w:marBottom w:val="0"/>
      <w:divBdr>
        <w:top w:val="none" w:sz="0" w:space="0" w:color="auto"/>
        <w:left w:val="none" w:sz="0" w:space="0" w:color="auto"/>
        <w:bottom w:val="none" w:sz="0" w:space="0" w:color="auto"/>
        <w:right w:val="none" w:sz="0" w:space="0" w:color="auto"/>
      </w:divBdr>
    </w:div>
    <w:div w:id="1478302051">
      <w:marLeft w:val="0"/>
      <w:marRight w:val="0"/>
      <w:marTop w:val="0"/>
      <w:marBottom w:val="0"/>
      <w:divBdr>
        <w:top w:val="none" w:sz="0" w:space="0" w:color="auto"/>
        <w:left w:val="none" w:sz="0" w:space="0" w:color="auto"/>
        <w:bottom w:val="none" w:sz="0" w:space="0" w:color="auto"/>
        <w:right w:val="none" w:sz="0" w:space="0" w:color="auto"/>
      </w:divBdr>
    </w:div>
    <w:div w:id="1478302053">
      <w:marLeft w:val="0"/>
      <w:marRight w:val="0"/>
      <w:marTop w:val="0"/>
      <w:marBottom w:val="0"/>
      <w:divBdr>
        <w:top w:val="none" w:sz="0" w:space="0" w:color="auto"/>
        <w:left w:val="none" w:sz="0" w:space="0" w:color="auto"/>
        <w:bottom w:val="none" w:sz="0" w:space="0" w:color="auto"/>
        <w:right w:val="none" w:sz="0" w:space="0" w:color="auto"/>
      </w:divBdr>
      <w:divsChild>
        <w:div w:id="1478302025">
          <w:marLeft w:val="360"/>
          <w:marRight w:val="0"/>
          <w:marTop w:val="200"/>
          <w:marBottom w:val="0"/>
          <w:divBdr>
            <w:top w:val="none" w:sz="0" w:space="0" w:color="auto"/>
            <w:left w:val="none" w:sz="0" w:space="0" w:color="auto"/>
            <w:bottom w:val="none" w:sz="0" w:space="0" w:color="auto"/>
            <w:right w:val="none" w:sz="0" w:space="0" w:color="auto"/>
          </w:divBdr>
        </w:div>
        <w:div w:id="1478302055">
          <w:marLeft w:val="360"/>
          <w:marRight w:val="0"/>
          <w:marTop w:val="200"/>
          <w:marBottom w:val="0"/>
          <w:divBdr>
            <w:top w:val="none" w:sz="0" w:space="0" w:color="auto"/>
            <w:left w:val="none" w:sz="0" w:space="0" w:color="auto"/>
            <w:bottom w:val="none" w:sz="0" w:space="0" w:color="auto"/>
            <w:right w:val="none" w:sz="0" w:space="0" w:color="auto"/>
          </w:divBdr>
        </w:div>
        <w:div w:id="1478302079">
          <w:marLeft w:val="360"/>
          <w:marRight w:val="0"/>
          <w:marTop w:val="200"/>
          <w:marBottom w:val="0"/>
          <w:divBdr>
            <w:top w:val="none" w:sz="0" w:space="0" w:color="auto"/>
            <w:left w:val="none" w:sz="0" w:space="0" w:color="auto"/>
            <w:bottom w:val="none" w:sz="0" w:space="0" w:color="auto"/>
            <w:right w:val="none" w:sz="0" w:space="0" w:color="auto"/>
          </w:divBdr>
        </w:div>
        <w:div w:id="1478302117">
          <w:marLeft w:val="360"/>
          <w:marRight w:val="0"/>
          <w:marTop w:val="200"/>
          <w:marBottom w:val="0"/>
          <w:divBdr>
            <w:top w:val="none" w:sz="0" w:space="0" w:color="auto"/>
            <w:left w:val="none" w:sz="0" w:space="0" w:color="auto"/>
            <w:bottom w:val="none" w:sz="0" w:space="0" w:color="auto"/>
            <w:right w:val="none" w:sz="0" w:space="0" w:color="auto"/>
          </w:divBdr>
        </w:div>
      </w:divsChild>
    </w:div>
    <w:div w:id="1478302057">
      <w:marLeft w:val="0"/>
      <w:marRight w:val="0"/>
      <w:marTop w:val="0"/>
      <w:marBottom w:val="0"/>
      <w:divBdr>
        <w:top w:val="none" w:sz="0" w:space="0" w:color="auto"/>
        <w:left w:val="none" w:sz="0" w:space="0" w:color="auto"/>
        <w:bottom w:val="none" w:sz="0" w:space="0" w:color="auto"/>
        <w:right w:val="none" w:sz="0" w:space="0" w:color="auto"/>
      </w:divBdr>
    </w:div>
    <w:div w:id="1478302059">
      <w:marLeft w:val="0"/>
      <w:marRight w:val="0"/>
      <w:marTop w:val="0"/>
      <w:marBottom w:val="0"/>
      <w:divBdr>
        <w:top w:val="none" w:sz="0" w:space="0" w:color="auto"/>
        <w:left w:val="none" w:sz="0" w:space="0" w:color="auto"/>
        <w:bottom w:val="none" w:sz="0" w:space="0" w:color="auto"/>
        <w:right w:val="none" w:sz="0" w:space="0" w:color="auto"/>
      </w:divBdr>
    </w:div>
    <w:div w:id="1478302060">
      <w:marLeft w:val="0"/>
      <w:marRight w:val="0"/>
      <w:marTop w:val="0"/>
      <w:marBottom w:val="0"/>
      <w:divBdr>
        <w:top w:val="none" w:sz="0" w:space="0" w:color="auto"/>
        <w:left w:val="none" w:sz="0" w:space="0" w:color="auto"/>
        <w:bottom w:val="none" w:sz="0" w:space="0" w:color="auto"/>
        <w:right w:val="none" w:sz="0" w:space="0" w:color="auto"/>
      </w:divBdr>
    </w:div>
    <w:div w:id="1478302061">
      <w:marLeft w:val="0"/>
      <w:marRight w:val="0"/>
      <w:marTop w:val="0"/>
      <w:marBottom w:val="0"/>
      <w:divBdr>
        <w:top w:val="none" w:sz="0" w:space="0" w:color="auto"/>
        <w:left w:val="none" w:sz="0" w:space="0" w:color="auto"/>
        <w:bottom w:val="none" w:sz="0" w:space="0" w:color="auto"/>
        <w:right w:val="none" w:sz="0" w:space="0" w:color="auto"/>
      </w:divBdr>
    </w:div>
    <w:div w:id="1478302062">
      <w:marLeft w:val="0"/>
      <w:marRight w:val="0"/>
      <w:marTop w:val="0"/>
      <w:marBottom w:val="0"/>
      <w:divBdr>
        <w:top w:val="none" w:sz="0" w:space="0" w:color="auto"/>
        <w:left w:val="none" w:sz="0" w:space="0" w:color="auto"/>
        <w:bottom w:val="none" w:sz="0" w:space="0" w:color="auto"/>
        <w:right w:val="none" w:sz="0" w:space="0" w:color="auto"/>
      </w:divBdr>
    </w:div>
    <w:div w:id="1478302063">
      <w:marLeft w:val="0"/>
      <w:marRight w:val="0"/>
      <w:marTop w:val="0"/>
      <w:marBottom w:val="0"/>
      <w:divBdr>
        <w:top w:val="none" w:sz="0" w:space="0" w:color="auto"/>
        <w:left w:val="none" w:sz="0" w:space="0" w:color="auto"/>
        <w:bottom w:val="none" w:sz="0" w:space="0" w:color="auto"/>
        <w:right w:val="none" w:sz="0" w:space="0" w:color="auto"/>
      </w:divBdr>
    </w:div>
    <w:div w:id="1478302065">
      <w:marLeft w:val="0"/>
      <w:marRight w:val="0"/>
      <w:marTop w:val="0"/>
      <w:marBottom w:val="0"/>
      <w:divBdr>
        <w:top w:val="none" w:sz="0" w:space="0" w:color="auto"/>
        <w:left w:val="none" w:sz="0" w:space="0" w:color="auto"/>
        <w:bottom w:val="none" w:sz="0" w:space="0" w:color="auto"/>
        <w:right w:val="none" w:sz="0" w:space="0" w:color="auto"/>
      </w:divBdr>
    </w:div>
    <w:div w:id="1478302066">
      <w:marLeft w:val="0"/>
      <w:marRight w:val="0"/>
      <w:marTop w:val="0"/>
      <w:marBottom w:val="0"/>
      <w:divBdr>
        <w:top w:val="none" w:sz="0" w:space="0" w:color="auto"/>
        <w:left w:val="none" w:sz="0" w:space="0" w:color="auto"/>
        <w:bottom w:val="none" w:sz="0" w:space="0" w:color="auto"/>
        <w:right w:val="none" w:sz="0" w:space="0" w:color="auto"/>
      </w:divBdr>
    </w:div>
    <w:div w:id="1478302067">
      <w:marLeft w:val="0"/>
      <w:marRight w:val="0"/>
      <w:marTop w:val="0"/>
      <w:marBottom w:val="0"/>
      <w:divBdr>
        <w:top w:val="none" w:sz="0" w:space="0" w:color="auto"/>
        <w:left w:val="none" w:sz="0" w:space="0" w:color="auto"/>
        <w:bottom w:val="none" w:sz="0" w:space="0" w:color="auto"/>
        <w:right w:val="none" w:sz="0" w:space="0" w:color="auto"/>
      </w:divBdr>
    </w:div>
    <w:div w:id="1478302068">
      <w:marLeft w:val="0"/>
      <w:marRight w:val="0"/>
      <w:marTop w:val="0"/>
      <w:marBottom w:val="0"/>
      <w:divBdr>
        <w:top w:val="none" w:sz="0" w:space="0" w:color="auto"/>
        <w:left w:val="none" w:sz="0" w:space="0" w:color="auto"/>
        <w:bottom w:val="none" w:sz="0" w:space="0" w:color="auto"/>
        <w:right w:val="none" w:sz="0" w:space="0" w:color="auto"/>
      </w:divBdr>
    </w:div>
    <w:div w:id="1478302071">
      <w:marLeft w:val="0"/>
      <w:marRight w:val="0"/>
      <w:marTop w:val="0"/>
      <w:marBottom w:val="0"/>
      <w:divBdr>
        <w:top w:val="none" w:sz="0" w:space="0" w:color="auto"/>
        <w:left w:val="none" w:sz="0" w:space="0" w:color="auto"/>
        <w:bottom w:val="none" w:sz="0" w:space="0" w:color="auto"/>
        <w:right w:val="none" w:sz="0" w:space="0" w:color="auto"/>
      </w:divBdr>
    </w:div>
    <w:div w:id="1478302072">
      <w:marLeft w:val="0"/>
      <w:marRight w:val="0"/>
      <w:marTop w:val="0"/>
      <w:marBottom w:val="0"/>
      <w:divBdr>
        <w:top w:val="none" w:sz="0" w:space="0" w:color="auto"/>
        <w:left w:val="none" w:sz="0" w:space="0" w:color="auto"/>
        <w:bottom w:val="none" w:sz="0" w:space="0" w:color="auto"/>
        <w:right w:val="none" w:sz="0" w:space="0" w:color="auto"/>
      </w:divBdr>
    </w:div>
    <w:div w:id="1478302073">
      <w:marLeft w:val="0"/>
      <w:marRight w:val="0"/>
      <w:marTop w:val="0"/>
      <w:marBottom w:val="0"/>
      <w:divBdr>
        <w:top w:val="none" w:sz="0" w:space="0" w:color="auto"/>
        <w:left w:val="none" w:sz="0" w:space="0" w:color="auto"/>
        <w:bottom w:val="none" w:sz="0" w:space="0" w:color="auto"/>
        <w:right w:val="none" w:sz="0" w:space="0" w:color="auto"/>
      </w:divBdr>
    </w:div>
    <w:div w:id="1478302074">
      <w:marLeft w:val="0"/>
      <w:marRight w:val="0"/>
      <w:marTop w:val="0"/>
      <w:marBottom w:val="0"/>
      <w:divBdr>
        <w:top w:val="none" w:sz="0" w:space="0" w:color="auto"/>
        <w:left w:val="none" w:sz="0" w:space="0" w:color="auto"/>
        <w:bottom w:val="none" w:sz="0" w:space="0" w:color="auto"/>
        <w:right w:val="none" w:sz="0" w:space="0" w:color="auto"/>
      </w:divBdr>
      <w:divsChild>
        <w:div w:id="1478302075">
          <w:marLeft w:val="360"/>
          <w:marRight w:val="0"/>
          <w:marTop w:val="200"/>
          <w:marBottom w:val="0"/>
          <w:divBdr>
            <w:top w:val="none" w:sz="0" w:space="0" w:color="auto"/>
            <w:left w:val="none" w:sz="0" w:space="0" w:color="auto"/>
            <w:bottom w:val="none" w:sz="0" w:space="0" w:color="auto"/>
            <w:right w:val="none" w:sz="0" w:space="0" w:color="auto"/>
          </w:divBdr>
        </w:div>
      </w:divsChild>
    </w:div>
    <w:div w:id="1478302076">
      <w:marLeft w:val="0"/>
      <w:marRight w:val="0"/>
      <w:marTop w:val="0"/>
      <w:marBottom w:val="0"/>
      <w:divBdr>
        <w:top w:val="none" w:sz="0" w:space="0" w:color="auto"/>
        <w:left w:val="none" w:sz="0" w:space="0" w:color="auto"/>
        <w:bottom w:val="none" w:sz="0" w:space="0" w:color="auto"/>
        <w:right w:val="none" w:sz="0" w:space="0" w:color="auto"/>
      </w:divBdr>
    </w:div>
    <w:div w:id="1478302081">
      <w:marLeft w:val="0"/>
      <w:marRight w:val="0"/>
      <w:marTop w:val="0"/>
      <w:marBottom w:val="0"/>
      <w:divBdr>
        <w:top w:val="none" w:sz="0" w:space="0" w:color="auto"/>
        <w:left w:val="none" w:sz="0" w:space="0" w:color="auto"/>
        <w:bottom w:val="none" w:sz="0" w:space="0" w:color="auto"/>
        <w:right w:val="none" w:sz="0" w:space="0" w:color="auto"/>
      </w:divBdr>
    </w:div>
    <w:div w:id="1478302082">
      <w:marLeft w:val="0"/>
      <w:marRight w:val="0"/>
      <w:marTop w:val="0"/>
      <w:marBottom w:val="0"/>
      <w:divBdr>
        <w:top w:val="none" w:sz="0" w:space="0" w:color="auto"/>
        <w:left w:val="none" w:sz="0" w:space="0" w:color="auto"/>
        <w:bottom w:val="none" w:sz="0" w:space="0" w:color="auto"/>
        <w:right w:val="none" w:sz="0" w:space="0" w:color="auto"/>
      </w:divBdr>
    </w:div>
    <w:div w:id="1478302083">
      <w:marLeft w:val="0"/>
      <w:marRight w:val="0"/>
      <w:marTop w:val="0"/>
      <w:marBottom w:val="0"/>
      <w:divBdr>
        <w:top w:val="none" w:sz="0" w:space="0" w:color="auto"/>
        <w:left w:val="none" w:sz="0" w:space="0" w:color="auto"/>
        <w:bottom w:val="none" w:sz="0" w:space="0" w:color="auto"/>
        <w:right w:val="none" w:sz="0" w:space="0" w:color="auto"/>
      </w:divBdr>
    </w:div>
    <w:div w:id="1478302084">
      <w:marLeft w:val="0"/>
      <w:marRight w:val="0"/>
      <w:marTop w:val="0"/>
      <w:marBottom w:val="0"/>
      <w:divBdr>
        <w:top w:val="none" w:sz="0" w:space="0" w:color="auto"/>
        <w:left w:val="none" w:sz="0" w:space="0" w:color="auto"/>
        <w:bottom w:val="none" w:sz="0" w:space="0" w:color="auto"/>
        <w:right w:val="none" w:sz="0" w:space="0" w:color="auto"/>
      </w:divBdr>
      <w:divsChild>
        <w:div w:id="1478302052">
          <w:marLeft w:val="360"/>
          <w:marRight w:val="0"/>
          <w:marTop w:val="200"/>
          <w:marBottom w:val="0"/>
          <w:divBdr>
            <w:top w:val="none" w:sz="0" w:space="0" w:color="auto"/>
            <w:left w:val="none" w:sz="0" w:space="0" w:color="auto"/>
            <w:bottom w:val="none" w:sz="0" w:space="0" w:color="auto"/>
            <w:right w:val="none" w:sz="0" w:space="0" w:color="auto"/>
          </w:divBdr>
        </w:div>
        <w:div w:id="1478302089">
          <w:marLeft w:val="360"/>
          <w:marRight w:val="0"/>
          <w:marTop w:val="200"/>
          <w:marBottom w:val="0"/>
          <w:divBdr>
            <w:top w:val="none" w:sz="0" w:space="0" w:color="auto"/>
            <w:left w:val="none" w:sz="0" w:space="0" w:color="auto"/>
            <w:bottom w:val="none" w:sz="0" w:space="0" w:color="auto"/>
            <w:right w:val="none" w:sz="0" w:space="0" w:color="auto"/>
          </w:divBdr>
        </w:div>
        <w:div w:id="1478302093">
          <w:marLeft w:val="360"/>
          <w:marRight w:val="0"/>
          <w:marTop w:val="200"/>
          <w:marBottom w:val="0"/>
          <w:divBdr>
            <w:top w:val="none" w:sz="0" w:space="0" w:color="auto"/>
            <w:left w:val="none" w:sz="0" w:space="0" w:color="auto"/>
            <w:bottom w:val="none" w:sz="0" w:space="0" w:color="auto"/>
            <w:right w:val="none" w:sz="0" w:space="0" w:color="auto"/>
          </w:divBdr>
        </w:div>
      </w:divsChild>
    </w:div>
    <w:div w:id="1478302086">
      <w:marLeft w:val="0"/>
      <w:marRight w:val="0"/>
      <w:marTop w:val="0"/>
      <w:marBottom w:val="0"/>
      <w:divBdr>
        <w:top w:val="none" w:sz="0" w:space="0" w:color="auto"/>
        <w:left w:val="none" w:sz="0" w:space="0" w:color="auto"/>
        <w:bottom w:val="none" w:sz="0" w:space="0" w:color="auto"/>
        <w:right w:val="none" w:sz="0" w:space="0" w:color="auto"/>
      </w:divBdr>
    </w:div>
    <w:div w:id="1478302088">
      <w:marLeft w:val="0"/>
      <w:marRight w:val="0"/>
      <w:marTop w:val="0"/>
      <w:marBottom w:val="0"/>
      <w:divBdr>
        <w:top w:val="none" w:sz="0" w:space="0" w:color="auto"/>
        <w:left w:val="none" w:sz="0" w:space="0" w:color="auto"/>
        <w:bottom w:val="none" w:sz="0" w:space="0" w:color="auto"/>
        <w:right w:val="none" w:sz="0" w:space="0" w:color="auto"/>
      </w:divBdr>
    </w:div>
    <w:div w:id="1478302092">
      <w:marLeft w:val="0"/>
      <w:marRight w:val="0"/>
      <w:marTop w:val="0"/>
      <w:marBottom w:val="0"/>
      <w:divBdr>
        <w:top w:val="none" w:sz="0" w:space="0" w:color="auto"/>
        <w:left w:val="none" w:sz="0" w:space="0" w:color="auto"/>
        <w:bottom w:val="none" w:sz="0" w:space="0" w:color="auto"/>
        <w:right w:val="none" w:sz="0" w:space="0" w:color="auto"/>
      </w:divBdr>
    </w:div>
    <w:div w:id="1478302094">
      <w:marLeft w:val="0"/>
      <w:marRight w:val="0"/>
      <w:marTop w:val="0"/>
      <w:marBottom w:val="0"/>
      <w:divBdr>
        <w:top w:val="none" w:sz="0" w:space="0" w:color="auto"/>
        <w:left w:val="none" w:sz="0" w:space="0" w:color="auto"/>
        <w:bottom w:val="none" w:sz="0" w:space="0" w:color="auto"/>
        <w:right w:val="none" w:sz="0" w:space="0" w:color="auto"/>
      </w:divBdr>
    </w:div>
    <w:div w:id="1478302095">
      <w:marLeft w:val="0"/>
      <w:marRight w:val="0"/>
      <w:marTop w:val="0"/>
      <w:marBottom w:val="0"/>
      <w:divBdr>
        <w:top w:val="none" w:sz="0" w:space="0" w:color="auto"/>
        <w:left w:val="none" w:sz="0" w:space="0" w:color="auto"/>
        <w:bottom w:val="none" w:sz="0" w:space="0" w:color="auto"/>
        <w:right w:val="none" w:sz="0" w:space="0" w:color="auto"/>
      </w:divBdr>
    </w:div>
    <w:div w:id="1478302100">
      <w:marLeft w:val="0"/>
      <w:marRight w:val="0"/>
      <w:marTop w:val="0"/>
      <w:marBottom w:val="0"/>
      <w:divBdr>
        <w:top w:val="none" w:sz="0" w:space="0" w:color="auto"/>
        <w:left w:val="none" w:sz="0" w:space="0" w:color="auto"/>
        <w:bottom w:val="none" w:sz="0" w:space="0" w:color="auto"/>
        <w:right w:val="none" w:sz="0" w:space="0" w:color="auto"/>
      </w:divBdr>
    </w:div>
    <w:div w:id="1478302101">
      <w:marLeft w:val="0"/>
      <w:marRight w:val="0"/>
      <w:marTop w:val="0"/>
      <w:marBottom w:val="0"/>
      <w:divBdr>
        <w:top w:val="none" w:sz="0" w:space="0" w:color="auto"/>
        <w:left w:val="none" w:sz="0" w:space="0" w:color="auto"/>
        <w:bottom w:val="none" w:sz="0" w:space="0" w:color="auto"/>
        <w:right w:val="none" w:sz="0" w:space="0" w:color="auto"/>
      </w:divBdr>
    </w:div>
    <w:div w:id="1478302102">
      <w:marLeft w:val="0"/>
      <w:marRight w:val="0"/>
      <w:marTop w:val="0"/>
      <w:marBottom w:val="0"/>
      <w:divBdr>
        <w:top w:val="none" w:sz="0" w:space="0" w:color="auto"/>
        <w:left w:val="none" w:sz="0" w:space="0" w:color="auto"/>
        <w:bottom w:val="none" w:sz="0" w:space="0" w:color="auto"/>
        <w:right w:val="none" w:sz="0" w:space="0" w:color="auto"/>
      </w:divBdr>
    </w:div>
    <w:div w:id="1478302108">
      <w:marLeft w:val="0"/>
      <w:marRight w:val="0"/>
      <w:marTop w:val="0"/>
      <w:marBottom w:val="0"/>
      <w:divBdr>
        <w:top w:val="none" w:sz="0" w:space="0" w:color="auto"/>
        <w:left w:val="none" w:sz="0" w:space="0" w:color="auto"/>
        <w:bottom w:val="none" w:sz="0" w:space="0" w:color="auto"/>
        <w:right w:val="none" w:sz="0" w:space="0" w:color="auto"/>
      </w:divBdr>
      <w:divsChild>
        <w:div w:id="1478302013">
          <w:marLeft w:val="806"/>
          <w:marRight w:val="0"/>
          <w:marTop w:val="200"/>
          <w:marBottom w:val="0"/>
          <w:divBdr>
            <w:top w:val="none" w:sz="0" w:space="0" w:color="auto"/>
            <w:left w:val="none" w:sz="0" w:space="0" w:color="auto"/>
            <w:bottom w:val="none" w:sz="0" w:space="0" w:color="auto"/>
            <w:right w:val="none" w:sz="0" w:space="0" w:color="auto"/>
          </w:divBdr>
        </w:div>
        <w:div w:id="1478302026">
          <w:marLeft w:val="806"/>
          <w:marRight w:val="0"/>
          <w:marTop w:val="200"/>
          <w:marBottom w:val="0"/>
          <w:divBdr>
            <w:top w:val="none" w:sz="0" w:space="0" w:color="auto"/>
            <w:left w:val="none" w:sz="0" w:space="0" w:color="auto"/>
            <w:bottom w:val="none" w:sz="0" w:space="0" w:color="auto"/>
            <w:right w:val="none" w:sz="0" w:space="0" w:color="auto"/>
          </w:divBdr>
        </w:div>
        <w:div w:id="1478302070">
          <w:marLeft w:val="806"/>
          <w:marRight w:val="0"/>
          <w:marTop w:val="200"/>
          <w:marBottom w:val="0"/>
          <w:divBdr>
            <w:top w:val="none" w:sz="0" w:space="0" w:color="auto"/>
            <w:left w:val="none" w:sz="0" w:space="0" w:color="auto"/>
            <w:bottom w:val="none" w:sz="0" w:space="0" w:color="auto"/>
            <w:right w:val="none" w:sz="0" w:space="0" w:color="auto"/>
          </w:divBdr>
        </w:div>
        <w:div w:id="1478302077">
          <w:marLeft w:val="806"/>
          <w:marRight w:val="0"/>
          <w:marTop w:val="200"/>
          <w:marBottom w:val="0"/>
          <w:divBdr>
            <w:top w:val="none" w:sz="0" w:space="0" w:color="auto"/>
            <w:left w:val="none" w:sz="0" w:space="0" w:color="auto"/>
            <w:bottom w:val="none" w:sz="0" w:space="0" w:color="auto"/>
            <w:right w:val="none" w:sz="0" w:space="0" w:color="auto"/>
          </w:divBdr>
        </w:div>
        <w:div w:id="1478302097">
          <w:marLeft w:val="806"/>
          <w:marRight w:val="0"/>
          <w:marTop w:val="200"/>
          <w:marBottom w:val="0"/>
          <w:divBdr>
            <w:top w:val="none" w:sz="0" w:space="0" w:color="auto"/>
            <w:left w:val="none" w:sz="0" w:space="0" w:color="auto"/>
            <w:bottom w:val="none" w:sz="0" w:space="0" w:color="auto"/>
            <w:right w:val="none" w:sz="0" w:space="0" w:color="auto"/>
          </w:divBdr>
        </w:div>
        <w:div w:id="1478302105">
          <w:marLeft w:val="806"/>
          <w:marRight w:val="0"/>
          <w:marTop w:val="200"/>
          <w:marBottom w:val="0"/>
          <w:divBdr>
            <w:top w:val="none" w:sz="0" w:space="0" w:color="auto"/>
            <w:left w:val="none" w:sz="0" w:space="0" w:color="auto"/>
            <w:bottom w:val="none" w:sz="0" w:space="0" w:color="auto"/>
            <w:right w:val="none" w:sz="0" w:space="0" w:color="auto"/>
          </w:divBdr>
        </w:div>
      </w:divsChild>
    </w:div>
    <w:div w:id="1478302109">
      <w:marLeft w:val="0"/>
      <w:marRight w:val="0"/>
      <w:marTop w:val="0"/>
      <w:marBottom w:val="0"/>
      <w:divBdr>
        <w:top w:val="none" w:sz="0" w:space="0" w:color="auto"/>
        <w:left w:val="none" w:sz="0" w:space="0" w:color="auto"/>
        <w:bottom w:val="none" w:sz="0" w:space="0" w:color="auto"/>
        <w:right w:val="none" w:sz="0" w:space="0" w:color="auto"/>
      </w:divBdr>
    </w:div>
    <w:div w:id="1478302110">
      <w:marLeft w:val="0"/>
      <w:marRight w:val="0"/>
      <w:marTop w:val="0"/>
      <w:marBottom w:val="0"/>
      <w:divBdr>
        <w:top w:val="none" w:sz="0" w:space="0" w:color="auto"/>
        <w:left w:val="none" w:sz="0" w:space="0" w:color="auto"/>
        <w:bottom w:val="none" w:sz="0" w:space="0" w:color="auto"/>
        <w:right w:val="none" w:sz="0" w:space="0" w:color="auto"/>
      </w:divBdr>
    </w:div>
    <w:div w:id="1478302113">
      <w:marLeft w:val="0"/>
      <w:marRight w:val="0"/>
      <w:marTop w:val="0"/>
      <w:marBottom w:val="0"/>
      <w:divBdr>
        <w:top w:val="none" w:sz="0" w:space="0" w:color="auto"/>
        <w:left w:val="none" w:sz="0" w:space="0" w:color="auto"/>
        <w:bottom w:val="none" w:sz="0" w:space="0" w:color="auto"/>
        <w:right w:val="none" w:sz="0" w:space="0" w:color="auto"/>
      </w:divBdr>
    </w:div>
    <w:div w:id="1478302114">
      <w:marLeft w:val="0"/>
      <w:marRight w:val="0"/>
      <w:marTop w:val="0"/>
      <w:marBottom w:val="0"/>
      <w:divBdr>
        <w:top w:val="none" w:sz="0" w:space="0" w:color="auto"/>
        <w:left w:val="none" w:sz="0" w:space="0" w:color="auto"/>
        <w:bottom w:val="none" w:sz="0" w:space="0" w:color="auto"/>
        <w:right w:val="none" w:sz="0" w:space="0" w:color="auto"/>
      </w:divBdr>
      <w:divsChild>
        <w:div w:id="1478302039">
          <w:marLeft w:val="0"/>
          <w:marRight w:val="0"/>
          <w:marTop w:val="0"/>
          <w:marBottom w:val="0"/>
          <w:divBdr>
            <w:top w:val="none" w:sz="0" w:space="0" w:color="auto"/>
            <w:left w:val="none" w:sz="0" w:space="0" w:color="auto"/>
            <w:bottom w:val="none" w:sz="0" w:space="0" w:color="auto"/>
            <w:right w:val="none" w:sz="0" w:space="0" w:color="auto"/>
          </w:divBdr>
          <w:divsChild>
            <w:div w:id="1478302058">
              <w:marLeft w:val="0"/>
              <w:marRight w:val="0"/>
              <w:marTop w:val="0"/>
              <w:marBottom w:val="0"/>
              <w:divBdr>
                <w:top w:val="none" w:sz="0" w:space="0" w:color="auto"/>
                <w:left w:val="none" w:sz="0" w:space="0" w:color="auto"/>
                <w:bottom w:val="none" w:sz="0" w:space="0" w:color="auto"/>
                <w:right w:val="none" w:sz="0" w:space="0" w:color="auto"/>
              </w:divBdr>
              <w:divsChild>
                <w:div w:id="1478302096">
                  <w:marLeft w:val="0"/>
                  <w:marRight w:val="0"/>
                  <w:marTop w:val="0"/>
                  <w:marBottom w:val="0"/>
                  <w:divBdr>
                    <w:top w:val="none" w:sz="0" w:space="0" w:color="auto"/>
                    <w:left w:val="none" w:sz="0" w:space="0" w:color="auto"/>
                    <w:bottom w:val="none" w:sz="0" w:space="0" w:color="auto"/>
                    <w:right w:val="none" w:sz="0" w:space="0" w:color="auto"/>
                  </w:divBdr>
                  <w:divsChild>
                    <w:div w:id="1478302107">
                      <w:marLeft w:val="0"/>
                      <w:marRight w:val="0"/>
                      <w:marTop w:val="0"/>
                      <w:marBottom w:val="0"/>
                      <w:divBdr>
                        <w:top w:val="none" w:sz="0" w:space="0" w:color="auto"/>
                        <w:left w:val="none" w:sz="0" w:space="0" w:color="auto"/>
                        <w:bottom w:val="none" w:sz="0" w:space="0" w:color="auto"/>
                        <w:right w:val="none" w:sz="0" w:space="0" w:color="auto"/>
                      </w:divBdr>
                      <w:divsChild>
                        <w:div w:id="1478302020">
                          <w:marLeft w:val="0"/>
                          <w:marRight w:val="0"/>
                          <w:marTop w:val="0"/>
                          <w:marBottom w:val="0"/>
                          <w:divBdr>
                            <w:top w:val="none" w:sz="0" w:space="0" w:color="auto"/>
                            <w:left w:val="none" w:sz="0" w:space="0" w:color="auto"/>
                            <w:bottom w:val="none" w:sz="0" w:space="0" w:color="auto"/>
                            <w:right w:val="none" w:sz="0" w:space="0" w:color="auto"/>
                          </w:divBdr>
                          <w:divsChild>
                            <w:div w:id="1478302045">
                              <w:marLeft w:val="0"/>
                              <w:marRight w:val="0"/>
                              <w:marTop w:val="0"/>
                              <w:marBottom w:val="0"/>
                              <w:divBdr>
                                <w:top w:val="none" w:sz="0" w:space="0" w:color="auto"/>
                                <w:left w:val="none" w:sz="0" w:space="0" w:color="auto"/>
                                <w:bottom w:val="none" w:sz="0" w:space="0" w:color="auto"/>
                                <w:right w:val="none" w:sz="0" w:space="0" w:color="auto"/>
                              </w:divBdr>
                              <w:divsChild>
                                <w:div w:id="1478302037">
                                  <w:marLeft w:val="0"/>
                                  <w:marRight w:val="0"/>
                                  <w:marTop w:val="0"/>
                                  <w:marBottom w:val="0"/>
                                  <w:divBdr>
                                    <w:top w:val="none" w:sz="0" w:space="0" w:color="auto"/>
                                    <w:left w:val="none" w:sz="0" w:space="0" w:color="auto"/>
                                    <w:bottom w:val="none" w:sz="0" w:space="0" w:color="auto"/>
                                    <w:right w:val="none" w:sz="0" w:space="0" w:color="auto"/>
                                  </w:divBdr>
                                  <w:divsChild>
                                    <w:div w:id="1478302078">
                                      <w:marLeft w:val="0"/>
                                      <w:marRight w:val="0"/>
                                      <w:marTop w:val="0"/>
                                      <w:marBottom w:val="0"/>
                                      <w:divBdr>
                                        <w:top w:val="none" w:sz="0" w:space="0" w:color="auto"/>
                                        <w:left w:val="none" w:sz="0" w:space="0" w:color="auto"/>
                                        <w:bottom w:val="none" w:sz="0" w:space="0" w:color="auto"/>
                                        <w:right w:val="none" w:sz="0" w:space="0" w:color="auto"/>
                                      </w:divBdr>
                                      <w:divsChild>
                                        <w:div w:id="1478302080">
                                          <w:marLeft w:val="0"/>
                                          <w:marRight w:val="165"/>
                                          <w:marTop w:val="150"/>
                                          <w:marBottom w:val="0"/>
                                          <w:divBdr>
                                            <w:top w:val="none" w:sz="0" w:space="0" w:color="auto"/>
                                            <w:left w:val="none" w:sz="0" w:space="0" w:color="auto"/>
                                            <w:bottom w:val="none" w:sz="0" w:space="0" w:color="auto"/>
                                            <w:right w:val="none" w:sz="0" w:space="0" w:color="auto"/>
                                          </w:divBdr>
                                          <w:divsChild>
                                            <w:div w:id="1478302112">
                                              <w:marLeft w:val="0"/>
                                              <w:marRight w:val="0"/>
                                              <w:marTop w:val="0"/>
                                              <w:marBottom w:val="0"/>
                                              <w:divBdr>
                                                <w:top w:val="none" w:sz="0" w:space="0" w:color="auto"/>
                                                <w:left w:val="none" w:sz="0" w:space="0" w:color="auto"/>
                                                <w:bottom w:val="none" w:sz="0" w:space="0" w:color="auto"/>
                                                <w:right w:val="none" w:sz="0" w:space="0" w:color="auto"/>
                                              </w:divBdr>
                                              <w:divsChild>
                                                <w:div w:id="147830201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47830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8302116">
      <w:marLeft w:val="0"/>
      <w:marRight w:val="0"/>
      <w:marTop w:val="0"/>
      <w:marBottom w:val="0"/>
      <w:divBdr>
        <w:top w:val="none" w:sz="0" w:space="0" w:color="auto"/>
        <w:left w:val="none" w:sz="0" w:space="0" w:color="auto"/>
        <w:bottom w:val="none" w:sz="0" w:space="0" w:color="auto"/>
        <w:right w:val="none" w:sz="0" w:space="0" w:color="auto"/>
      </w:divBdr>
    </w:div>
    <w:div w:id="1478302118">
      <w:marLeft w:val="0"/>
      <w:marRight w:val="0"/>
      <w:marTop w:val="0"/>
      <w:marBottom w:val="0"/>
      <w:divBdr>
        <w:top w:val="none" w:sz="0" w:space="0" w:color="auto"/>
        <w:left w:val="none" w:sz="0" w:space="0" w:color="auto"/>
        <w:bottom w:val="none" w:sz="0" w:space="0" w:color="auto"/>
        <w:right w:val="none" w:sz="0" w:space="0" w:color="auto"/>
      </w:divBdr>
    </w:div>
    <w:div w:id="1478302120">
      <w:marLeft w:val="0"/>
      <w:marRight w:val="0"/>
      <w:marTop w:val="0"/>
      <w:marBottom w:val="0"/>
      <w:divBdr>
        <w:top w:val="none" w:sz="0" w:space="0" w:color="auto"/>
        <w:left w:val="none" w:sz="0" w:space="0" w:color="auto"/>
        <w:bottom w:val="none" w:sz="0" w:space="0" w:color="auto"/>
        <w:right w:val="none" w:sz="0" w:space="0" w:color="auto"/>
      </w:divBdr>
    </w:div>
    <w:div w:id="1478302122">
      <w:marLeft w:val="0"/>
      <w:marRight w:val="0"/>
      <w:marTop w:val="0"/>
      <w:marBottom w:val="0"/>
      <w:divBdr>
        <w:top w:val="none" w:sz="0" w:space="0" w:color="auto"/>
        <w:left w:val="none" w:sz="0" w:space="0" w:color="auto"/>
        <w:bottom w:val="none" w:sz="0" w:space="0" w:color="auto"/>
        <w:right w:val="none" w:sz="0" w:space="0" w:color="auto"/>
      </w:divBdr>
    </w:div>
    <w:div w:id="1478302123">
      <w:marLeft w:val="0"/>
      <w:marRight w:val="0"/>
      <w:marTop w:val="0"/>
      <w:marBottom w:val="0"/>
      <w:divBdr>
        <w:top w:val="none" w:sz="0" w:space="0" w:color="auto"/>
        <w:left w:val="none" w:sz="0" w:space="0" w:color="auto"/>
        <w:bottom w:val="none" w:sz="0" w:space="0" w:color="auto"/>
        <w:right w:val="none" w:sz="0" w:space="0" w:color="auto"/>
      </w:divBdr>
    </w:div>
    <w:div w:id="1478302124">
      <w:marLeft w:val="0"/>
      <w:marRight w:val="0"/>
      <w:marTop w:val="0"/>
      <w:marBottom w:val="0"/>
      <w:divBdr>
        <w:top w:val="none" w:sz="0" w:space="0" w:color="auto"/>
        <w:left w:val="none" w:sz="0" w:space="0" w:color="auto"/>
        <w:bottom w:val="none" w:sz="0" w:space="0" w:color="auto"/>
        <w:right w:val="none" w:sz="0" w:space="0" w:color="auto"/>
      </w:divBdr>
    </w:div>
    <w:div w:id="1478302125">
      <w:marLeft w:val="0"/>
      <w:marRight w:val="0"/>
      <w:marTop w:val="0"/>
      <w:marBottom w:val="0"/>
      <w:divBdr>
        <w:top w:val="none" w:sz="0" w:space="0" w:color="auto"/>
        <w:left w:val="none" w:sz="0" w:space="0" w:color="auto"/>
        <w:bottom w:val="none" w:sz="0" w:space="0" w:color="auto"/>
        <w:right w:val="none" w:sz="0" w:space="0" w:color="auto"/>
      </w:divBdr>
    </w:div>
    <w:div w:id="1478302127">
      <w:marLeft w:val="0"/>
      <w:marRight w:val="0"/>
      <w:marTop w:val="0"/>
      <w:marBottom w:val="0"/>
      <w:divBdr>
        <w:top w:val="none" w:sz="0" w:space="0" w:color="auto"/>
        <w:left w:val="none" w:sz="0" w:space="0" w:color="auto"/>
        <w:bottom w:val="none" w:sz="0" w:space="0" w:color="auto"/>
        <w:right w:val="none" w:sz="0" w:space="0" w:color="auto"/>
      </w:divBdr>
    </w:div>
    <w:div w:id="1478302129">
      <w:marLeft w:val="0"/>
      <w:marRight w:val="0"/>
      <w:marTop w:val="0"/>
      <w:marBottom w:val="0"/>
      <w:divBdr>
        <w:top w:val="none" w:sz="0" w:space="0" w:color="auto"/>
        <w:left w:val="none" w:sz="0" w:space="0" w:color="auto"/>
        <w:bottom w:val="none" w:sz="0" w:space="0" w:color="auto"/>
        <w:right w:val="none" w:sz="0" w:space="0" w:color="auto"/>
      </w:divBdr>
    </w:div>
    <w:div w:id="147830213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A7C9C8-9824-40A6-B388-519B6EB87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7565</Words>
  <Characters>43124</Characters>
  <Application>Microsoft Office Word</Application>
  <DocSecurity>0</DocSecurity>
  <Lines>359</Lines>
  <Paragraphs>101</Paragraphs>
  <ScaleCrop>false</ScaleCrop>
  <Company/>
  <LinksUpToDate>false</LinksUpToDate>
  <CharactersWithSpaces>50588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dc:creator>
  <cp:keywords/>
  <dc:description/>
  <cp:lastModifiedBy>app</cp:lastModifiedBy>
  <cp:revision>2</cp:revision>
  <cp:lastPrinted>2023-10-08T16:36:00Z</cp:lastPrinted>
  <dcterms:created xsi:type="dcterms:W3CDTF">2025-01-16T08:37:00Z</dcterms:created>
  <dcterms:modified xsi:type="dcterms:W3CDTF">2025-01-16T08:37:00Z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http://www.zotero.org/styles/chicago-author-date-16th-edition</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05c3a838-6ff9-3b9b-bd9c-d37c05bae2dc</vt:lpwstr>
  </property>
  <property fmtid="{D5CDD505-2E9C-101B-9397-08002B2CF9AE}" pid="24" name="Mendeley Citation Style_1">
    <vt:lpwstr>http://www.zotero.org/styles/modern-humanities-research-association</vt:lpwstr>
  </property>
</Properties>
</file>