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618" w:rsidRPr="00DD05DC" w:rsidRDefault="00100618" w:rsidP="00022FC0">
      <w:pPr>
        <w:spacing w:after="0" w:line="276" w:lineRule="auto"/>
        <w:jc w:val="center"/>
        <w:rPr>
          <w:rStyle w:val="Emphasis"/>
          <w:rFonts w:ascii="Garamond" w:hAnsi="Garamond"/>
          <w:color w:val="000000" w:themeColor="text1"/>
        </w:rPr>
      </w:pPr>
    </w:p>
    <w:p w:rsidR="006412B2" w:rsidRPr="00DD05DC" w:rsidRDefault="006412B2" w:rsidP="00022FC0">
      <w:pPr>
        <w:spacing w:after="0" w:line="276" w:lineRule="auto"/>
        <w:jc w:val="center"/>
        <w:rPr>
          <w:rFonts w:ascii="Garamond" w:hAnsi="Garamond"/>
          <w:color w:val="000000" w:themeColor="text1"/>
        </w:rPr>
      </w:pPr>
      <w:r w:rsidRPr="00DD05DC">
        <w:rPr>
          <w:rFonts w:ascii="Garamond" w:hAnsi="Garamond"/>
          <w:color w:val="000000" w:themeColor="text1"/>
        </w:rPr>
        <w:t xml:space="preserve">Conceptual Reconstruction of Consent to Medical Actions in Health Services: An Analysis of Islamic Contract Law on the Principle of </w:t>
      </w:r>
      <w:r w:rsidR="009F0FC0" w:rsidRPr="00DD05DC">
        <w:rPr>
          <w:rStyle w:val="Emphasis"/>
          <w:rFonts w:ascii="Garamond" w:hAnsi="Garamond"/>
          <w:color w:val="000000" w:themeColor="text1"/>
        </w:rPr>
        <w:t>At-Tarā</w:t>
      </w:r>
      <w:r w:rsidRPr="00DD05DC">
        <w:rPr>
          <w:rStyle w:val="Emphasis"/>
          <w:rFonts w:ascii="Cambria" w:hAnsi="Cambria" w:cs="Cambria"/>
          <w:color w:val="000000" w:themeColor="text1"/>
        </w:rPr>
        <w:t>ḍ</w:t>
      </w:r>
      <w:r w:rsidRPr="00DD05DC">
        <w:rPr>
          <w:rStyle w:val="Emphasis"/>
          <w:rFonts w:ascii="Garamond" w:hAnsi="Garamond"/>
          <w:color w:val="000000" w:themeColor="text1"/>
        </w:rPr>
        <w:t>ī</w:t>
      </w:r>
    </w:p>
    <w:p w:rsidR="00022FC0" w:rsidRPr="00DD05DC" w:rsidRDefault="00022FC0" w:rsidP="00022FC0">
      <w:pPr>
        <w:spacing w:after="0" w:line="276" w:lineRule="auto"/>
        <w:jc w:val="center"/>
        <w:rPr>
          <w:rFonts w:ascii="Garamond" w:hAnsi="Garamond"/>
          <w:color w:val="000000" w:themeColor="text1"/>
        </w:rPr>
      </w:pPr>
    </w:p>
    <w:p w:rsidR="00BE3011" w:rsidRPr="00DD05DC" w:rsidRDefault="00BE3011" w:rsidP="00BE3011">
      <w:pPr>
        <w:spacing w:line="240" w:lineRule="auto"/>
        <w:rPr>
          <w:rFonts w:ascii="Garamond" w:hAnsi="Garamond"/>
          <w:color w:val="000000" w:themeColor="text1"/>
          <w:vertAlign w:val="superscript"/>
        </w:rPr>
      </w:pPr>
      <w:r w:rsidRPr="00DD05DC">
        <w:rPr>
          <w:rFonts w:ascii="Garamond" w:hAnsi="Garamond"/>
          <w:color w:val="000000" w:themeColor="text1"/>
        </w:rPr>
        <w:t xml:space="preserve">Naimah, </w:t>
      </w:r>
      <w:r w:rsidR="009F0512" w:rsidRPr="00DD05DC">
        <w:rPr>
          <w:rFonts w:ascii="Garamond" w:hAnsi="Garamond"/>
          <w:color w:val="000000" w:themeColor="text1"/>
          <w:vertAlign w:val="superscript"/>
        </w:rPr>
        <w:t xml:space="preserve">1 </w:t>
      </w:r>
      <w:r w:rsidRPr="00DD05DC">
        <w:rPr>
          <w:rFonts w:ascii="Garamond" w:hAnsi="Garamond"/>
          <w:color w:val="000000" w:themeColor="text1"/>
        </w:rPr>
        <w:t xml:space="preserve">Gunnarto, </w:t>
      </w:r>
      <w:r w:rsidR="009F0512" w:rsidRPr="00DD05DC">
        <w:rPr>
          <w:rFonts w:ascii="Garamond" w:hAnsi="Garamond"/>
          <w:color w:val="000000" w:themeColor="text1"/>
          <w:vertAlign w:val="superscript"/>
        </w:rPr>
        <w:t xml:space="preserve">2 </w:t>
      </w:r>
      <w:r w:rsidRPr="00DD05DC">
        <w:rPr>
          <w:rFonts w:ascii="Garamond" w:hAnsi="Garamond"/>
          <w:color w:val="000000" w:themeColor="text1"/>
        </w:rPr>
        <w:t>Anis Mas</w:t>
      </w:r>
      <w:r w:rsidR="00D45EF1">
        <w:rPr>
          <w:rFonts w:ascii="Garamond" w:hAnsi="Garamond"/>
          <w:color w:val="000000" w:themeColor="text1"/>
        </w:rPr>
        <w:t>h</w:t>
      </w:r>
      <w:r w:rsidRPr="00DD05DC">
        <w:rPr>
          <w:rFonts w:ascii="Garamond" w:hAnsi="Garamond"/>
          <w:color w:val="000000" w:themeColor="text1"/>
        </w:rPr>
        <w:t xml:space="preserve">durohatun, </w:t>
      </w:r>
      <w:r w:rsidR="009F0512" w:rsidRPr="00DD05DC">
        <w:rPr>
          <w:rFonts w:ascii="Garamond" w:hAnsi="Garamond"/>
          <w:color w:val="000000" w:themeColor="text1"/>
          <w:vertAlign w:val="superscript"/>
        </w:rPr>
        <w:t xml:space="preserve">3 </w:t>
      </w:r>
      <w:r w:rsidRPr="00DD05DC">
        <w:rPr>
          <w:rFonts w:ascii="Garamond" w:hAnsi="Garamond"/>
          <w:color w:val="000000" w:themeColor="text1"/>
        </w:rPr>
        <w:t xml:space="preserve">Atta Abdel Aaty El-Sonbaty </w:t>
      </w:r>
      <w:r w:rsidR="00E76B37">
        <w:rPr>
          <w:rFonts w:ascii="Garamond" w:hAnsi="Garamond"/>
          <w:color w:val="000000" w:themeColor="text1"/>
          <w:vertAlign w:val="superscript"/>
        </w:rPr>
        <w:t>4</w:t>
      </w:r>
      <w:bookmarkStart w:id="0" w:name="_GoBack"/>
      <w:bookmarkEnd w:id="0"/>
    </w:p>
    <w:p w:rsidR="00BE3011" w:rsidRPr="00DD05DC" w:rsidRDefault="009F0512" w:rsidP="00BE3011">
      <w:pPr>
        <w:spacing w:line="240" w:lineRule="auto"/>
        <w:rPr>
          <w:rFonts w:ascii="Garamond" w:hAnsi="Garamond"/>
          <w:color w:val="000000" w:themeColor="text1"/>
        </w:rPr>
      </w:pPr>
      <w:r w:rsidRPr="00DD05DC">
        <w:rPr>
          <w:rFonts w:ascii="Garamond" w:hAnsi="Garamond"/>
          <w:color w:val="000000" w:themeColor="text1"/>
          <w:vertAlign w:val="superscript"/>
        </w:rPr>
        <w:t xml:space="preserve">1 </w:t>
      </w:r>
      <w:r w:rsidR="00BE3011" w:rsidRPr="00DD05DC">
        <w:rPr>
          <w:rFonts w:ascii="Garamond" w:hAnsi="Garamond"/>
          <w:color w:val="000000" w:themeColor="text1"/>
        </w:rPr>
        <w:t>Faculty of Law, University of Lumajang, Lumajang, Indonesia</w:t>
      </w:r>
    </w:p>
    <w:p w:rsidR="00BE3011" w:rsidRPr="00DD05DC" w:rsidRDefault="009F0512" w:rsidP="00BE3011">
      <w:pPr>
        <w:spacing w:line="240" w:lineRule="auto"/>
        <w:rPr>
          <w:rFonts w:ascii="Garamond" w:hAnsi="Garamond"/>
          <w:color w:val="000000" w:themeColor="text1"/>
        </w:rPr>
      </w:pPr>
      <w:r w:rsidRPr="00DD05DC">
        <w:rPr>
          <w:rFonts w:ascii="Garamond" w:hAnsi="Garamond"/>
          <w:color w:val="000000" w:themeColor="text1"/>
          <w:vertAlign w:val="superscript"/>
        </w:rPr>
        <w:t xml:space="preserve">2.3 </w:t>
      </w:r>
      <w:r w:rsidR="00BE3011" w:rsidRPr="00DD05DC">
        <w:rPr>
          <w:rFonts w:ascii="Garamond" w:hAnsi="Garamond"/>
          <w:color w:val="000000" w:themeColor="text1"/>
        </w:rPr>
        <w:t>Faculty of Law, Sultan Agung Islamic University, Semarang, Indonesia</w:t>
      </w:r>
    </w:p>
    <w:p w:rsidR="005D2F64" w:rsidRPr="00DD05DC" w:rsidRDefault="009F0512" w:rsidP="00BE3011">
      <w:pPr>
        <w:spacing w:line="240" w:lineRule="auto"/>
        <w:rPr>
          <w:rFonts w:ascii="Garamond" w:hAnsi="Garamond"/>
        </w:rPr>
      </w:pPr>
      <w:r w:rsidRPr="00DD05DC">
        <w:rPr>
          <w:rFonts w:ascii="Garamond" w:hAnsi="Garamond"/>
          <w:color w:val="000000" w:themeColor="text1"/>
          <w:vertAlign w:val="superscript"/>
        </w:rPr>
        <w:t xml:space="preserve">4 </w:t>
      </w:r>
      <w:r w:rsidR="00BE3011" w:rsidRPr="00DD05DC">
        <w:rPr>
          <w:rFonts w:ascii="Garamond" w:hAnsi="Garamond"/>
          <w:color w:val="000000" w:themeColor="text1"/>
        </w:rPr>
        <w:t>Al Azhar University, Cairo</w:t>
      </w:r>
      <w:r w:rsidR="005D2F64" w:rsidRPr="00DD05DC">
        <w:rPr>
          <w:rFonts w:ascii="Garamond" w:hAnsi="Garamond"/>
          <w:color w:val="000000" w:themeColor="text1"/>
        </w:rPr>
        <w:t>,</w:t>
      </w:r>
      <w:r w:rsidR="00BE3011" w:rsidRPr="00DD05DC">
        <w:rPr>
          <w:rFonts w:ascii="Garamond" w:hAnsi="Garamond"/>
          <w:color w:val="000000" w:themeColor="text1"/>
        </w:rPr>
        <w:t xml:space="preserve"> Egypt</w:t>
      </w:r>
      <w:r w:rsidR="005D2F64" w:rsidRPr="00DD05DC">
        <w:rPr>
          <w:rFonts w:ascii="Garamond" w:hAnsi="Garamond"/>
          <w:color w:val="000000" w:themeColor="text1"/>
        </w:rPr>
        <w:t xml:space="preserve"> </w:t>
      </w:r>
    </w:p>
    <w:p w:rsidR="003367B4" w:rsidRPr="00DD05DC" w:rsidRDefault="005D2F64" w:rsidP="00BE3011">
      <w:pPr>
        <w:spacing w:line="240" w:lineRule="auto"/>
        <w:rPr>
          <w:rFonts w:ascii="Garamond" w:hAnsi="Garamond"/>
          <w:color w:val="000000" w:themeColor="text1"/>
        </w:rPr>
      </w:pPr>
      <w:r w:rsidRPr="00DD05DC">
        <w:rPr>
          <w:rFonts w:ascii="Garamond" w:hAnsi="Garamond"/>
          <w:color w:val="000000" w:themeColor="text1"/>
        </w:rPr>
        <w:t>Corresponding Author</w:t>
      </w:r>
      <w:r w:rsidR="009F0512" w:rsidRPr="00DD05DC">
        <w:rPr>
          <w:rFonts w:ascii="Garamond" w:hAnsi="Garamond"/>
          <w:color w:val="000000" w:themeColor="text1"/>
        </w:rPr>
        <w:t xml:space="preserve">: </w:t>
      </w:r>
      <w:hyperlink r:id="rId8" w:history="1">
        <w:r w:rsidR="003367B4" w:rsidRPr="00DD05DC">
          <w:rPr>
            <w:rStyle w:val="Hyperlink"/>
            <w:rFonts w:ascii="Garamond" w:hAnsi="Garamond"/>
          </w:rPr>
          <w:t>salsabila_ima@yahoo.co.id/Orcid</w:t>
        </w:r>
      </w:hyperlink>
      <w:r w:rsidR="003367B4" w:rsidRPr="00DD05DC">
        <w:rPr>
          <w:rFonts w:ascii="Garamond" w:hAnsi="Garamond"/>
          <w:color w:val="000000" w:themeColor="text1"/>
        </w:rPr>
        <w:t xml:space="preserve"> </w:t>
      </w:r>
    </w:p>
    <w:p w:rsidR="009F0512" w:rsidRPr="00DD05DC" w:rsidRDefault="003367B4" w:rsidP="00BE3011">
      <w:pPr>
        <w:spacing w:line="240" w:lineRule="auto"/>
        <w:rPr>
          <w:rFonts w:ascii="Garamond" w:hAnsi="Garamond"/>
          <w:color w:val="000000" w:themeColor="text1"/>
        </w:rPr>
      </w:pPr>
      <w:r w:rsidRPr="00DD05DC">
        <w:rPr>
          <w:rFonts w:ascii="Garamond" w:hAnsi="Garamond"/>
          <w:color w:val="000000" w:themeColor="text1"/>
        </w:rPr>
        <w:t>Orcid : Naimah: https://orcid.org/0000-0002-2555-5892</w:t>
      </w:r>
    </w:p>
    <w:p w:rsidR="00341ACE" w:rsidRPr="00DD05DC" w:rsidRDefault="00341ACE" w:rsidP="00341ACE">
      <w:pPr>
        <w:spacing w:after="0" w:line="276" w:lineRule="auto"/>
        <w:jc w:val="center"/>
        <w:rPr>
          <w:rFonts w:ascii="Garamond" w:hAnsi="Garamond"/>
          <w:b/>
          <w:color w:val="000000" w:themeColor="text1"/>
        </w:rPr>
      </w:pPr>
      <w:r w:rsidRPr="00DD05DC">
        <w:rPr>
          <w:rFonts w:ascii="Garamond" w:hAnsi="Garamond"/>
          <w:b/>
          <w:color w:val="000000" w:themeColor="text1"/>
        </w:rPr>
        <w:t>Abstract</w:t>
      </w:r>
    </w:p>
    <w:p w:rsidR="000D54C7" w:rsidRPr="00DD05DC" w:rsidRDefault="000D54C7" w:rsidP="000D54C7">
      <w:pPr>
        <w:spacing w:after="0" w:line="240" w:lineRule="auto"/>
        <w:ind w:firstLine="720"/>
        <w:jc w:val="both"/>
        <w:rPr>
          <w:rFonts w:ascii="Garamond" w:hAnsi="Garamond"/>
          <w:kern w:val="0"/>
          <w:lang w:val="en-US"/>
        </w:rPr>
      </w:pPr>
      <w:r w:rsidRPr="000D54C7">
        <w:rPr>
          <w:rFonts w:ascii="Garamond" w:hAnsi="Garamond"/>
          <w:kern w:val="0"/>
          <w:lang w:val="en-US"/>
        </w:rPr>
        <w:t xml:space="preserve">Informed consent constitutes a fundamental mechanism for safeguarding patient autonomy and legal protection within healthcare services. Despite its extensive regulation in Indonesian health law, prevailing practices tend to reduce informed consent to a procedural and administrative formality, thereby failing to address the structural imbalance between medical professionals and patients. This study critically examines the limitations of informed consent under Indonesian positive law and proposes a normative reconstruction grounded in the Islamic contract law principle of </w:t>
      </w:r>
      <w:r w:rsidRPr="00DD05DC">
        <w:rPr>
          <w:rFonts w:ascii="Garamond" w:hAnsi="Garamond"/>
          <w:i/>
          <w:iCs/>
          <w:kern w:val="0"/>
          <w:lang w:val="en-US"/>
        </w:rPr>
        <w:t>at-tarā</w:t>
      </w:r>
      <w:r w:rsidRPr="00DD05DC">
        <w:rPr>
          <w:rFonts w:ascii="Cambria" w:hAnsi="Cambria" w:cs="Cambria"/>
          <w:i/>
          <w:iCs/>
          <w:kern w:val="0"/>
          <w:lang w:val="en-US"/>
        </w:rPr>
        <w:t>ḍ</w:t>
      </w:r>
      <w:r w:rsidRPr="00DD05DC">
        <w:rPr>
          <w:rFonts w:ascii="Garamond" w:hAnsi="Garamond" w:cs="Garamond"/>
          <w:i/>
          <w:iCs/>
          <w:kern w:val="0"/>
          <w:lang w:val="en-US"/>
        </w:rPr>
        <w:t>ī</w:t>
      </w:r>
      <w:r w:rsidRPr="000D54C7">
        <w:rPr>
          <w:rFonts w:ascii="Garamond" w:hAnsi="Garamond"/>
          <w:kern w:val="0"/>
          <w:lang w:val="en-US"/>
        </w:rPr>
        <w:t xml:space="preserve"> (mutual consent).</w:t>
      </w:r>
    </w:p>
    <w:p w:rsidR="000D54C7" w:rsidRPr="00DD05DC" w:rsidRDefault="000D54C7" w:rsidP="000D54C7">
      <w:pPr>
        <w:spacing w:after="0" w:line="240" w:lineRule="auto"/>
        <w:ind w:firstLine="720"/>
        <w:jc w:val="both"/>
        <w:rPr>
          <w:rFonts w:ascii="Garamond" w:hAnsi="Garamond"/>
          <w:kern w:val="0"/>
          <w:lang w:val="en-US"/>
        </w:rPr>
      </w:pPr>
      <w:r w:rsidRPr="000D54C7">
        <w:rPr>
          <w:rFonts w:ascii="Garamond" w:hAnsi="Garamond"/>
          <w:kern w:val="0"/>
          <w:lang w:val="en-US"/>
        </w:rPr>
        <w:t>Employing normative legal research with conceptual, doctrinal, and comparative approaches, this study integrates Indonesian health regulations with principles derived from Islamic contract law (</w:t>
      </w:r>
      <w:r w:rsidRPr="00DD05DC">
        <w:rPr>
          <w:rFonts w:ascii="Garamond" w:hAnsi="Garamond"/>
          <w:i/>
          <w:iCs/>
          <w:kern w:val="0"/>
          <w:lang w:val="en-US"/>
        </w:rPr>
        <w:t>fiqh mu</w:t>
      </w:r>
      <w:r w:rsidRPr="00DD05DC">
        <w:rPr>
          <w:rFonts w:ascii="Times New Roman" w:hAnsi="Times New Roman"/>
          <w:i/>
          <w:iCs/>
          <w:kern w:val="0"/>
          <w:lang w:val="en-US"/>
        </w:rPr>
        <w:t>ʿ</w:t>
      </w:r>
      <w:r w:rsidRPr="00DD05DC">
        <w:rPr>
          <w:rFonts w:ascii="Garamond" w:hAnsi="Garamond" w:cs="Garamond"/>
          <w:i/>
          <w:iCs/>
          <w:kern w:val="0"/>
          <w:lang w:val="en-US"/>
        </w:rPr>
        <w:t>ā</w:t>
      </w:r>
      <w:r w:rsidRPr="00DD05DC">
        <w:rPr>
          <w:rFonts w:ascii="Garamond" w:hAnsi="Garamond"/>
          <w:i/>
          <w:iCs/>
          <w:kern w:val="0"/>
          <w:lang w:val="en-US"/>
        </w:rPr>
        <w:t>mal</w:t>
      </w:r>
      <w:r w:rsidRPr="00DD05DC">
        <w:rPr>
          <w:rFonts w:ascii="Garamond" w:hAnsi="Garamond" w:cs="Garamond"/>
          <w:i/>
          <w:iCs/>
          <w:kern w:val="0"/>
          <w:lang w:val="en-US"/>
        </w:rPr>
        <w:t>ā</w:t>
      </w:r>
      <w:r w:rsidRPr="00DD05DC">
        <w:rPr>
          <w:rFonts w:ascii="Garamond" w:hAnsi="Garamond"/>
          <w:i/>
          <w:iCs/>
          <w:kern w:val="0"/>
          <w:lang w:val="en-US"/>
        </w:rPr>
        <w:t>t</w:t>
      </w:r>
      <w:r w:rsidRPr="000D54C7">
        <w:rPr>
          <w:rFonts w:ascii="Garamond" w:hAnsi="Garamond"/>
          <w:kern w:val="0"/>
          <w:lang w:val="en-US"/>
        </w:rPr>
        <w:t xml:space="preserve">), particularly </w:t>
      </w:r>
      <w:r w:rsidRPr="00DD05DC">
        <w:rPr>
          <w:rFonts w:ascii="Garamond" w:hAnsi="Garamond"/>
          <w:i/>
          <w:iCs/>
          <w:kern w:val="0"/>
          <w:lang w:val="en-US"/>
        </w:rPr>
        <w:t>at-tarā</w:t>
      </w:r>
      <w:r w:rsidRPr="00DD05DC">
        <w:rPr>
          <w:rFonts w:ascii="Cambria" w:hAnsi="Cambria" w:cs="Cambria"/>
          <w:i/>
          <w:iCs/>
          <w:kern w:val="0"/>
          <w:lang w:val="en-US"/>
        </w:rPr>
        <w:t>ḍ</w:t>
      </w:r>
      <w:r w:rsidRPr="00DD05DC">
        <w:rPr>
          <w:rFonts w:ascii="Garamond" w:hAnsi="Garamond" w:cs="Garamond"/>
          <w:i/>
          <w:iCs/>
          <w:kern w:val="0"/>
          <w:lang w:val="en-US"/>
        </w:rPr>
        <w:t>ī</w:t>
      </w:r>
      <w:r w:rsidRPr="000D54C7">
        <w:rPr>
          <w:rFonts w:ascii="Garamond" w:hAnsi="Garamond"/>
          <w:kern w:val="0"/>
          <w:lang w:val="en-US"/>
        </w:rPr>
        <w:t xml:space="preserve">, </w:t>
      </w:r>
      <w:r w:rsidRPr="00DD05DC">
        <w:rPr>
          <w:rFonts w:ascii="Garamond" w:hAnsi="Garamond"/>
          <w:i/>
          <w:iCs/>
          <w:kern w:val="0"/>
          <w:lang w:val="en-US"/>
        </w:rPr>
        <w:t>ridā</w:t>
      </w:r>
      <w:r w:rsidRPr="000D54C7">
        <w:rPr>
          <w:rFonts w:ascii="Garamond" w:hAnsi="Garamond"/>
          <w:kern w:val="0"/>
          <w:lang w:val="en-US"/>
        </w:rPr>
        <w:t>, and the prohibition of coercion, deception, and excessive uncertainty (</w:t>
      </w:r>
      <w:r w:rsidRPr="00DD05DC">
        <w:rPr>
          <w:rFonts w:ascii="Garamond" w:hAnsi="Garamond"/>
          <w:i/>
          <w:iCs/>
          <w:kern w:val="0"/>
          <w:lang w:val="en-US"/>
        </w:rPr>
        <w:t>gharar</w:t>
      </w:r>
      <w:r w:rsidRPr="000D54C7">
        <w:rPr>
          <w:rFonts w:ascii="Garamond" w:hAnsi="Garamond"/>
          <w:kern w:val="0"/>
          <w:lang w:val="en-US"/>
        </w:rPr>
        <w:t>). Legal materials were analyzed through systematic and conceptual interpretation to develop a coherent reconstructive framework.</w:t>
      </w:r>
    </w:p>
    <w:p w:rsidR="000D54C7" w:rsidRPr="000D54C7" w:rsidRDefault="000D54C7" w:rsidP="000D54C7">
      <w:pPr>
        <w:spacing w:after="0" w:line="240" w:lineRule="auto"/>
        <w:ind w:firstLine="720"/>
        <w:jc w:val="both"/>
        <w:rPr>
          <w:rFonts w:ascii="Garamond" w:hAnsi="Garamond"/>
          <w:kern w:val="0"/>
          <w:lang w:val="en-US"/>
        </w:rPr>
      </w:pPr>
      <w:r w:rsidRPr="000D54C7">
        <w:rPr>
          <w:rFonts w:ascii="Garamond" w:hAnsi="Garamond"/>
          <w:kern w:val="0"/>
          <w:lang w:val="en-US"/>
        </w:rPr>
        <w:t>The findings reveal that Indonesian informed consent regulations emphasize formal compliance rather than substantive voluntariness and comprehension. By reconceptualizing informed consent as a medical contract (</w:t>
      </w:r>
      <w:r w:rsidRPr="00DD05DC">
        <w:rPr>
          <w:rFonts w:ascii="Garamond" w:hAnsi="Garamond"/>
          <w:i/>
          <w:iCs/>
          <w:kern w:val="0"/>
          <w:lang w:val="en-US"/>
        </w:rPr>
        <w:t>akad al-khidmah</w:t>
      </w:r>
      <w:r w:rsidRPr="000D54C7">
        <w:rPr>
          <w:rFonts w:ascii="Garamond" w:hAnsi="Garamond"/>
          <w:kern w:val="0"/>
          <w:lang w:val="en-US"/>
        </w:rPr>
        <w:t xml:space="preserve">) based on </w:t>
      </w:r>
      <w:r w:rsidRPr="00DD05DC">
        <w:rPr>
          <w:rFonts w:ascii="Garamond" w:hAnsi="Garamond"/>
          <w:i/>
          <w:iCs/>
          <w:kern w:val="0"/>
          <w:lang w:val="en-US"/>
        </w:rPr>
        <w:t>at-tarā</w:t>
      </w:r>
      <w:r w:rsidRPr="00DD05DC">
        <w:rPr>
          <w:rFonts w:ascii="Cambria" w:hAnsi="Cambria" w:cs="Cambria"/>
          <w:i/>
          <w:iCs/>
          <w:kern w:val="0"/>
          <w:lang w:val="en-US"/>
        </w:rPr>
        <w:t>ḍ</w:t>
      </w:r>
      <w:r w:rsidRPr="00DD05DC">
        <w:rPr>
          <w:rFonts w:ascii="Garamond" w:hAnsi="Garamond" w:cs="Garamond"/>
          <w:i/>
          <w:iCs/>
          <w:kern w:val="0"/>
          <w:lang w:val="en-US"/>
        </w:rPr>
        <w:t>ī</w:t>
      </w:r>
      <w:r w:rsidRPr="000D54C7">
        <w:rPr>
          <w:rFonts w:ascii="Garamond" w:hAnsi="Garamond"/>
          <w:kern w:val="0"/>
          <w:lang w:val="en-US"/>
        </w:rPr>
        <w:t>, this study introduces a model of substantive consent that requires adequate disclosure, patient understanding, free will, and authentic mutual acceptance. This reconstruction strengthens patient protection, restores contractual balance in therapeutic relationships, and aligns legal certainty with ethical and moral legitimacy.</w:t>
      </w:r>
      <w:r w:rsidRPr="00DD05DC">
        <w:rPr>
          <w:rFonts w:ascii="Garamond" w:hAnsi="Garamond"/>
          <w:kern w:val="0"/>
          <w:lang w:val="en-US"/>
        </w:rPr>
        <w:t xml:space="preserve"> </w:t>
      </w:r>
      <w:r w:rsidRPr="000D54C7">
        <w:rPr>
          <w:rFonts w:ascii="Garamond" w:hAnsi="Garamond"/>
          <w:kern w:val="0"/>
          <w:lang w:val="en-US"/>
        </w:rPr>
        <w:t>The study contributes a novel integrative framework that bridges modern health law and Islamic contract theory, offering a justice-oriented model of informed consent applicable to healthcare services.</w:t>
      </w:r>
    </w:p>
    <w:p w:rsidR="00566408" w:rsidRPr="00DD05DC" w:rsidRDefault="00566408" w:rsidP="00D15EE1">
      <w:pPr>
        <w:pStyle w:val="NormalWeb"/>
        <w:spacing w:after="0" w:afterAutospacing="0" w:line="276" w:lineRule="auto"/>
        <w:rPr>
          <w:rStyle w:val="Emphasis"/>
          <w:rFonts w:ascii="Garamond" w:hAnsi="Garamond"/>
          <w:color w:val="000000" w:themeColor="text1"/>
        </w:rPr>
      </w:pPr>
    </w:p>
    <w:p w:rsidR="00566408" w:rsidRPr="00DD05DC" w:rsidRDefault="00566408" w:rsidP="00D15EE1">
      <w:pPr>
        <w:pStyle w:val="NormalWeb"/>
        <w:spacing w:after="0" w:afterAutospacing="0" w:line="276" w:lineRule="auto"/>
        <w:rPr>
          <w:rStyle w:val="Emphasis"/>
          <w:rFonts w:ascii="Garamond" w:hAnsi="Garamond"/>
          <w:color w:val="000000" w:themeColor="text1"/>
        </w:rPr>
      </w:pPr>
    </w:p>
    <w:p w:rsidR="008C20A3" w:rsidRPr="00DD05DC" w:rsidRDefault="008C20A3" w:rsidP="00D15EE1">
      <w:pPr>
        <w:pStyle w:val="NormalWeb"/>
        <w:spacing w:after="0" w:afterAutospacing="0" w:line="276" w:lineRule="auto"/>
        <w:rPr>
          <w:rFonts w:ascii="Garamond" w:hAnsi="Garamond"/>
          <w:color w:val="000000" w:themeColor="text1"/>
        </w:rPr>
      </w:pPr>
      <w:r w:rsidRPr="00DD05DC">
        <w:rPr>
          <w:rStyle w:val="Strong"/>
          <w:rFonts w:ascii="Garamond" w:hAnsi="Garamond"/>
          <w:b w:val="0"/>
          <w:color w:val="000000" w:themeColor="text1"/>
        </w:rPr>
        <w:t>Keywords:</w:t>
      </w:r>
      <w:r w:rsidRPr="00DD05DC">
        <w:rPr>
          <w:rFonts w:ascii="Garamond" w:hAnsi="Garamond"/>
          <w:color w:val="000000" w:themeColor="text1"/>
        </w:rPr>
        <w:t xml:space="preserve"> </w:t>
      </w:r>
      <w:r w:rsidR="003367B4" w:rsidRPr="00DD05DC">
        <w:rPr>
          <w:rFonts w:ascii="Garamond" w:hAnsi="Garamond"/>
        </w:rPr>
        <w:t xml:space="preserve">informed consent; Islamic contract law; </w:t>
      </w:r>
      <w:r w:rsidR="003367B4" w:rsidRPr="00DD05DC">
        <w:rPr>
          <w:rStyle w:val="Emphasis"/>
          <w:rFonts w:ascii="Garamond" w:hAnsi="Garamond"/>
        </w:rPr>
        <w:t>at-tarā</w:t>
      </w:r>
      <w:r w:rsidR="003367B4" w:rsidRPr="00DD05DC">
        <w:rPr>
          <w:rStyle w:val="Emphasis"/>
          <w:rFonts w:ascii="Cambria" w:hAnsi="Cambria" w:cs="Cambria"/>
        </w:rPr>
        <w:t>ḍ</w:t>
      </w:r>
      <w:r w:rsidR="003367B4" w:rsidRPr="00DD05DC">
        <w:rPr>
          <w:rStyle w:val="Emphasis"/>
          <w:rFonts w:ascii="Garamond" w:hAnsi="Garamond" w:cs="Garamond"/>
        </w:rPr>
        <w:t>ī</w:t>
      </w:r>
      <w:r w:rsidR="003367B4" w:rsidRPr="00DD05DC">
        <w:rPr>
          <w:rStyle w:val="Emphasis"/>
          <w:rFonts w:ascii="Garamond" w:hAnsi="Garamond"/>
        </w:rPr>
        <w:t xml:space="preserve"> </w:t>
      </w:r>
      <w:r w:rsidR="003367B4" w:rsidRPr="00DD05DC">
        <w:rPr>
          <w:rFonts w:ascii="Garamond" w:hAnsi="Garamond"/>
        </w:rPr>
        <w:t>; patient autonomy; reconstruction</w:t>
      </w:r>
    </w:p>
    <w:p w:rsidR="008C20A3" w:rsidRPr="00DD05DC" w:rsidRDefault="008C20A3" w:rsidP="00D15EE1">
      <w:pPr>
        <w:spacing w:after="0" w:line="276" w:lineRule="auto"/>
        <w:rPr>
          <w:rFonts w:ascii="Garamond" w:hAnsi="Garamond"/>
          <w:color w:val="000000" w:themeColor="text1"/>
        </w:rPr>
      </w:pPr>
    </w:p>
    <w:p w:rsidR="00D15EE1" w:rsidRPr="00DD05DC" w:rsidRDefault="00D15EE1" w:rsidP="00D15EE1">
      <w:pPr>
        <w:spacing w:after="0" w:line="276" w:lineRule="auto"/>
        <w:rPr>
          <w:rFonts w:ascii="Garamond" w:hAnsi="Garamond"/>
          <w:color w:val="000000" w:themeColor="text1"/>
        </w:rPr>
      </w:pPr>
      <w:r w:rsidRPr="00DD05DC">
        <w:rPr>
          <w:rFonts w:ascii="Garamond" w:hAnsi="Garamond"/>
          <w:color w:val="000000" w:themeColor="text1"/>
        </w:rPr>
        <w:br w:type="page"/>
      </w:r>
    </w:p>
    <w:p w:rsidR="00B56CB6" w:rsidRPr="00DD05DC" w:rsidRDefault="00306E4F" w:rsidP="00F756D9">
      <w:pPr>
        <w:spacing w:after="0" w:line="276" w:lineRule="auto"/>
        <w:rPr>
          <w:rFonts w:ascii="Garamond" w:hAnsi="Garamond"/>
          <w:b/>
          <w:color w:val="000000" w:themeColor="text1"/>
        </w:rPr>
      </w:pPr>
      <w:r w:rsidRPr="00DD05DC">
        <w:rPr>
          <w:rFonts w:ascii="Garamond" w:hAnsi="Garamond"/>
          <w:b/>
          <w:color w:val="000000" w:themeColor="text1"/>
        </w:rPr>
        <w:lastRenderedPageBreak/>
        <w:t>INTRODUCTION</w:t>
      </w:r>
    </w:p>
    <w:p w:rsidR="007E2BF3" w:rsidRPr="00DD05DC" w:rsidRDefault="007E2BF3" w:rsidP="007E2BF3">
      <w:pPr>
        <w:pStyle w:val="NormalWeb"/>
        <w:spacing w:before="0" w:beforeAutospacing="0" w:after="0" w:afterAutospacing="0" w:line="276" w:lineRule="auto"/>
        <w:ind w:firstLine="720"/>
        <w:jc w:val="both"/>
        <w:rPr>
          <w:rFonts w:ascii="Garamond" w:hAnsi="Garamond"/>
          <w:bCs/>
          <w:color w:val="000000" w:themeColor="text1"/>
        </w:rPr>
      </w:pPr>
    </w:p>
    <w:p w:rsidR="007E2BF3" w:rsidRPr="00DD05DC" w:rsidRDefault="005D2F64" w:rsidP="009F0512">
      <w:pPr>
        <w:pStyle w:val="NormalWeb"/>
        <w:spacing w:before="0" w:beforeAutospacing="0" w:after="0" w:afterAutospacing="0" w:line="360" w:lineRule="auto"/>
        <w:ind w:firstLine="720"/>
        <w:jc w:val="both"/>
        <w:rPr>
          <w:rFonts w:ascii="Garamond" w:hAnsi="Garamond"/>
          <w:color w:val="000000" w:themeColor="text1"/>
        </w:rPr>
      </w:pPr>
      <w:r w:rsidRPr="00DD05DC">
        <w:rPr>
          <w:rFonts w:ascii="Garamond" w:hAnsi="Garamond"/>
          <w:bCs/>
          <w:i/>
          <w:iCs/>
          <w:color w:val="000000" w:themeColor="text1"/>
        </w:rPr>
        <w:t xml:space="preserve">Consent </w:t>
      </w:r>
      <w:r w:rsidR="00D7733E" w:rsidRPr="00DD05DC">
        <w:rPr>
          <w:rFonts w:ascii="Garamond" w:hAnsi="Garamond"/>
          <w:color w:val="000000" w:themeColor="text1"/>
        </w:rPr>
        <w:t xml:space="preserve">in healthcare is called </w:t>
      </w:r>
      <w:r w:rsidRPr="00DD05DC">
        <w:rPr>
          <w:rFonts w:ascii="Garamond" w:hAnsi="Garamond"/>
          <w:i/>
          <w:iCs/>
          <w:color w:val="000000" w:themeColor="text1"/>
        </w:rPr>
        <w:t>informed consent</w:t>
      </w:r>
      <w:r w:rsidR="00D7733E" w:rsidRPr="00DD05DC">
        <w:rPr>
          <w:rFonts w:ascii="Garamond" w:hAnsi="Garamond"/>
          <w:color w:val="000000" w:themeColor="text1"/>
        </w:rPr>
        <w:t xml:space="preserve">, which is a communication process between a doctor and a patient to provide the patient with the knowledge to make decisions about treatment </w:t>
      </w:r>
      <w:r w:rsidR="00736FEA" w:rsidRPr="00DD05DC">
        <w:rPr>
          <w:rStyle w:val="FootnoteReference"/>
          <w:rFonts w:ascii="Garamond" w:hAnsi="Garamond"/>
          <w:color w:val="000000" w:themeColor="text1"/>
        </w:rPr>
        <w:footnoteReference w:id="1"/>
      </w:r>
      <w:r w:rsidR="00D7733E" w:rsidRPr="00DD05DC">
        <w:rPr>
          <w:rFonts w:ascii="Garamond" w:hAnsi="Garamond"/>
          <w:color w:val="000000" w:themeColor="text1"/>
        </w:rPr>
        <w:t>.</w:t>
      </w:r>
      <w:r w:rsidR="00D7733E" w:rsidRPr="00DD05DC">
        <w:rPr>
          <w:rFonts w:ascii="Garamond" w:hAnsi="Garamond"/>
          <w:bCs/>
          <w:color w:val="000000" w:themeColor="text1"/>
        </w:rPr>
        <w:t xml:space="preserve"> </w:t>
      </w:r>
      <w:r w:rsidRPr="00DD05DC">
        <w:rPr>
          <w:rFonts w:ascii="Garamond" w:hAnsi="Garamond"/>
          <w:bCs/>
          <w:color w:val="000000" w:themeColor="text1"/>
        </w:rPr>
        <w:t xml:space="preserve">It </w:t>
      </w:r>
      <w:r w:rsidR="00AB2D24" w:rsidRPr="00DD05DC">
        <w:rPr>
          <w:rFonts w:ascii="Garamond" w:hAnsi="Garamond"/>
          <w:color w:val="000000" w:themeColor="text1"/>
        </w:rPr>
        <w:t xml:space="preserve">is a core and fundamental issue in the global discourse on medical law and bioethics. This makes it a topic of universal significance for the protection of patient rights. Although </w:t>
      </w:r>
      <w:r w:rsidR="00AB2D24" w:rsidRPr="00DD05DC">
        <w:rPr>
          <w:rFonts w:ascii="Garamond" w:hAnsi="Garamond"/>
          <w:i/>
          <w:iCs/>
          <w:color w:val="000000" w:themeColor="text1"/>
        </w:rPr>
        <w:t xml:space="preserve">informed consent </w:t>
      </w:r>
      <w:r w:rsidR="00AB2D24" w:rsidRPr="00DD05DC">
        <w:rPr>
          <w:rFonts w:ascii="Garamond" w:hAnsi="Garamond"/>
          <w:color w:val="000000" w:themeColor="text1"/>
        </w:rPr>
        <w:t xml:space="preserve">has been widely institutionalized, there is a critical issue where </w:t>
      </w:r>
      <w:r w:rsidR="00AB2D24" w:rsidRPr="00DD05DC">
        <w:rPr>
          <w:rFonts w:ascii="Garamond" w:hAnsi="Garamond"/>
          <w:bCs/>
          <w:color w:val="000000" w:themeColor="text1"/>
        </w:rPr>
        <w:t xml:space="preserve">procedural formalism </w:t>
      </w:r>
      <w:r w:rsidR="00AB2D24" w:rsidRPr="00DD05DC">
        <w:rPr>
          <w:rFonts w:ascii="Garamond" w:hAnsi="Garamond"/>
          <w:color w:val="000000" w:themeColor="text1"/>
        </w:rPr>
        <w:t xml:space="preserve">(mere signature) </w:t>
      </w:r>
      <w:r w:rsidR="00AB2D24" w:rsidRPr="00DD05DC">
        <w:rPr>
          <w:rFonts w:ascii="Garamond" w:hAnsi="Garamond"/>
          <w:bCs/>
          <w:color w:val="000000" w:themeColor="text1"/>
        </w:rPr>
        <w:t>does not guarant</w:t>
      </w:r>
      <w:r w:rsidRPr="00DD05DC">
        <w:rPr>
          <w:rFonts w:ascii="Garamond" w:hAnsi="Garamond"/>
          <w:bCs/>
          <w:color w:val="000000" w:themeColor="text1"/>
        </w:rPr>
        <w:t>ee substantive patient autonomy</w:t>
      </w:r>
      <w:r w:rsidR="00AB2D24" w:rsidRPr="00DD05DC">
        <w:rPr>
          <w:rFonts w:ascii="Garamond" w:hAnsi="Garamond"/>
          <w:color w:val="000000" w:themeColor="text1"/>
        </w:rPr>
        <w:t>. Existing practices often fail to address patient vulnerabilities resulting from knowledge gaps and unequal bargaining positions.</w:t>
      </w:r>
    </w:p>
    <w:p w:rsidR="007E2BF3" w:rsidRPr="00DD05DC" w:rsidRDefault="005D2F64" w:rsidP="009F0512">
      <w:pPr>
        <w:pStyle w:val="NormalWeb"/>
        <w:spacing w:before="0" w:beforeAutospacing="0" w:after="0" w:afterAutospacing="0" w:line="360" w:lineRule="auto"/>
        <w:ind w:firstLine="720"/>
        <w:jc w:val="both"/>
        <w:rPr>
          <w:rFonts w:ascii="Garamond" w:hAnsi="Garamond"/>
          <w:color w:val="000000" w:themeColor="text1"/>
        </w:rPr>
      </w:pPr>
      <w:r w:rsidRPr="00DD05DC">
        <w:rPr>
          <w:rFonts w:ascii="Garamond" w:hAnsi="Garamond"/>
        </w:rPr>
        <w:t>One of the fundamental aspects of medical practice is informed consent, which is approval for medical procedures given after the patient has received complete, clear, and honest information from a health professional</w:t>
      </w:r>
      <w:r w:rsidR="007E2BF3" w:rsidRPr="00DD05DC">
        <w:rPr>
          <w:rFonts w:ascii="Garamond" w:hAnsi="Garamond"/>
          <w:color w:val="000000" w:themeColor="text1"/>
          <w:shd w:val="clear" w:color="auto" w:fill="FFFFFF"/>
        </w:rPr>
        <w:t>.</w:t>
      </w:r>
      <w:r w:rsidR="00736FEA" w:rsidRPr="00DD05DC">
        <w:rPr>
          <w:rStyle w:val="FootnoteReference"/>
          <w:rFonts w:ascii="Garamond" w:hAnsi="Garamond"/>
          <w:color w:val="000000" w:themeColor="text1"/>
        </w:rPr>
        <w:footnoteReference w:id="2"/>
      </w:r>
      <w:r w:rsidR="007E2BF3" w:rsidRPr="00DD05DC">
        <w:rPr>
          <w:rFonts w:ascii="Garamond" w:hAnsi="Garamond"/>
          <w:color w:val="000000" w:themeColor="text1"/>
          <w:shd w:val="clear" w:color="auto" w:fill="FFFFFF"/>
        </w:rPr>
        <w:t xml:space="preserve"> </w:t>
      </w:r>
      <w:r w:rsidRPr="00DD05DC">
        <w:rPr>
          <w:rFonts w:ascii="Garamond" w:hAnsi="Garamond"/>
        </w:rPr>
        <w:t>Informed consent plays a crucial role in the doctor-patient relationship, serving as written evidence of an agreement between the doctor and patient before a medical procedure is performed. Informed consent can serve as the basis for determining whether a patient accepts or declines a medical procedure, while also providing protection for the doctor. Doctors enjoy legal protection as long as they perform procedures in accordance with professional standards and operational procedures</w:t>
      </w:r>
      <w:r w:rsidR="007E2BF3" w:rsidRPr="00DD05DC">
        <w:rPr>
          <w:rFonts w:ascii="Garamond" w:hAnsi="Garamond"/>
          <w:color w:val="000000" w:themeColor="text1"/>
        </w:rPr>
        <w:t>.</w:t>
      </w:r>
      <w:r w:rsidR="00736FEA" w:rsidRPr="00DD05DC">
        <w:rPr>
          <w:rStyle w:val="FootnoteReference"/>
          <w:rFonts w:ascii="Garamond" w:hAnsi="Garamond"/>
          <w:color w:val="000000" w:themeColor="text1"/>
        </w:rPr>
        <w:footnoteReference w:id="3"/>
      </w:r>
    </w:p>
    <w:p w:rsidR="0020295C" w:rsidRPr="00DD05DC" w:rsidRDefault="005D2F64" w:rsidP="009F0512">
      <w:pPr>
        <w:pStyle w:val="NormalWeb"/>
        <w:spacing w:before="0" w:beforeAutospacing="0" w:after="0" w:afterAutospacing="0" w:line="360" w:lineRule="auto"/>
        <w:ind w:firstLine="720"/>
        <w:jc w:val="both"/>
        <w:rPr>
          <w:rFonts w:ascii="Garamond" w:hAnsi="Garamond"/>
          <w:color w:val="000000" w:themeColor="text1"/>
        </w:rPr>
      </w:pPr>
      <w:r w:rsidRPr="00DD05DC">
        <w:rPr>
          <w:rFonts w:ascii="Garamond" w:hAnsi="Garamond"/>
        </w:rPr>
        <w:t>Patients are in a weaker position in healthcare compared to medical personnel and healthcare facilities. Because of this inequality, patients are entitled to legal protection. Many patients feel incapable of evaluating the medical information provided and prefer to accept whatever their doctor decides.</w:t>
      </w:r>
      <w:r w:rsidR="00736FEA" w:rsidRPr="00DD05DC">
        <w:rPr>
          <w:rStyle w:val="FootnoteReference"/>
          <w:rFonts w:ascii="Garamond" w:hAnsi="Garamond"/>
          <w:color w:val="000000" w:themeColor="text1"/>
        </w:rPr>
        <w:footnoteReference w:id="4"/>
      </w:r>
    </w:p>
    <w:p w:rsidR="005D2F64" w:rsidRPr="00DD05DC" w:rsidRDefault="005D2F64" w:rsidP="005D2F64">
      <w:pPr>
        <w:pStyle w:val="NormalWeb"/>
        <w:spacing w:before="0" w:beforeAutospacing="0" w:after="0" w:afterAutospacing="0" w:line="360" w:lineRule="auto"/>
        <w:ind w:firstLine="720"/>
        <w:jc w:val="both"/>
        <w:rPr>
          <w:rFonts w:ascii="Garamond" w:hAnsi="Garamond"/>
        </w:rPr>
      </w:pPr>
      <w:r w:rsidRPr="00DD05DC">
        <w:rPr>
          <w:rFonts w:ascii="Garamond" w:hAnsi="Garamond"/>
        </w:rPr>
        <w:t xml:space="preserve">Patients are in a systemically vulnerable position in therapeutic transactions, underpinning the crucial need for legal protection. This vulnerability is rooted in three main dimensions: First, the existence of </w:t>
      </w:r>
      <w:r w:rsidRPr="00DD05DC">
        <w:rPr>
          <w:rFonts w:ascii="Garamond" w:hAnsi="Garamond"/>
          <w:i/>
          <w:iCs/>
        </w:rPr>
        <w:t>asymmetric information,</w:t>
      </w:r>
      <w:r w:rsidRPr="00DD05DC">
        <w:rPr>
          <w:rFonts w:ascii="Garamond" w:hAnsi="Garamond"/>
        </w:rPr>
        <w:t xml:space="preserve"> where doctors' technical medical superiority has the potential to trigger information manipulation. Second, patients' psychological and medical dependence creates an </w:t>
      </w:r>
      <w:r w:rsidRPr="00DD05DC">
        <w:rPr>
          <w:rFonts w:ascii="Garamond" w:hAnsi="Garamond"/>
        </w:rPr>
        <w:lastRenderedPageBreak/>
        <w:t xml:space="preserve">unequal bargaining position ( </w:t>
      </w:r>
      <w:r w:rsidRPr="00DD05DC">
        <w:rPr>
          <w:rFonts w:ascii="Garamond" w:hAnsi="Garamond"/>
          <w:i/>
          <w:iCs/>
        </w:rPr>
        <w:t xml:space="preserve">lack of bargaining power </w:t>
      </w:r>
      <w:r w:rsidRPr="00DD05DC">
        <w:rPr>
          <w:rFonts w:ascii="Garamond" w:hAnsi="Garamond"/>
        </w:rPr>
        <w:t xml:space="preserve">). Third, patients' inability to assess risks in </w:t>
      </w:r>
      <w:r w:rsidRPr="00DD05DC">
        <w:rPr>
          <w:rFonts w:ascii="Garamond" w:hAnsi="Garamond"/>
          <w:i/>
          <w:iCs/>
        </w:rPr>
        <w:t xml:space="preserve">the high-risk </w:t>
      </w:r>
      <w:r w:rsidRPr="00DD05DC">
        <w:rPr>
          <w:rFonts w:ascii="Garamond" w:hAnsi="Garamond"/>
        </w:rPr>
        <w:t>healthcare sector.</w:t>
      </w:r>
    </w:p>
    <w:p w:rsidR="005D2F64" w:rsidRPr="00DD05DC" w:rsidRDefault="005D2F64" w:rsidP="005D2F64">
      <w:pPr>
        <w:pStyle w:val="NormalWeb"/>
        <w:spacing w:before="0" w:beforeAutospacing="0" w:after="0" w:afterAutospacing="0" w:line="360" w:lineRule="auto"/>
        <w:ind w:firstLine="720"/>
        <w:jc w:val="both"/>
        <w:rPr>
          <w:rFonts w:ascii="Garamond" w:hAnsi="Garamond"/>
        </w:rPr>
      </w:pPr>
      <w:r w:rsidRPr="00DD05DC">
        <w:rPr>
          <w:rFonts w:ascii="Garamond" w:hAnsi="Garamond"/>
        </w:rPr>
        <w:t>Recent normative research indicates that informed consent has a strong standing in Indonesian civil law: failure to fulfill the requirements for informed consent can lead to legal consequences such as the termination of the therapeutic agreement, claims for damages for unlawful acts, and malpractice claims</w:t>
      </w:r>
      <w:r w:rsidR="00995473" w:rsidRPr="00DD05DC">
        <w:rPr>
          <w:rFonts w:ascii="Garamond" w:hAnsi="Garamond"/>
          <w:color w:val="000000" w:themeColor="text1"/>
        </w:rPr>
        <w:t xml:space="preserve">. </w:t>
      </w:r>
      <w:r w:rsidR="009B5940" w:rsidRPr="00DD05DC">
        <w:rPr>
          <w:rStyle w:val="FootnoteReference"/>
          <w:rFonts w:ascii="Garamond" w:hAnsi="Garamond"/>
          <w:color w:val="000000" w:themeColor="text1"/>
        </w:rPr>
        <w:footnoteReference w:id="5"/>
      </w:r>
      <w:r w:rsidRPr="00DD05DC">
        <w:rPr>
          <w:rFonts w:ascii="Garamond" w:hAnsi="Garamond"/>
        </w:rPr>
        <w:t xml:space="preserve"> Thus, legal protection for patients is not only a matter of ethics, but also of legal certainty and professional responsibility.</w:t>
      </w:r>
    </w:p>
    <w:p w:rsidR="005D2F64" w:rsidRPr="00DD05DC" w:rsidRDefault="005D2F64" w:rsidP="005D2F64">
      <w:pPr>
        <w:pStyle w:val="NormalWeb"/>
        <w:spacing w:before="0" w:beforeAutospacing="0" w:after="0" w:afterAutospacing="0" w:line="360" w:lineRule="auto"/>
        <w:ind w:firstLine="720"/>
        <w:jc w:val="both"/>
        <w:rPr>
          <w:rFonts w:ascii="Garamond" w:hAnsi="Garamond"/>
        </w:rPr>
      </w:pPr>
      <w:r w:rsidRPr="00DD05DC">
        <w:rPr>
          <w:rFonts w:ascii="Garamond" w:hAnsi="Garamond"/>
        </w:rPr>
        <w:t>A major gap in the scientific literature on informed consent is the lack of a normative framework that adequately addresses the structural imbalances within the therapeutic relationship. Existing research tends to focus on positive law without offering a model for reconstruction that can ensure deeper justice.</w:t>
      </w:r>
    </w:p>
    <w:p w:rsidR="005D2F64" w:rsidRPr="00DD05DC" w:rsidRDefault="005D2F64" w:rsidP="005D2F64">
      <w:pPr>
        <w:pStyle w:val="NormalWeb"/>
        <w:spacing w:before="0" w:beforeAutospacing="0" w:after="0" w:afterAutospacing="0" w:line="360" w:lineRule="auto"/>
        <w:ind w:firstLine="720"/>
        <w:jc w:val="both"/>
        <w:rPr>
          <w:rFonts w:ascii="Garamond" w:hAnsi="Garamond"/>
        </w:rPr>
      </w:pPr>
      <w:r w:rsidRPr="00DD05DC">
        <w:rPr>
          <w:rFonts w:ascii="Garamond" w:hAnsi="Garamond"/>
        </w:rPr>
        <w:t xml:space="preserve">Therefore, this study aims to answer the discussion and analysis of </w:t>
      </w:r>
      <w:r w:rsidRPr="00DD05DC">
        <w:rPr>
          <w:rFonts w:ascii="Garamond" w:hAnsi="Garamond"/>
          <w:i/>
          <w:iCs/>
        </w:rPr>
        <w:t>the At-Tarā</w:t>
      </w:r>
      <w:r w:rsidRPr="00DD05DC">
        <w:rPr>
          <w:rFonts w:ascii="Cambria" w:hAnsi="Cambria" w:cs="Cambria"/>
          <w:i/>
          <w:iCs/>
        </w:rPr>
        <w:t>ḍ</w:t>
      </w:r>
      <w:r w:rsidRPr="00DD05DC">
        <w:rPr>
          <w:rFonts w:ascii="Garamond" w:hAnsi="Garamond" w:cs="Garamond"/>
          <w:i/>
          <w:iCs/>
        </w:rPr>
        <w:t>ī</w:t>
      </w:r>
      <w:r w:rsidRPr="00DD05DC">
        <w:rPr>
          <w:rFonts w:ascii="Garamond" w:hAnsi="Garamond"/>
          <w:i/>
          <w:iCs/>
        </w:rPr>
        <w:t xml:space="preserve"> </w:t>
      </w:r>
      <w:r w:rsidRPr="00DD05DC">
        <w:rPr>
          <w:rFonts w:ascii="Cambria" w:hAnsi="Cambria" w:cs="Cambria"/>
          <w:i/>
          <w:iCs/>
        </w:rPr>
        <w:t>ḍ</w:t>
      </w:r>
      <w:r w:rsidRPr="00DD05DC">
        <w:rPr>
          <w:rFonts w:ascii="Garamond" w:hAnsi="Garamond"/>
          <w:i/>
          <w:iCs/>
        </w:rPr>
        <w:t xml:space="preserve"> </w:t>
      </w:r>
      <w:r w:rsidRPr="00DD05DC">
        <w:rPr>
          <w:rFonts w:ascii="Garamond" w:hAnsi="Garamond" w:cs="Garamond"/>
          <w:i/>
          <w:iCs/>
        </w:rPr>
        <w:t>ī</w:t>
      </w:r>
      <w:r w:rsidRPr="00DD05DC">
        <w:rPr>
          <w:rFonts w:ascii="Garamond" w:hAnsi="Garamond"/>
          <w:i/>
          <w:iCs/>
        </w:rPr>
        <w:t xml:space="preserve"> principle </w:t>
      </w:r>
      <w:r w:rsidRPr="00DD05DC">
        <w:rPr>
          <w:rFonts w:ascii="Garamond" w:hAnsi="Garamond"/>
        </w:rPr>
        <w:t xml:space="preserve">that can reconstruct </w:t>
      </w:r>
      <w:r w:rsidRPr="00DD05DC">
        <w:rPr>
          <w:rFonts w:ascii="Garamond" w:hAnsi="Garamond"/>
          <w:i/>
          <w:iCs/>
        </w:rPr>
        <w:t xml:space="preserve">the informed consent model </w:t>
      </w:r>
      <w:r w:rsidRPr="00DD05DC">
        <w:rPr>
          <w:rFonts w:ascii="Garamond" w:hAnsi="Garamond"/>
        </w:rPr>
        <w:t xml:space="preserve">to achieve substantive legal protection for patients. The main contribution of this study is to offer a new normative reconstruction model ( </w:t>
      </w:r>
      <w:r w:rsidRPr="00DD05DC">
        <w:rPr>
          <w:rFonts w:ascii="Garamond" w:hAnsi="Garamond"/>
          <w:i/>
          <w:iCs/>
        </w:rPr>
        <w:t xml:space="preserve">novelty </w:t>
      </w:r>
      <w:r w:rsidRPr="00DD05DC">
        <w:rPr>
          <w:rFonts w:ascii="Garamond" w:hAnsi="Garamond"/>
        </w:rPr>
        <w:t xml:space="preserve">), which is expected to be able to bridge the formalism of positive health law with the demands of substantive justice </w:t>
      </w:r>
      <w:r w:rsidRPr="00DD05DC">
        <w:rPr>
          <w:rFonts w:ascii="Garamond" w:hAnsi="Garamond"/>
          <w:i/>
          <w:iCs/>
        </w:rPr>
        <w:t>of At-Tarā</w:t>
      </w:r>
      <w:r w:rsidRPr="00DD05DC">
        <w:rPr>
          <w:rFonts w:ascii="Cambria" w:hAnsi="Cambria" w:cs="Cambria"/>
          <w:i/>
          <w:iCs/>
        </w:rPr>
        <w:t>ḍ</w:t>
      </w:r>
      <w:r w:rsidRPr="00DD05DC">
        <w:rPr>
          <w:rFonts w:ascii="Garamond" w:hAnsi="Garamond"/>
          <w:i/>
          <w:iCs/>
        </w:rPr>
        <w:t>ī.</w:t>
      </w:r>
    </w:p>
    <w:p w:rsidR="00EF16C7" w:rsidRPr="00DD05DC" w:rsidRDefault="00EF16C7" w:rsidP="009F0512">
      <w:pPr>
        <w:spacing w:after="0" w:line="360" w:lineRule="auto"/>
        <w:jc w:val="both"/>
        <w:rPr>
          <w:rFonts w:ascii="Garamond" w:hAnsi="Garamond"/>
          <w:bCs/>
          <w:color w:val="000000" w:themeColor="text1"/>
          <w:kern w:val="0"/>
        </w:rPr>
      </w:pPr>
    </w:p>
    <w:p w:rsidR="00EF16C7" w:rsidRPr="00DD05DC" w:rsidRDefault="00306E4F" w:rsidP="009F0512">
      <w:pPr>
        <w:spacing w:after="0" w:line="360" w:lineRule="auto"/>
        <w:jc w:val="both"/>
        <w:rPr>
          <w:rFonts w:ascii="Garamond" w:hAnsi="Garamond"/>
          <w:b/>
          <w:bCs/>
          <w:color w:val="000000" w:themeColor="text1"/>
          <w:kern w:val="0"/>
        </w:rPr>
      </w:pPr>
      <w:r w:rsidRPr="00DD05DC">
        <w:rPr>
          <w:rFonts w:ascii="Garamond" w:hAnsi="Garamond"/>
          <w:b/>
          <w:bCs/>
          <w:color w:val="000000" w:themeColor="text1"/>
          <w:kern w:val="0"/>
        </w:rPr>
        <w:t>RESEARCH METHODS</w:t>
      </w:r>
    </w:p>
    <w:p w:rsidR="00306E4F" w:rsidRPr="00DD05DC" w:rsidRDefault="00AD32FF" w:rsidP="00306E4F">
      <w:pPr>
        <w:spacing w:after="0" w:line="360" w:lineRule="auto"/>
        <w:ind w:firstLine="720"/>
        <w:jc w:val="both"/>
        <w:rPr>
          <w:rFonts w:ascii="Garamond" w:hAnsi="Garamond"/>
        </w:rPr>
      </w:pPr>
      <w:r w:rsidRPr="00DD05DC">
        <w:rPr>
          <w:rFonts w:ascii="Garamond" w:hAnsi="Garamond"/>
          <w:color w:val="000000" w:themeColor="text1"/>
          <w:kern w:val="0"/>
        </w:rPr>
        <w:t xml:space="preserve">This research is </w:t>
      </w:r>
      <w:r w:rsidRPr="00DD05DC">
        <w:rPr>
          <w:rFonts w:ascii="Garamond" w:hAnsi="Garamond"/>
          <w:bCs/>
          <w:color w:val="000000" w:themeColor="text1"/>
          <w:kern w:val="0"/>
        </w:rPr>
        <w:t xml:space="preserve">a normative legal research </w:t>
      </w:r>
      <w:r w:rsidR="00736FEA" w:rsidRPr="00DD05DC">
        <w:rPr>
          <w:rStyle w:val="FootnoteReference"/>
          <w:rFonts w:ascii="Garamond" w:hAnsi="Garamond"/>
          <w:bCs/>
          <w:color w:val="000000" w:themeColor="text1"/>
          <w:kern w:val="0"/>
        </w:rPr>
        <w:footnoteReference w:id="6"/>
      </w:r>
      <w:r w:rsidRPr="00DD05DC">
        <w:rPr>
          <w:rFonts w:ascii="Garamond" w:hAnsi="Garamond"/>
          <w:color w:val="000000" w:themeColor="text1"/>
          <w:kern w:val="0"/>
        </w:rPr>
        <w:t xml:space="preserve">with </w:t>
      </w:r>
      <w:r w:rsidRPr="00DD05DC">
        <w:rPr>
          <w:rFonts w:ascii="Garamond" w:hAnsi="Garamond"/>
          <w:bCs/>
          <w:color w:val="000000" w:themeColor="text1"/>
          <w:kern w:val="0"/>
        </w:rPr>
        <w:t xml:space="preserve">a conceptual approach </w:t>
      </w:r>
      <w:r w:rsidRPr="00DD05DC">
        <w:rPr>
          <w:rFonts w:ascii="Garamond" w:hAnsi="Garamond"/>
          <w:color w:val="000000" w:themeColor="text1"/>
          <w:kern w:val="0"/>
        </w:rPr>
        <w:t xml:space="preserve">and </w:t>
      </w:r>
      <w:r w:rsidRPr="00DD05DC">
        <w:rPr>
          <w:rFonts w:ascii="Garamond" w:hAnsi="Garamond"/>
          <w:bCs/>
          <w:color w:val="000000" w:themeColor="text1"/>
          <w:kern w:val="0"/>
        </w:rPr>
        <w:t xml:space="preserve">a doctrinal approach </w:t>
      </w:r>
      <w:r w:rsidR="000C229B" w:rsidRPr="00DD05DC">
        <w:rPr>
          <w:rStyle w:val="FootnoteReference"/>
          <w:rFonts w:ascii="Garamond" w:hAnsi="Garamond"/>
          <w:bCs/>
          <w:color w:val="000000" w:themeColor="text1"/>
          <w:kern w:val="0"/>
        </w:rPr>
        <w:footnoteReference w:id="7"/>
      </w:r>
      <w:r w:rsidR="00833BD0" w:rsidRPr="00DD05DC">
        <w:rPr>
          <w:rFonts w:ascii="Garamond" w:hAnsi="Garamond"/>
          <w:color w:val="000000" w:themeColor="text1"/>
          <w:kern w:val="0"/>
        </w:rPr>
        <w:t xml:space="preserve">. It also uses comparative normative research </w:t>
      </w:r>
      <w:r w:rsidR="00736FEA" w:rsidRPr="00DD05DC">
        <w:rPr>
          <w:rStyle w:val="FootnoteReference"/>
          <w:rFonts w:ascii="Garamond" w:hAnsi="Garamond"/>
          <w:color w:val="000000" w:themeColor="text1"/>
          <w:kern w:val="0"/>
        </w:rPr>
        <w:footnoteReference w:id="8"/>
      </w:r>
      <w:r w:rsidR="00833BD0" w:rsidRPr="00DD05DC">
        <w:rPr>
          <w:rFonts w:ascii="Garamond" w:hAnsi="Garamond"/>
          <w:color w:val="000000" w:themeColor="text1"/>
          <w:kern w:val="0"/>
        </w:rPr>
        <w:t xml:space="preserve">to compare informed consent according to positive law and Islamic law. </w:t>
      </w:r>
      <w:r w:rsidR="00306E4F" w:rsidRPr="00DD05DC">
        <w:rPr>
          <w:rFonts w:ascii="Garamond" w:hAnsi="Garamond"/>
        </w:rPr>
        <w:t xml:space="preserve">because the main objective is to reconstruct and evaluate the conceptual foundations </w:t>
      </w:r>
      <w:r w:rsidR="00306E4F" w:rsidRPr="00DD05DC">
        <w:rPr>
          <w:rFonts w:ascii="Garamond" w:hAnsi="Garamond"/>
          <w:i/>
          <w:iCs/>
        </w:rPr>
        <w:t>of informed consent.</w:t>
      </w:r>
      <w:r w:rsidR="00306E4F" w:rsidRPr="00DD05DC">
        <w:rPr>
          <w:rFonts w:ascii="Garamond" w:hAnsi="Garamond"/>
        </w:rPr>
        <w:t xml:space="preserve"> This normative reconstruction is carried out by systematically integrating the analysis of statutory regulations, Islamic contract law doctrine, and comparative legal reasoning to develop a coherent and evaluative framework.</w:t>
      </w:r>
    </w:p>
    <w:p w:rsidR="00306E4F" w:rsidRPr="00DD05DC" w:rsidRDefault="00306E4F" w:rsidP="00306E4F">
      <w:pPr>
        <w:spacing w:after="0" w:line="360" w:lineRule="auto"/>
        <w:ind w:firstLine="720"/>
        <w:jc w:val="both"/>
        <w:rPr>
          <w:rFonts w:ascii="Garamond" w:hAnsi="Garamond"/>
        </w:rPr>
      </w:pPr>
      <w:r w:rsidRPr="00DD05DC">
        <w:rPr>
          <w:rFonts w:ascii="Garamond" w:hAnsi="Garamond"/>
        </w:rPr>
        <w:lastRenderedPageBreak/>
        <w:t xml:space="preserve"> sources of legal materials used in this study are three, 9 namely: First, Primary Legal Materials, namely the Qur'an and Hadith relating to the principles of consent and agreement, the rules of fiqh and ushul fiqh related to contracts and consent, laws and regulations in the field of health and contract law. Second, Secondary Legal Materials such as classical and contemporary muamalah fiqh literature, books, and reputable international journal articles on informed consent, health law, and Islamic contract law, and relevant previous research results. Third, Tertiary Legal Materials in the form of legal dictionaries, encyclopedias of Islamic law, and other supporting sources.</w:t>
      </w:r>
    </w:p>
    <w:p w:rsidR="00AD32FF" w:rsidRPr="00DD05DC" w:rsidRDefault="00306E4F" w:rsidP="00306E4F">
      <w:pPr>
        <w:spacing w:after="0" w:line="360" w:lineRule="auto"/>
        <w:ind w:firstLine="720"/>
        <w:jc w:val="both"/>
        <w:rPr>
          <w:rFonts w:ascii="Garamond" w:hAnsi="Garamond"/>
        </w:rPr>
      </w:pPr>
      <w:r w:rsidRPr="00DD05DC">
        <w:rPr>
          <w:rFonts w:ascii="Garamond" w:hAnsi="Garamond"/>
        </w:rPr>
        <w:t xml:space="preserve">The legal material analysis was conducted qualitatively and normatively using systematic and conceptual interpretation methods to identify the correspondence between the concept of consent to medical procedures in healthcare and the principle of </w:t>
      </w:r>
      <w:r w:rsidRPr="00DD05DC">
        <w:rPr>
          <w:rFonts w:ascii="Garamond" w:hAnsi="Garamond"/>
          <w:i/>
          <w:iCs/>
        </w:rPr>
        <w:t>at-tarā</w:t>
      </w:r>
      <w:r w:rsidRPr="00DD05DC">
        <w:rPr>
          <w:rFonts w:ascii="Cambria" w:hAnsi="Cambria" w:cs="Cambria"/>
          <w:i/>
          <w:iCs/>
        </w:rPr>
        <w:t>ḍ</w:t>
      </w:r>
      <w:r w:rsidRPr="00DD05DC">
        <w:rPr>
          <w:rFonts w:ascii="Garamond" w:hAnsi="Garamond"/>
          <w:i/>
          <w:iCs/>
        </w:rPr>
        <w:t xml:space="preserve">ī </w:t>
      </w:r>
      <w:r w:rsidRPr="00DD05DC">
        <w:rPr>
          <w:rFonts w:ascii="Garamond" w:hAnsi="Garamond"/>
        </w:rPr>
        <w:t>in Islamic contract law. The results of this analysis are used as a basis for a conceptual reconstruction</w:t>
      </w:r>
      <w:r w:rsidRPr="00DD05DC">
        <w:rPr>
          <w:rStyle w:val="FootnoteReference"/>
          <w:rFonts w:ascii="Garamond" w:hAnsi="Garamond"/>
          <w:bCs/>
          <w:color w:val="000000" w:themeColor="text1"/>
        </w:rPr>
        <w:footnoteReference w:id="9"/>
      </w:r>
      <w:r w:rsidRPr="00DD05DC">
        <w:rPr>
          <w:rFonts w:ascii="Garamond" w:hAnsi="Garamond"/>
        </w:rPr>
        <w:t xml:space="preserve"> of consent to medical procedures that is oriented towards justice, the willingness of the parties, and legal certainty.</w:t>
      </w:r>
    </w:p>
    <w:p w:rsidR="00DC0D6E" w:rsidRPr="00DD05DC" w:rsidRDefault="00DC0D6E" w:rsidP="009F0512">
      <w:pPr>
        <w:spacing w:line="360" w:lineRule="auto"/>
        <w:rPr>
          <w:rFonts w:ascii="Garamond" w:hAnsi="Garamond"/>
          <w:color w:val="000000" w:themeColor="text1"/>
        </w:rPr>
      </w:pPr>
    </w:p>
    <w:p w:rsidR="008C20A3" w:rsidRPr="00DD05DC" w:rsidRDefault="00306E4F" w:rsidP="00306E4F">
      <w:pPr>
        <w:spacing w:after="0" w:line="360" w:lineRule="auto"/>
        <w:rPr>
          <w:rFonts w:ascii="Garamond" w:hAnsi="Garamond"/>
          <w:b/>
          <w:color w:val="000000" w:themeColor="text1"/>
        </w:rPr>
      </w:pPr>
      <w:r w:rsidRPr="00DD05DC">
        <w:rPr>
          <w:rFonts w:ascii="Garamond" w:hAnsi="Garamond"/>
          <w:b/>
          <w:color w:val="000000" w:themeColor="text1"/>
        </w:rPr>
        <w:t>DISCUSSION</w:t>
      </w:r>
    </w:p>
    <w:p w:rsidR="00A32FA6" w:rsidRPr="00DD05DC" w:rsidRDefault="003C3A86" w:rsidP="009F0512">
      <w:pPr>
        <w:pStyle w:val="ListParagraph"/>
        <w:numPr>
          <w:ilvl w:val="1"/>
          <w:numId w:val="6"/>
        </w:numPr>
        <w:spacing w:before="100" w:beforeAutospacing="1" w:after="100" w:afterAutospacing="1" w:line="360" w:lineRule="auto"/>
        <w:jc w:val="both"/>
        <w:rPr>
          <w:rFonts w:ascii="Garamond" w:hAnsi="Garamond"/>
          <w:b/>
          <w:color w:val="000000" w:themeColor="text1"/>
          <w:kern w:val="0"/>
        </w:rPr>
      </w:pPr>
      <w:r w:rsidRPr="00DD05DC">
        <w:rPr>
          <w:rFonts w:ascii="Garamond" w:hAnsi="Garamond"/>
          <w:b/>
          <w:bCs/>
          <w:color w:val="000000" w:themeColor="text1"/>
          <w:kern w:val="0"/>
        </w:rPr>
        <w:t xml:space="preserve">The Concept of </w:t>
      </w:r>
      <w:r w:rsidR="00F75105" w:rsidRPr="00DD05DC">
        <w:rPr>
          <w:rFonts w:ascii="Garamond" w:hAnsi="Garamond"/>
          <w:b/>
          <w:bCs/>
          <w:i/>
          <w:iCs/>
          <w:color w:val="000000" w:themeColor="text1"/>
        </w:rPr>
        <w:t xml:space="preserve">Informed Consent </w:t>
      </w:r>
      <w:r w:rsidR="00F75105" w:rsidRPr="00DD05DC">
        <w:rPr>
          <w:rFonts w:ascii="Garamond" w:hAnsi="Garamond"/>
          <w:b/>
          <w:bCs/>
          <w:color w:val="000000" w:themeColor="text1"/>
        </w:rPr>
        <w:t>in Indonesian Health Law</w:t>
      </w:r>
    </w:p>
    <w:p w:rsidR="00B44A82" w:rsidRPr="00DD05DC" w:rsidRDefault="00647F84" w:rsidP="009F0512">
      <w:pPr>
        <w:shd w:val="clear" w:color="auto" w:fill="FFFFFF"/>
        <w:spacing w:after="0" w:line="360" w:lineRule="auto"/>
        <w:ind w:left="426" w:firstLine="720"/>
        <w:jc w:val="both"/>
        <w:rPr>
          <w:rFonts w:ascii="Garamond" w:hAnsi="Garamond"/>
          <w:color w:val="000000" w:themeColor="text1"/>
        </w:rPr>
      </w:pPr>
      <w:r w:rsidRPr="00DD05DC">
        <w:rPr>
          <w:rFonts w:ascii="Garamond" w:hAnsi="Garamond"/>
          <w:color w:val="000000" w:themeColor="text1"/>
        </w:rPr>
        <w:t xml:space="preserve">In the dynamics of social life, agreements serve as a solid foundation for establishing legal relationships between individuals and legal entities. Through these agreements, the parties bind themselves to fulfill their obligations and obtain agreed-upon rights. </w:t>
      </w:r>
      <w:r w:rsidRPr="00DD05DC">
        <w:rPr>
          <w:rStyle w:val="FootnoteReference"/>
          <w:rFonts w:ascii="Garamond" w:hAnsi="Garamond"/>
          <w:color w:val="000000" w:themeColor="text1"/>
        </w:rPr>
        <w:footnoteReference w:id="10"/>
      </w:r>
      <w:r w:rsidR="00825955" w:rsidRPr="00DD05DC">
        <w:rPr>
          <w:rFonts w:ascii="Garamond" w:hAnsi="Garamond"/>
          <w:color w:val="000000" w:themeColor="text1"/>
        </w:rPr>
        <w:t>In healthcare, these parties include medical personnel and patients.</w:t>
      </w:r>
    </w:p>
    <w:p w:rsidR="00B44A82" w:rsidRPr="00DD05DC" w:rsidRDefault="00B44A82" w:rsidP="009F0512">
      <w:pPr>
        <w:shd w:val="clear" w:color="auto" w:fill="FFFFFF"/>
        <w:spacing w:after="0" w:line="360" w:lineRule="auto"/>
        <w:ind w:left="426" w:firstLine="720"/>
        <w:jc w:val="both"/>
        <w:rPr>
          <w:rFonts w:ascii="Garamond" w:hAnsi="Garamond"/>
          <w:color w:val="000000" w:themeColor="text1"/>
        </w:rPr>
      </w:pPr>
      <w:r w:rsidRPr="00DD05DC">
        <w:rPr>
          <w:rFonts w:ascii="Garamond" w:hAnsi="Garamond"/>
          <w:color w:val="000000" w:themeColor="text1"/>
          <w:shd w:val="clear" w:color="auto" w:fill="FFFFFF"/>
        </w:rPr>
        <w:t xml:space="preserve">Informed consent </w:t>
      </w:r>
      <w:r w:rsidRPr="00DD05DC">
        <w:rPr>
          <w:rFonts w:ascii="Garamond" w:hAnsi="Garamond"/>
          <w:color w:val="000000" w:themeColor="text1"/>
        </w:rPr>
        <w:t xml:space="preserve">(IC) is more than just signing a document; it is an ethical and legal process that ensures patients understand the diagnosis, proposed procedure, risks, benefits, and alternatives before making a sovereign decision about their own body (Beauchamp &amp; Childress, </w:t>
      </w:r>
      <w:r w:rsidRPr="00DD05DC">
        <w:rPr>
          <w:rFonts w:ascii="Garamond" w:hAnsi="Garamond"/>
          <w:color w:val="000000" w:themeColor="text1"/>
        </w:rPr>
        <w:lastRenderedPageBreak/>
        <w:t xml:space="preserve">2019; WHO, 2020) </w:t>
      </w:r>
      <w:r w:rsidRPr="00DD05DC">
        <w:rPr>
          <w:rStyle w:val="FootnoteReference"/>
          <w:rFonts w:ascii="Garamond" w:hAnsi="Garamond"/>
          <w:color w:val="000000" w:themeColor="text1"/>
        </w:rPr>
        <w:footnoteReference w:id="11"/>
      </w:r>
      <w:r w:rsidRPr="00DD05DC">
        <w:rPr>
          <w:rFonts w:ascii="Garamond" w:hAnsi="Garamond"/>
          <w:color w:val="000000" w:themeColor="text1"/>
        </w:rPr>
        <w:t>. Therefore, informed consent is a legally and ethically binding prerequisite for every medical procedure worldwide.</w:t>
      </w:r>
    </w:p>
    <w:p w:rsidR="00AC7185" w:rsidRPr="00DD05DC" w:rsidRDefault="00AC7185" w:rsidP="00AC7185">
      <w:pPr>
        <w:shd w:val="clear" w:color="auto" w:fill="FFFFFF"/>
        <w:spacing w:after="0" w:line="360" w:lineRule="auto"/>
        <w:ind w:left="426" w:firstLine="720"/>
        <w:jc w:val="both"/>
        <w:rPr>
          <w:rFonts w:ascii="Garamond" w:hAnsi="Garamond"/>
          <w:color w:val="000000" w:themeColor="text1"/>
        </w:rPr>
      </w:pPr>
      <w:r w:rsidRPr="00DD05DC">
        <w:rPr>
          <w:rFonts w:ascii="Garamond" w:hAnsi="Garamond"/>
          <w:color w:val="000000" w:themeColor="text1"/>
          <w:kern w:val="0"/>
        </w:rPr>
        <w:t>The practice of providing information and informed consent is crucial. Informed consent not only reflects the principles of medical ethics but also has significant relevance in the context of Islamic law. Islamic law, or Sharia, provides a solid ethical foundation for safeguarding individual rights, including the right to information and independent decisions regarding healthcare.</w:t>
      </w:r>
      <w:r w:rsidR="00736FEA" w:rsidRPr="00DD05DC">
        <w:rPr>
          <w:rStyle w:val="FootnoteReference"/>
          <w:rFonts w:ascii="Garamond" w:hAnsi="Garamond"/>
          <w:color w:val="000000" w:themeColor="text1"/>
        </w:rPr>
        <w:footnoteReference w:id="12"/>
      </w:r>
      <w:r w:rsidRPr="00DD05DC">
        <w:rPr>
          <w:rFonts w:ascii="Garamond" w:hAnsi="Garamond"/>
          <w:color w:val="000000" w:themeColor="text1"/>
          <w:kern w:val="0"/>
        </w:rPr>
        <w:t xml:space="preserve"> </w:t>
      </w:r>
    </w:p>
    <w:p w:rsidR="00F94B2B" w:rsidRPr="00DD05DC" w:rsidRDefault="00F94B2B" w:rsidP="00F94B2B">
      <w:pPr>
        <w:shd w:val="clear" w:color="auto" w:fill="FFFFFF"/>
        <w:spacing w:after="0" w:line="360" w:lineRule="auto"/>
        <w:ind w:left="426" w:firstLine="720"/>
        <w:jc w:val="both"/>
        <w:rPr>
          <w:rFonts w:ascii="Garamond" w:hAnsi="Garamond"/>
          <w:color w:val="000000" w:themeColor="text1"/>
        </w:rPr>
      </w:pPr>
      <w:r w:rsidRPr="00DD05DC">
        <w:rPr>
          <w:rFonts w:ascii="Garamond" w:hAnsi="Garamond"/>
          <w:color w:val="000000" w:themeColor="text1"/>
          <w:kern w:val="0"/>
        </w:rPr>
        <w:t xml:space="preserve">Before </w:t>
      </w:r>
      <w:r w:rsidRPr="00DD05DC">
        <w:rPr>
          <w:rFonts w:ascii="Garamond" w:hAnsi="Garamond"/>
          <w:i/>
          <w:iCs/>
          <w:color w:val="000000" w:themeColor="text1"/>
        </w:rPr>
        <w:t xml:space="preserve">informed consent </w:t>
      </w:r>
      <w:r w:rsidRPr="00DD05DC">
        <w:rPr>
          <w:rFonts w:ascii="Garamond" w:hAnsi="Garamond"/>
          <w:color w:val="000000" w:themeColor="text1"/>
        </w:rPr>
        <w:t xml:space="preserve">is carried out, the doctor or hospital </w:t>
      </w:r>
      <w:r w:rsidRPr="00DD05DC">
        <w:rPr>
          <w:rFonts w:ascii="Garamond" w:hAnsi="Garamond"/>
          <w:bCs/>
          <w:color w:val="000000" w:themeColor="text1"/>
        </w:rPr>
        <w:t xml:space="preserve">is required to explain </w:t>
      </w:r>
      <w:r w:rsidRPr="00DD05DC">
        <w:rPr>
          <w:rFonts w:ascii="Garamond" w:hAnsi="Garamond"/>
          <w:color w:val="000000" w:themeColor="text1"/>
        </w:rPr>
        <w:t xml:space="preserve">to the patient or their family as </w:t>
      </w:r>
      <w:r w:rsidRPr="00DD05DC">
        <w:rPr>
          <w:rFonts w:ascii="Garamond" w:hAnsi="Garamond"/>
          <w:bCs/>
          <w:color w:val="000000" w:themeColor="text1"/>
        </w:rPr>
        <w:t xml:space="preserve">clearly as possible </w:t>
      </w:r>
      <w:r w:rsidRPr="00DD05DC">
        <w:rPr>
          <w:rFonts w:ascii="Garamond" w:hAnsi="Garamond"/>
          <w:color w:val="000000" w:themeColor="text1"/>
        </w:rPr>
        <w:t xml:space="preserve">, especially regarding: </w:t>
      </w:r>
      <w:r w:rsidRPr="00DD05DC">
        <w:rPr>
          <w:rFonts w:ascii="Garamond" w:hAnsi="Garamond"/>
          <w:bCs/>
          <w:color w:val="000000" w:themeColor="text1"/>
        </w:rPr>
        <w:t xml:space="preserve">Advantages </w:t>
      </w:r>
      <w:r w:rsidRPr="00DD05DC">
        <w:rPr>
          <w:rFonts w:ascii="Garamond" w:hAnsi="Garamond"/>
          <w:color w:val="000000" w:themeColor="text1"/>
        </w:rPr>
        <w:t xml:space="preserve">; </w:t>
      </w:r>
      <w:r w:rsidRPr="00DD05DC">
        <w:rPr>
          <w:rFonts w:ascii="Garamond" w:hAnsi="Garamond"/>
          <w:bCs/>
          <w:color w:val="000000" w:themeColor="text1"/>
        </w:rPr>
        <w:t xml:space="preserve">Disadvantages </w:t>
      </w:r>
      <w:r w:rsidRPr="00DD05DC">
        <w:rPr>
          <w:rFonts w:ascii="Garamond" w:hAnsi="Garamond"/>
          <w:color w:val="000000" w:themeColor="text1"/>
        </w:rPr>
        <w:t xml:space="preserve">; </w:t>
      </w:r>
      <w:r w:rsidRPr="00DD05DC">
        <w:rPr>
          <w:rFonts w:ascii="Garamond" w:hAnsi="Garamond"/>
          <w:bCs/>
          <w:color w:val="000000" w:themeColor="text1"/>
        </w:rPr>
        <w:t xml:space="preserve">Risks </w:t>
      </w:r>
      <w:r w:rsidRPr="00DD05DC">
        <w:rPr>
          <w:rFonts w:ascii="Garamond" w:hAnsi="Garamond"/>
          <w:color w:val="000000" w:themeColor="text1"/>
        </w:rPr>
        <w:t xml:space="preserve">; and </w:t>
      </w:r>
      <w:r w:rsidRPr="00DD05DC">
        <w:rPr>
          <w:rFonts w:ascii="Garamond" w:hAnsi="Garamond"/>
          <w:bCs/>
          <w:color w:val="000000" w:themeColor="text1"/>
        </w:rPr>
        <w:t xml:space="preserve">Hope </w:t>
      </w:r>
      <w:r w:rsidRPr="00DD05DC">
        <w:rPr>
          <w:rFonts w:ascii="Garamond" w:hAnsi="Garamond"/>
          <w:color w:val="000000" w:themeColor="text1"/>
        </w:rPr>
        <w:t xml:space="preserve">of recovery related to the patient's condition. </w:t>
      </w:r>
      <w:r w:rsidR="00736FEA" w:rsidRPr="00DD05DC">
        <w:rPr>
          <w:rStyle w:val="FootnoteReference"/>
          <w:rFonts w:ascii="Garamond" w:hAnsi="Garamond"/>
          <w:color w:val="000000" w:themeColor="text1"/>
        </w:rPr>
        <w:footnoteReference w:id="13"/>
      </w:r>
      <w:r w:rsidRPr="00DD05DC">
        <w:rPr>
          <w:rFonts w:ascii="Garamond" w:hAnsi="Garamond"/>
          <w:color w:val="000000" w:themeColor="text1"/>
        </w:rPr>
        <w:t>Informed consent gives the patient the freedom to act and make medical decisions for themselves.</w:t>
      </w:r>
      <w:r w:rsidR="00736FEA" w:rsidRPr="00DD05DC">
        <w:rPr>
          <w:rStyle w:val="FootnoteReference"/>
          <w:rFonts w:ascii="Garamond" w:hAnsi="Garamond"/>
          <w:color w:val="000000" w:themeColor="text1"/>
        </w:rPr>
        <w:footnoteReference w:id="14"/>
      </w:r>
    </w:p>
    <w:p w:rsidR="00AC7185" w:rsidRPr="00DD05DC" w:rsidRDefault="00AC7185" w:rsidP="00AC7185">
      <w:pPr>
        <w:shd w:val="clear" w:color="auto" w:fill="FFFFFF"/>
        <w:spacing w:after="0" w:line="360" w:lineRule="auto"/>
        <w:ind w:left="426"/>
        <w:jc w:val="both"/>
        <w:rPr>
          <w:rFonts w:ascii="Garamond" w:hAnsi="Garamond"/>
          <w:color w:val="000000" w:themeColor="text1"/>
        </w:rPr>
      </w:pPr>
      <w:r w:rsidRPr="00DD05DC">
        <w:rPr>
          <w:rFonts w:ascii="Garamond" w:hAnsi="Garamond"/>
          <w:color w:val="000000" w:themeColor="text1"/>
        </w:rPr>
        <w:t>Mechanism for Providing Information on Medical Procedures Based on Regulations in Indonesia</w:t>
      </w:r>
    </w:p>
    <w:p w:rsidR="00E4728A" w:rsidRPr="00DD05DC" w:rsidRDefault="00812824" w:rsidP="007F770B">
      <w:pPr>
        <w:spacing w:after="0" w:line="360" w:lineRule="auto"/>
        <w:ind w:left="426" w:firstLine="720"/>
        <w:jc w:val="both"/>
        <w:rPr>
          <w:rFonts w:ascii="Garamond" w:hAnsi="Garamond"/>
          <w:color w:val="000000" w:themeColor="text1"/>
        </w:rPr>
      </w:pPr>
      <w:r w:rsidRPr="00DD05DC">
        <w:rPr>
          <w:rFonts w:ascii="Garamond" w:hAnsi="Garamond"/>
          <w:color w:val="000000" w:themeColor="text1"/>
        </w:rPr>
        <w:t xml:space="preserve">Law No. 17/2023 concerning Health as the legal umbrella for therapeutic transactions regulates that </w:t>
      </w:r>
      <w:r w:rsidRPr="00DD05DC">
        <w:rPr>
          <w:rStyle w:val="Strong"/>
          <w:rFonts w:ascii="Garamond" w:hAnsi="Garamond"/>
          <w:b w:val="0"/>
          <w:color w:val="000000" w:themeColor="text1"/>
          <w:shd w:val="clear" w:color="auto" w:fill="FFFFFF"/>
        </w:rPr>
        <w:t xml:space="preserve">every action to be carried out by </w:t>
      </w:r>
      <w:r w:rsidRPr="00DD05DC">
        <w:rPr>
          <w:rFonts w:ascii="Garamond" w:hAnsi="Garamond"/>
          <w:color w:val="000000" w:themeColor="text1"/>
          <w:kern w:val="0"/>
        </w:rPr>
        <w:t>medical personnel and health workers in health services must obtain the consent of the patient or family.</w:t>
      </w:r>
      <w:r w:rsidR="00FB639F" w:rsidRPr="00DD05DC">
        <w:rPr>
          <w:rStyle w:val="FootnoteReference"/>
          <w:rFonts w:ascii="Garamond" w:hAnsi="Garamond"/>
          <w:color w:val="000000" w:themeColor="text1"/>
          <w:kern w:val="0"/>
        </w:rPr>
        <w:footnoteReference w:id="15"/>
      </w:r>
      <w:r w:rsidRPr="00DD05DC">
        <w:rPr>
          <w:rFonts w:ascii="Garamond" w:hAnsi="Garamond"/>
          <w:color w:val="000000" w:themeColor="text1"/>
          <w:kern w:val="0"/>
        </w:rPr>
        <w:t xml:space="preserve"> </w:t>
      </w:r>
      <w:r w:rsidR="007F770B" w:rsidRPr="00DD05DC">
        <w:rPr>
          <w:rFonts w:ascii="Garamond" w:hAnsi="Garamond"/>
          <w:color w:val="000000" w:themeColor="text1"/>
        </w:rPr>
        <w:t>Consent to medical procedures must be preceded by the provision of clear and complete information.</w:t>
      </w:r>
      <w:r w:rsidR="007F770B" w:rsidRPr="00DD05DC">
        <w:rPr>
          <w:rStyle w:val="FootnoteReference"/>
          <w:rFonts w:ascii="Garamond" w:hAnsi="Garamond"/>
          <w:color w:val="000000" w:themeColor="text1"/>
        </w:rPr>
        <w:footnoteReference w:id="16"/>
      </w:r>
      <w:r w:rsidR="007F770B" w:rsidRPr="00DD05DC">
        <w:rPr>
          <w:rFonts w:ascii="Garamond" w:hAnsi="Garamond"/>
          <w:color w:val="000000" w:themeColor="text1"/>
        </w:rPr>
        <w:t xml:space="preserve"> </w:t>
      </w:r>
      <w:r w:rsidR="00E4728A" w:rsidRPr="00DD05DC">
        <w:rPr>
          <w:rFonts w:ascii="Garamond" w:hAnsi="Garamond"/>
          <w:color w:val="000000" w:themeColor="text1"/>
          <w:kern w:val="0"/>
        </w:rPr>
        <w:t xml:space="preserve">The procedure for granting informed consent requires patients or their families to first obtain sufficient information about the health care services to be provided, including potential consequences, as everyone has the right to receive balanced and responsible health information and education. </w:t>
      </w:r>
      <w:r w:rsidR="00F94B2B" w:rsidRPr="00DD05DC">
        <w:rPr>
          <w:rStyle w:val="FootnoteReference"/>
          <w:rFonts w:ascii="Garamond" w:hAnsi="Garamond"/>
          <w:color w:val="000000" w:themeColor="text1"/>
          <w:kern w:val="0"/>
        </w:rPr>
        <w:footnoteReference w:id="17"/>
      </w:r>
      <w:r w:rsidR="00AC1F30" w:rsidRPr="00DD05DC">
        <w:rPr>
          <w:rFonts w:ascii="Garamond" w:hAnsi="Garamond"/>
          <w:color w:val="000000" w:themeColor="text1"/>
        </w:rPr>
        <w:t xml:space="preserve">The types of </w:t>
      </w:r>
      <w:r w:rsidR="00AC1F30" w:rsidRPr="00DD05DC">
        <w:rPr>
          <w:rFonts w:ascii="Garamond" w:hAnsi="Garamond"/>
          <w:color w:val="000000" w:themeColor="text1"/>
        </w:rPr>
        <w:lastRenderedPageBreak/>
        <w:t>information required for informed consent include personal data, medical history, treatment plan, risks, and alternatives.</w:t>
      </w:r>
      <w:r w:rsidR="00AC1F30" w:rsidRPr="00DD05DC">
        <w:rPr>
          <w:rStyle w:val="FootnoteReference"/>
          <w:rFonts w:ascii="Garamond" w:hAnsi="Garamond"/>
          <w:color w:val="000000" w:themeColor="text1"/>
        </w:rPr>
        <w:footnoteReference w:id="18"/>
      </w:r>
    </w:p>
    <w:p w:rsidR="007F770B" w:rsidRPr="00DD05DC" w:rsidRDefault="007F770B" w:rsidP="007F770B">
      <w:pPr>
        <w:spacing w:after="0" w:line="360" w:lineRule="auto"/>
        <w:ind w:left="426" w:firstLine="720"/>
        <w:jc w:val="both"/>
        <w:rPr>
          <w:rFonts w:ascii="Garamond" w:hAnsi="Garamond"/>
          <w:color w:val="000000" w:themeColor="text1"/>
        </w:rPr>
      </w:pPr>
      <w:r w:rsidRPr="00DD05DC">
        <w:rPr>
          <w:rFonts w:ascii="Garamond" w:hAnsi="Garamond"/>
          <w:color w:val="000000" w:themeColor="text1"/>
        </w:rPr>
        <w:t xml:space="preserve">Information regarding Medical Procedures must be provided completely and honestly. The details of the information that must be provided to the patient relate to </w:t>
      </w:r>
      <w:r w:rsidRPr="00DD05DC">
        <w:rPr>
          <w:rFonts w:ascii="Garamond" w:hAnsi="Garamond"/>
          <w:bCs/>
          <w:color w:val="000000" w:themeColor="text1"/>
          <w:kern w:val="0"/>
        </w:rPr>
        <w:t xml:space="preserve">the diagnosis </w:t>
      </w:r>
      <w:r w:rsidRPr="00DD05DC">
        <w:rPr>
          <w:rFonts w:ascii="Garamond" w:hAnsi="Garamond"/>
          <w:color w:val="000000" w:themeColor="text1"/>
          <w:kern w:val="0"/>
        </w:rPr>
        <w:t xml:space="preserve">and </w:t>
      </w:r>
      <w:r w:rsidRPr="00DD05DC">
        <w:rPr>
          <w:rFonts w:ascii="Garamond" w:hAnsi="Garamond"/>
          <w:bCs/>
          <w:color w:val="000000" w:themeColor="text1"/>
          <w:kern w:val="0"/>
        </w:rPr>
        <w:t xml:space="preserve">prognosis </w:t>
      </w:r>
      <w:r w:rsidRPr="00DD05DC">
        <w:rPr>
          <w:rFonts w:ascii="Garamond" w:hAnsi="Garamond"/>
          <w:color w:val="000000" w:themeColor="text1"/>
          <w:kern w:val="0"/>
        </w:rPr>
        <w:t xml:space="preserve">(course of the disease), the nature and purpose of the medical procedure to be performed, available </w:t>
      </w:r>
      <w:r w:rsidRPr="00DD05DC">
        <w:rPr>
          <w:rFonts w:ascii="Garamond" w:hAnsi="Garamond"/>
          <w:bCs/>
          <w:color w:val="000000" w:themeColor="text1"/>
          <w:kern w:val="0"/>
        </w:rPr>
        <w:t xml:space="preserve">alternative procedures and their risks, </w:t>
      </w:r>
      <w:r w:rsidRPr="00DD05DC">
        <w:rPr>
          <w:rFonts w:ascii="Garamond" w:hAnsi="Garamond"/>
          <w:color w:val="000000" w:themeColor="text1"/>
          <w:kern w:val="0"/>
        </w:rPr>
        <w:t xml:space="preserve">possible </w:t>
      </w:r>
      <w:r w:rsidRPr="00DD05DC">
        <w:rPr>
          <w:rFonts w:ascii="Garamond" w:hAnsi="Garamond"/>
          <w:bCs/>
          <w:color w:val="000000" w:themeColor="text1"/>
          <w:kern w:val="0"/>
        </w:rPr>
        <w:t xml:space="preserve">risks and complications, the benefits </w:t>
      </w:r>
      <w:r w:rsidRPr="00DD05DC">
        <w:rPr>
          <w:rFonts w:ascii="Garamond" w:hAnsi="Garamond"/>
          <w:color w:val="000000" w:themeColor="text1"/>
          <w:kern w:val="0"/>
        </w:rPr>
        <w:t xml:space="preserve">of the medical procedure, and the risks of not performing the procedure. </w:t>
      </w:r>
      <w:r w:rsidRPr="00DD05DC">
        <w:rPr>
          <w:rStyle w:val="FootnoteReference"/>
          <w:rFonts w:ascii="Garamond" w:hAnsi="Garamond"/>
          <w:color w:val="000000" w:themeColor="text1"/>
          <w:kern w:val="0"/>
        </w:rPr>
        <w:footnoteReference w:id="19"/>
      </w:r>
      <w:r w:rsidRPr="00DD05DC">
        <w:rPr>
          <w:rFonts w:ascii="Garamond" w:hAnsi="Garamond"/>
          <w:color w:val="000000" w:themeColor="text1"/>
        </w:rPr>
        <w:t xml:space="preserve">Information must be provided by </w:t>
      </w:r>
      <w:r w:rsidRPr="00DD05DC">
        <w:rPr>
          <w:rFonts w:ascii="Garamond" w:hAnsi="Garamond"/>
          <w:bCs/>
          <w:color w:val="000000" w:themeColor="text1"/>
        </w:rPr>
        <w:t xml:space="preserve">the doctor and/or dentist </w:t>
      </w:r>
      <w:r w:rsidRPr="00DD05DC">
        <w:rPr>
          <w:rFonts w:ascii="Garamond" w:hAnsi="Garamond"/>
          <w:color w:val="000000" w:themeColor="text1"/>
        </w:rPr>
        <w:t xml:space="preserve">who will perform the medical procedure. If unable to do so, it can be provided by another doctor and/or dentist with </w:t>
      </w:r>
      <w:r w:rsidRPr="00DD05DC">
        <w:rPr>
          <w:rFonts w:ascii="Garamond" w:hAnsi="Garamond"/>
          <w:bCs/>
          <w:color w:val="000000" w:themeColor="text1"/>
        </w:rPr>
        <w:t xml:space="preserve">written delegation </w:t>
      </w:r>
      <w:r w:rsidRPr="00DD05DC">
        <w:rPr>
          <w:rFonts w:ascii="Garamond" w:hAnsi="Garamond"/>
          <w:color w:val="000000" w:themeColor="text1"/>
        </w:rPr>
        <w:t>.</w:t>
      </w:r>
      <w:r w:rsidRPr="00DD05DC">
        <w:rPr>
          <w:rStyle w:val="FootnoteReference"/>
          <w:rFonts w:ascii="Garamond" w:hAnsi="Garamond"/>
          <w:color w:val="000000" w:themeColor="text1"/>
        </w:rPr>
        <w:footnoteReference w:id="20"/>
      </w:r>
    </w:p>
    <w:p w:rsidR="00B9006C" w:rsidRPr="00DD05DC" w:rsidRDefault="00B9006C" w:rsidP="009F0512">
      <w:pPr>
        <w:spacing w:line="360" w:lineRule="auto"/>
        <w:ind w:left="426"/>
        <w:jc w:val="both"/>
        <w:rPr>
          <w:rFonts w:ascii="Garamond" w:hAnsi="Garamond"/>
          <w:color w:val="000000" w:themeColor="text1"/>
        </w:rPr>
      </w:pPr>
      <w:r w:rsidRPr="00DD05DC">
        <w:rPr>
          <w:rFonts w:ascii="Garamond" w:hAnsi="Garamond"/>
          <w:color w:val="000000" w:themeColor="text1"/>
        </w:rPr>
        <w:t xml:space="preserve">Form of Consent for </w:t>
      </w:r>
      <w:r w:rsidR="00B44A82" w:rsidRPr="00DD05DC">
        <w:rPr>
          <w:rFonts w:ascii="Garamond" w:hAnsi="Garamond"/>
          <w:color w:val="000000" w:themeColor="text1"/>
        </w:rPr>
        <w:t>Medical Action According to Positive Law in Indonesia</w:t>
      </w:r>
    </w:p>
    <w:p w:rsidR="007F770B" w:rsidRPr="00DD05DC" w:rsidRDefault="007F770B" w:rsidP="007F770B">
      <w:pPr>
        <w:shd w:val="clear" w:color="auto" w:fill="FFFFFF"/>
        <w:spacing w:after="0" w:line="360" w:lineRule="auto"/>
        <w:ind w:left="426" w:firstLine="720"/>
        <w:jc w:val="both"/>
        <w:rPr>
          <w:rFonts w:ascii="Garamond" w:hAnsi="Garamond"/>
          <w:color w:val="000000" w:themeColor="text1"/>
          <w:kern w:val="0"/>
        </w:rPr>
      </w:pPr>
      <w:r w:rsidRPr="00DD05DC">
        <w:rPr>
          <w:rFonts w:ascii="Garamond" w:hAnsi="Garamond"/>
          <w:color w:val="000000" w:themeColor="text1"/>
        </w:rPr>
        <w:t>Consent for medical procedures is provided in writing or verbally. The authority to grant consent for medical procedures depends on the patient's status (adult/incompetent) and condition, namely: first,</w:t>
      </w:r>
      <w:r w:rsidRPr="00DD05DC">
        <w:rPr>
          <w:rFonts w:ascii="Garamond" w:hAnsi="Garamond"/>
          <w:color w:val="000000" w:themeColor="text1"/>
          <w:kern w:val="0"/>
        </w:rPr>
        <w:t xml:space="preserve"> </w:t>
      </w:r>
      <w:r w:rsidRPr="00DD05DC">
        <w:rPr>
          <w:rFonts w:ascii="Garamond" w:hAnsi="Garamond"/>
          <w:color w:val="000000" w:themeColor="text1"/>
        </w:rPr>
        <w:t xml:space="preserve">Competent Patients (Adults and Conscious): </w:t>
      </w:r>
      <w:r w:rsidRPr="00DD05DC">
        <w:rPr>
          <w:rFonts w:ascii="Garamond" w:hAnsi="Garamond"/>
          <w:color w:val="000000" w:themeColor="text1"/>
          <w:kern w:val="0"/>
        </w:rPr>
        <w:t xml:space="preserve">Consent for Medical Procedures is given by the patient concerned, if they are an adult or married and are conscious and mentally healthy. Secondly, </w:t>
      </w:r>
      <w:r w:rsidRPr="00DD05DC">
        <w:rPr>
          <w:rFonts w:ascii="Garamond" w:hAnsi="Garamond"/>
          <w:color w:val="000000" w:themeColor="text1"/>
        </w:rPr>
        <w:t>if the patient is incompetent (unconscious/immature), consent is given by the closest family member, namely</w:t>
      </w:r>
      <w:r w:rsidRPr="00DD05DC">
        <w:rPr>
          <w:rFonts w:ascii="Garamond" w:hAnsi="Garamond"/>
          <w:color w:val="000000" w:themeColor="text1"/>
          <w:kern w:val="0"/>
        </w:rPr>
        <w:t xml:space="preserve"> </w:t>
      </w:r>
      <w:r w:rsidRPr="00DD05DC">
        <w:rPr>
          <w:rFonts w:ascii="Garamond" w:hAnsi="Garamond"/>
          <w:color w:val="000000" w:themeColor="text1"/>
        </w:rPr>
        <w:t xml:space="preserve">Husband or Wife, </w:t>
      </w:r>
      <w:r w:rsidRPr="00DD05DC">
        <w:rPr>
          <w:rFonts w:ascii="Garamond" w:hAnsi="Garamond"/>
          <w:color w:val="000000" w:themeColor="text1"/>
          <w:kern w:val="0"/>
        </w:rPr>
        <w:t xml:space="preserve">Biological Child, Biological Parent, Biological Sibling, Legal Guardian </w:t>
      </w:r>
      <w:r w:rsidRPr="00DD05DC">
        <w:rPr>
          <w:rFonts w:ascii="Garamond" w:hAnsi="Garamond"/>
          <w:color w:val="000000" w:themeColor="text1"/>
        </w:rPr>
        <w:t>.</w:t>
      </w:r>
      <w:r w:rsidRPr="00DD05DC">
        <w:rPr>
          <w:rStyle w:val="FootnoteReference"/>
          <w:rFonts w:ascii="Garamond" w:hAnsi="Garamond"/>
          <w:color w:val="000000" w:themeColor="text1"/>
        </w:rPr>
        <w:footnoteReference w:id="21"/>
      </w:r>
    </w:p>
    <w:p w:rsidR="00D2373B" w:rsidRPr="00DD05DC" w:rsidRDefault="00B9006C" w:rsidP="00FF7B2E">
      <w:pPr>
        <w:spacing w:after="0" w:line="360" w:lineRule="auto"/>
        <w:ind w:left="426" w:firstLine="720"/>
        <w:jc w:val="both"/>
        <w:rPr>
          <w:rFonts w:ascii="Garamond" w:hAnsi="Garamond"/>
          <w:color w:val="000000" w:themeColor="text1"/>
          <w:kern w:val="0"/>
        </w:rPr>
      </w:pPr>
      <w:r w:rsidRPr="00DD05DC">
        <w:rPr>
          <w:rFonts w:ascii="Garamond" w:hAnsi="Garamond"/>
          <w:bCs/>
          <w:color w:val="000000" w:themeColor="text1"/>
          <w:kern w:val="0"/>
        </w:rPr>
        <w:t xml:space="preserve">Oral Consent ( </w:t>
      </w:r>
      <w:r w:rsidRPr="00DD05DC">
        <w:rPr>
          <w:rFonts w:ascii="Garamond" w:hAnsi="Garamond"/>
          <w:bCs/>
          <w:i/>
          <w:iCs/>
          <w:color w:val="000000" w:themeColor="text1"/>
          <w:kern w:val="0"/>
        </w:rPr>
        <w:t xml:space="preserve">Implied </w:t>
      </w:r>
      <w:r w:rsidRPr="00DD05DC">
        <w:rPr>
          <w:rFonts w:ascii="Garamond" w:hAnsi="Garamond"/>
          <w:bCs/>
          <w:color w:val="000000" w:themeColor="text1"/>
          <w:kern w:val="0"/>
        </w:rPr>
        <w:t xml:space="preserve">or </w:t>
      </w:r>
      <w:r w:rsidRPr="00DD05DC">
        <w:rPr>
          <w:rFonts w:ascii="Garamond" w:hAnsi="Garamond"/>
          <w:bCs/>
          <w:i/>
          <w:iCs/>
          <w:color w:val="000000" w:themeColor="text1"/>
          <w:kern w:val="0"/>
        </w:rPr>
        <w:t xml:space="preserve">Oral Consent </w:t>
      </w:r>
      <w:r w:rsidRPr="00DD05DC">
        <w:rPr>
          <w:rFonts w:ascii="Garamond" w:hAnsi="Garamond"/>
          <w:bCs/>
          <w:color w:val="000000" w:themeColor="text1"/>
          <w:kern w:val="0"/>
        </w:rPr>
        <w:t xml:space="preserve">) </w:t>
      </w:r>
      <w:r w:rsidRPr="00DD05DC">
        <w:rPr>
          <w:rFonts w:ascii="Garamond" w:hAnsi="Garamond"/>
          <w:color w:val="000000" w:themeColor="text1"/>
        </w:rPr>
        <w:t xml:space="preserve">can be used for medical procedures with </w:t>
      </w:r>
      <w:r w:rsidRPr="00DD05DC">
        <w:rPr>
          <w:rFonts w:ascii="Garamond" w:hAnsi="Garamond"/>
          <w:bCs/>
          <w:color w:val="000000" w:themeColor="text1"/>
        </w:rPr>
        <w:t xml:space="preserve">low risks </w:t>
      </w:r>
      <w:r w:rsidRPr="00DD05DC">
        <w:rPr>
          <w:rFonts w:ascii="Garamond" w:hAnsi="Garamond"/>
          <w:color w:val="000000" w:themeColor="text1"/>
        </w:rPr>
        <w:t xml:space="preserve">. For example, temperature measurements, injections, and other non-invasive procedures. Written Consent </w:t>
      </w:r>
      <w:r w:rsidRPr="00DD05DC">
        <w:rPr>
          <w:rFonts w:ascii="Garamond" w:hAnsi="Garamond"/>
          <w:i/>
          <w:iCs/>
          <w:color w:val="000000" w:themeColor="text1"/>
        </w:rPr>
        <w:t xml:space="preserve">is </w:t>
      </w:r>
      <w:r w:rsidRPr="00DD05DC">
        <w:rPr>
          <w:rFonts w:ascii="Garamond" w:hAnsi="Garamond"/>
          <w:color w:val="000000" w:themeColor="text1"/>
        </w:rPr>
        <w:t xml:space="preserve">required for medical procedures that </w:t>
      </w:r>
      <w:r w:rsidRPr="00DD05DC">
        <w:rPr>
          <w:rFonts w:ascii="Garamond" w:hAnsi="Garamond"/>
          <w:bCs/>
          <w:color w:val="000000" w:themeColor="text1"/>
        </w:rPr>
        <w:t xml:space="preserve">contain high risks </w:t>
      </w:r>
      <w:r w:rsidR="00FF7B2E" w:rsidRPr="00DD05DC">
        <w:rPr>
          <w:rFonts w:ascii="Garamond" w:hAnsi="Garamond"/>
          <w:color w:val="000000" w:themeColor="text1"/>
        </w:rPr>
        <w:t xml:space="preserve">. For example, </w:t>
      </w:r>
      <w:r w:rsidRPr="00DD05DC">
        <w:rPr>
          <w:rFonts w:ascii="Garamond" w:hAnsi="Garamond"/>
          <w:color w:val="000000" w:themeColor="text1"/>
          <w:kern w:val="0"/>
        </w:rPr>
        <w:t xml:space="preserve">major surgery, general anesthesia, chemotherapy, and other invasive procedures. </w:t>
      </w:r>
      <w:r w:rsidR="00FF7B2E" w:rsidRPr="00DD05DC">
        <w:rPr>
          <w:rStyle w:val="FootnoteReference"/>
          <w:rFonts w:ascii="Garamond" w:hAnsi="Garamond"/>
          <w:color w:val="000000" w:themeColor="text1"/>
          <w:kern w:val="0"/>
        </w:rPr>
        <w:footnoteReference w:id="22"/>
      </w:r>
      <w:r w:rsidR="00FF7B2E" w:rsidRPr="00DD05DC">
        <w:rPr>
          <w:rFonts w:ascii="Garamond" w:hAnsi="Garamond"/>
          <w:color w:val="000000" w:themeColor="text1"/>
          <w:kern w:val="0"/>
        </w:rPr>
        <w:t xml:space="preserve">Patients can refuse </w:t>
      </w:r>
      <w:r w:rsidRPr="00DD05DC">
        <w:rPr>
          <w:rFonts w:ascii="Garamond" w:hAnsi="Garamond"/>
          <w:color w:val="000000" w:themeColor="text1"/>
        </w:rPr>
        <w:t xml:space="preserve">the offered medical treatment, and the doctor and/or dentist are required to inform the patient of the </w:t>
      </w:r>
      <w:r w:rsidRPr="00DD05DC">
        <w:rPr>
          <w:rFonts w:ascii="Garamond" w:hAnsi="Garamond"/>
          <w:color w:val="000000" w:themeColor="text1"/>
        </w:rPr>
        <w:lastRenderedPageBreak/>
        <w:t xml:space="preserve">consequences of refusing the medical treatment. The refusal must be documented in writing through </w:t>
      </w:r>
      <w:r w:rsidRPr="00DD05DC">
        <w:rPr>
          <w:rFonts w:ascii="Garamond" w:hAnsi="Garamond"/>
          <w:bCs/>
          <w:color w:val="000000" w:themeColor="text1"/>
        </w:rPr>
        <w:t xml:space="preserve">a Medical Procedure Refusal Statement Letter </w:t>
      </w:r>
      <w:r w:rsidR="00D2373B" w:rsidRPr="00DD05DC">
        <w:rPr>
          <w:rFonts w:ascii="Garamond" w:hAnsi="Garamond"/>
          <w:color w:val="000000" w:themeColor="text1"/>
          <w:kern w:val="0"/>
        </w:rPr>
        <w:t>.</w:t>
      </w:r>
      <w:r w:rsidR="00FF7B2E" w:rsidRPr="00DD05DC">
        <w:rPr>
          <w:rStyle w:val="FootnoteReference"/>
          <w:rFonts w:ascii="Garamond" w:hAnsi="Garamond"/>
          <w:color w:val="000000" w:themeColor="text1"/>
          <w:kern w:val="0"/>
        </w:rPr>
        <w:footnoteReference w:id="23"/>
      </w:r>
    </w:p>
    <w:p w:rsidR="00734170" w:rsidRPr="00DD05DC" w:rsidRDefault="00734170" w:rsidP="00734170">
      <w:pPr>
        <w:spacing w:after="0" w:line="360" w:lineRule="auto"/>
        <w:ind w:firstLine="426"/>
        <w:jc w:val="both"/>
        <w:rPr>
          <w:rFonts w:ascii="Garamond" w:hAnsi="Garamond"/>
          <w:color w:val="000000" w:themeColor="text1"/>
          <w:kern w:val="0"/>
        </w:rPr>
      </w:pPr>
      <w:r w:rsidRPr="00DD05DC">
        <w:rPr>
          <w:rFonts w:ascii="Garamond" w:hAnsi="Garamond"/>
          <w:color w:val="000000" w:themeColor="text1"/>
          <w:kern w:val="0"/>
        </w:rPr>
        <w:t>Weaknesses of Informed Consent Practice in Indonesia</w:t>
      </w:r>
    </w:p>
    <w:p w:rsidR="00734170" w:rsidRPr="00DD05DC" w:rsidRDefault="00734170" w:rsidP="00734170">
      <w:pPr>
        <w:spacing w:after="0" w:line="360" w:lineRule="auto"/>
        <w:ind w:left="426" w:firstLine="720"/>
        <w:jc w:val="both"/>
        <w:rPr>
          <w:rFonts w:ascii="Garamond" w:hAnsi="Garamond"/>
          <w:color w:val="000000" w:themeColor="text1"/>
          <w:kern w:val="0"/>
        </w:rPr>
      </w:pPr>
      <w:r w:rsidRPr="00DD05DC">
        <w:rPr>
          <w:rFonts w:ascii="Garamond" w:hAnsi="Garamond"/>
          <w:color w:val="000000" w:themeColor="text1"/>
        </w:rPr>
        <w:t>Indonesia's positive legal framework stipulates that all medical procedures must be based on patient consent. However, this norm does not provide clear parameters regarding the quality of consent and the level of understanding that must be achieved. Consequently, compliance with the obligation of consent is often measured solely by the existence of documentation, rather than by the process and substance of communication between medical personnel and patients.</w:t>
      </w:r>
    </w:p>
    <w:p w:rsidR="00D2373B" w:rsidRPr="00DD05DC" w:rsidRDefault="00B44A82" w:rsidP="009F0512">
      <w:pPr>
        <w:spacing w:after="0" w:line="360" w:lineRule="auto"/>
        <w:ind w:left="426" w:firstLine="720"/>
        <w:jc w:val="both"/>
        <w:rPr>
          <w:rFonts w:ascii="Garamond" w:hAnsi="Garamond"/>
          <w:color w:val="000000" w:themeColor="text1"/>
          <w:kern w:val="0"/>
        </w:rPr>
      </w:pPr>
      <w:r w:rsidRPr="00DD05DC">
        <w:rPr>
          <w:rFonts w:ascii="Garamond" w:hAnsi="Garamond"/>
          <w:color w:val="000000" w:themeColor="text1"/>
        </w:rPr>
        <w:t xml:space="preserve">One of the fundamental weaknesses of informed consent in healthcare practice is its reduction to an administrative instrument. Consent is often embodied in a standardized form signed by the patient as a procedural prerequisite before medical treatment is performed. This orientation causes </w:t>
      </w:r>
      <w:r w:rsidRPr="00DD05DC">
        <w:rPr>
          <w:rStyle w:val="Emphasis"/>
          <w:rFonts w:ascii="Garamond" w:hAnsi="Garamond"/>
          <w:color w:val="000000" w:themeColor="text1"/>
        </w:rPr>
        <w:t xml:space="preserve">informed consent </w:t>
      </w:r>
      <w:r w:rsidRPr="00DD05DC">
        <w:rPr>
          <w:rFonts w:ascii="Garamond" w:hAnsi="Garamond"/>
          <w:color w:val="000000" w:themeColor="text1"/>
        </w:rPr>
        <w:t>to lose its substantial meaning as an expression of the patient's free will.</w:t>
      </w:r>
    </w:p>
    <w:p w:rsidR="00B9006C" w:rsidRPr="00DD05DC" w:rsidRDefault="00B44A82" w:rsidP="009F0512">
      <w:pPr>
        <w:spacing w:after="0" w:line="360" w:lineRule="auto"/>
        <w:ind w:left="426" w:firstLine="720"/>
        <w:jc w:val="both"/>
        <w:rPr>
          <w:rFonts w:ascii="Garamond" w:hAnsi="Garamond"/>
          <w:color w:val="000000" w:themeColor="text1"/>
          <w:kern w:val="0"/>
        </w:rPr>
      </w:pPr>
      <w:r w:rsidRPr="00DD05DC">
        <w:rPr>
          <w:rFonts w:ascii="Garamond" w:hAnsi="Garamond"/>
          <w:color w:val="000000" w:themeColor="text1"/>
        </w:rPr>
        <w:t xml:space="preserve">Based on the above analysis, it can be concluded that the weakness of informed consent in healthcare does not lie in the dominance of a procedural approach and the lack of a normative basis for substantive justice. This gap opens up space for the principle of </w:t>
      </w:r>
      <w:r w:rsidRPr="00DD05DC">
        <w:rPr>
          <w:rStyle w:val="Emphasis"/>
          <w:rFonts w:ascii="Garamond" w:hAnsi="Garamond"/>
          <w:color w:val="000000" w:themeColor="text1"/>
        </w:rPr>
        <w:t xml:space="preserve">at-tarā </w:t>
      </w:r>
      <w:r w:rsidRPr="00DD05DC">
        <w:rPr>
          <w:rStyle w:val="Emphasis"/>
          <w:rFonts w:ascii="Cambria" w:hAnsi="Cambria" w:cs="Cambria"/>
          <w:color w:val="000000" w:themeColor="text1"/>
        </w:rPr>
        <w:t>ḍ</w:t>
      </w:r>
      <w:r w:rsidRPr="00DD05DC">
        <w:rPr>
          <w:rStyle w:val="Emphasis"/>
          <w:rFonts w:ascii="Garamond" w:hAnsi="Garamond" w:cs="Cambria"/>
          <w:color w:val="000000" w:themeColor="text1"/>
        </w:rPr>
        <w:t xml:space="preserve"> </w:t>
      </w:r>
      <w:r w:rsidRPr="00DD05DC">
        <w:rPr>
          <w:rStyle w:val="Emphasis"/>
          <w:rFonts w:ascii="Garamond" w:hAnsi="Garamond"/>
          <w:color w:val="000000" w:themeColor="text1"/>
        </w:rPr>
        <w:t xml:space="preserve">ī </w:t>
      </w:r>
      <w:r w:rsidRPr="00DD05DC">
        <w:rPr>
          <w:rFonts w:ascii="Garamond" w:hAnsi="Garamond"/>
          <w:color w:val="000000" w:themeColor="text1"/>
        </w:rPr>
        <w:t xml:space="preserve">in Islamic contract law to serve as a corrective framework and reconceptualization of </w:t>
      </w:r>
      <w:r w:rsidRPr="00DD05DC">
        <w:rPr>
          <w:rStyle w:val="Emphasis"/>
          <w:rFonts w:ascii="Garamond" w:hAnsi="Garamond"/>
          <w:color w:val="000000" w:themeColor="text1"/>
        </w:rPr>
        <w:t xml:space="preserve">informed consent </w:t>
      </w:r>
      <w:r w:rsidRPr="00DD05DC">
        <w:rPr>
          <w:rFonts w:ascii="Garamond" w:hAnsi="Garamond"/>
          <w:color w:val="000000" w:themeColor="text1"/>
        </w:rPr>
        <w:t>, particularly in strengthening the quality of patient willingness, relational balance, and legal protection.</w:t>
      </w:r>
    </w:p>
    <w:p w:rsidR="006102AD" w:rsidRPr="00DD05DC" w:rsidRDefault="006102AD" w:rsidP="009F0512">
      <w:pPr>
        <w:pStyle w:val="ListParagraph"/>
        <w:numPr>
          <w:ilvl w:val="1"/>
          <w:numId w:val="6"/>
        </w:numPr>
        <w:spacing w:before="100" w:beforeAutospacing="1" w:after="0" w:afterAutospacing="1" w:line="360" w:lineRule="auto"/>
        <w:ind w:left="426" w:hanging="426"/>
        <w:jc w:val="both"/>
        <w:rPr>
          <w:rFonts w:ascii="Garamond" w:hAnsi="Garamond"/>
          <w:b/>
          <w:color w:val="000000" w:themeColor="text1"/>
        </w:rPr>
      </w:pPr>
      <w:r w:rsidRPr="00DD05DC">
        <w:rPr>
          <w:rFonts w:ascii="Garamond" w:hAnsi="Garamond"/>
          <w:b/>
          <w:bCs/>
          <w:color w:val="000000" w:themeColor="text1"/>
          <w:kern w:val="0"/>
        </w:rPr>
        <w:t xml:space="preserve">Informed Consent in the Perspective of </w:t>
      </w:r>
      <w:r w:rsidRPr="00DD05DC">
        <w:rPr>
          <w:rFonts w:ascii="Garamond" w:hAnsi="Garamond"/>
          <w:b/>
          <w:bCs/>
          <w:i/>
          <w:iCs/>
          <w:color w:val="000000" w:themeColor="text1"/>
          <w:kern w:val="0"/>
        </w:rPr>
        <w:t xml:space="preserve">the at-tarā </w:t>
      </w:r>
      <w:r w:rsidRPr="00DD05DC">
        <w:rPr>
          <w:rFonts w:ascii="Cambria" w:hAnsi="Cambria" w:cs="Cambria"/>
          <w:b/>
          <w:bCs/>
          <w:i/>
          <w:iCs/>
          <w:color w:val="000000" w:themeColor="text1"/>
          <w:kern w:val="0"/>
        </w:rPr>
        <w:t>ḍ</w:t>
      </w:r>
      <w:r w:rsidRPr="00DD05DC">
        <w:rPr>
          <w:rFonts w:ascii="Garamond" w:hAnsi="Garamond" w:cs="Cambria"/>
          <w:b/>
          <w:bCs/>
          <w:i/>
          <w:iCs/>
          <w:color w:val="000000" w:themeColor="text1"/>
          <w:kern w:val="0"/>
        </w:rPr>
        <w:t xml:space="preserve"> </w:t>
      </w:r>
      <w:r w:rsidRPr="00DD05DC">
        <w:rPr>
          <w:rFonts w:ascii="Garamond" w:hAnsi="Garamond" w:cs="Garamond"/>
          <w:b/>
          <w:bCs/>
          <w:i/>
          <w:iCs/>
          <w:color w:val="000000" w:themeColor="text1"/>
          <w:kern w:val="0"/>
        </w:rPr>
        <w:t xml:space="preserve">ī principle </w:t>
      </w:r>
      <w:r w:rsidRPr="00DD05DC">
        <w:rPr>
          <w:rFonts w:ascii="Garamond" w:hAnsi="Garamond"/>
          <w:b/>
          <w:bCs/>
          <w:color w:val="000000" w:themeColor="text1"/>
          <w:kern w:val="0"/>
        </w:rPr>
        <w:t>in Islamic contract law</w:t>
      </w:r>
    </w:p>
    <w:p w:rsidR="00CA43DF" w:rsidRPr="00DD05DC" w:rsidRDefault="00861F98" w:rsidP="00734170">
      <w:pPr>
        <w:pStyle w:val="ListParagraph"/>
        <w:spacing w:before="100" w:beforeAutospacing="1" w:after="0" w:afterAutospacing="1" w:line="360" w:lineRule="auto"/>
        <w:ind w:left="360" w:firstLine="633"/>
        <w:jc w:val="both"/>
        <w:rPr>
          <w:rFonts w:ascii="Garamond" w:hAnsi="Garamond"/>
          <w:color w:val="000000" w:themeColor="text1"/>
        </w:rPr>
      </w:pPr>
      <w:r w:rsidRPr="00DD05DC">
        <w:rPr>
          <w:rFonts w:ascii="Garamond" w:hAnsi="Garamond"/>
          <w:color w:val="000000" w:themeColor="text1"/>
        </w:rPr>
        <w:t xml:space="preserve">Sharia principles not only serve as ethical or behavioral guidelines, </w:t>
      </w:r>
      <w:r w:rsidRPr="00DD05DC">
        <w:rPr>
          <w:rStyle w:val="FootnoteReference"/>
          <w:rFonts w:ascii="Garamond" w:hAnsi="Garamond"/>
          <w:color w:val="000000" w:themeColor="text1"/>
        </w:rPr>
        <w:footnoteReference w:id="24"/>
      </w:r>
      <w:r w:rsidRPr="00DD05DC">
        <w:rPr>
          <w:rFonts w:ascii="Garamond" w:hAnsi="Garamond"/>
          <w:color w:val="000000" w:themeColor="text1"/>
        </w:rPr>
        <w:t xml:space="preserve">but also as a mechanism to prevent crime. Likewise, in carrying out contracts or muamalah transactions, one must be able to maintain Maqashid sharia. Maqashid sharia or the objectives of sharia according to Asy-Syatibi, is divided into five main categories, namely: </w:t>
      </w:r>
      <w:r w:rsidR="00CA43DF" w:rsidRPr="00DD05DC">
        <w:rPr>
          <w:rFonts w:ascii="Garamond" w:hAnsi="Garamond"/>
          <w:bCs/>
          <w:color w:val="000000" w:themeColor="text1"/>
          <w:kern w:val="0"/>
        </w:rPr>
        <w:t xml:space="preserve">Hifz an-Nafs (Preservation of the Soul/Self), Hifz al-'Aql (Preservation of Intellect), Hifz al-Maal (Preservation of Property), Hifz an-Nasl </w:t>
      </w:r>
      <w:r w:rsidR="00CA43DF" w:rsidRPr="00DD05DC">
        <w:rPr>
          <w:rFonts w:ascii="Garamond" w:hAnsi="Garamond"/>
          <w:bCs/>
          <w:color w:val="000000" w:themeColor="text1"/>
          <w:kern w:val="0"/>
        </w:rPr>
        <w:lastRenderedPageBreak/>
        <w:t xml:space="preserve">(Preservation of Offspring), Hifz ad-Din (Preservation of Religion) </w:t>
      </w:r>
      <w:r w:rsidR="00736FEA" w:rsidRPr="00DD05DC">
        <w:rPr>
          <w:rStyle w:val="FootnoteReference"/>
          <w:rFonts w:ascii="Garamond" w:hAnsi="Garamond"/>
          <w:color w:val="000000" w:themeColor="text1"/>
        </w:rPr>
        <w:footnoteReference w:id="25"/>
      </w:r>
      <w:r w:rsidR="00736FEA" w:rsidRPr="00DD05DC">
        <w:rPr>
          <w:rStyle w:val="FootnoteReference"/>
          <w:rFonts w:ascii="Garamond" w:hAnsi="Garamond"/>
          <w:color w:val="000000" w:themeColor="text1"/>
        </w:rPr>
        <w:footnoteReference w:id="26"/>
      </w:r>
      <w:r w:rsidR="00CA43DF" w:rsidRPr="00DD05DC">
        <w:rPr>
          <w:rFonts w:ascii="Garamond" w:hAnsi="Garamond"/>
          <w:bCs/>
          <w:color w:val="000000" w:themeColor="text1"/>
          <w:kern w:val="0"/>
        </w:rPr>
        <w:t xml:space="preserve">. </w:t>
      </w:r>
      <w:r w:rsidR="005E5F5D" w:rsidRPr="00DD05DC">
        <w:rPr>
          <w:rFonts w:ascii="Garamond" w:hAnsi="Garamond"/>
          <w:color w:val="000000" w:themeColor="text1"/>
        </w:rPr>
        <w:t xml:space="preserve">A contract in sharia economics is not only interpreted as an ordinary agreement, but also as a commitment that has </w:t>
      </w:r>
      <w:r w:rsidR="00736FEA" w:rsidRPr="00DD05DC">
        <w:rPr>
          <w:rStyle w:val="FootnoteReference"/>
          <w:rFonts w:ascii="Garamond" w:hAnsi="Garamond"/>
          <w:color w:val="000000" w:themeColor="text1"/>
        </w:rPr>
        <w:footnoteReference w:id="27"/>
      </w:r>
      <w:r w:rsidR="005E5F5D" w:rsidRPr="00DD05DC">
        <w:rPr>
          <w:rFonts w:ascii="Garamond" w:hAnsi="Garamond"/>
          <w:color w:val="000000" w:themeColor="text1"/>
        </w:rPr>
        <w:t>moral and legal implications.</w:t>
      </w:r>
      <w:r w:rsidR="00736FEA" w:rsidRPr="00DD05DC">
        <w:rPr>
          <w:rStyle w:val="FootnoteReference"/>
          <w:rFonts w:ascii="Garamond" w:hAnsi="Garamond"/>
          <w:color w:val="000000" w:themeColor="text1"/>
        </w:rPr>
        <w:footnoteReference w:id="28"/>
      </w:r>
    </w:p>
    <w:p w:rsidR="00855E4C" w:rsidRPr="00DD05DC" w:rsidRDefault="00855E4C" w:rsidP="00855E4C">
      <w:pPr>
        <w:pStyle w:val="ListParagraph"/>
        <w:spacing w:before="100" w:beforeAutospacing="1" w:after="0" w:afterAutospacing="1" w:line="360" w:lineRule="auto"/>
        <w:ind w:left="360" w:firstLine="491"/>
        <w:jc w:val="both"/>
        <w:rPr>
          <w:rFonts w:ascii="Garamond" w:hAnsi="Garamond"/>
          <w:color w:val="000000" w:themeColor="text1"/>
        </w:rPr>
      </w:pPr>
      <w:r w:rsidRPr="00DD05DC">
        <w:rPr>
          <w:rFonts w:ascii="Garamond" w:hAnsi="Garamond"/>
          <w:color w:val="000000" w:themeColor="text1"/>
        </w:rPr>
        <w:t xml:space="preserve">The relationship between a doctor/healthcare institution and a patient in medical services can be conceptualized as </w:t>
      </w:r>
      <w:r w:rsidRPr="00DD05DC">
        <w:rPr>
          <w:rFonts w:ascii="Garamond" w:hAnsi="Garamond"/>
          <w:bCs/>
          <w:color w:val="000000" w:themeColor="text1"/>
        </w:rPr>
        <w:t xml:space="preserve">a service contract </w:t>
      </w:r>
      <w:r w:rsidRPr="00DD05DC">
        <w:rPr>
          <w:rFonts w:ascii="Garamond" w:hAnsi="Garamond"/>
          <w:color w:val="000000" w:themeColor="text1"/>
        </w:rPr>
        <w:t xml:space="preserve">( </w:t>
      </w:r>
      <w:r w:rsidRPr="00DD05DC">
        <w:rPr>
          <w:rFonts w:ascii="Garamond" w:hAnsi="Garamond"/>
          <w:i/>
          <w:iCs/>
          <w:color w:val="000000" w:themeColor="text1"/>
        </w:rPr>
        <w:t xml:space="preserve">'Aqdul Khidmah </w:t>
      </w:r>
      <w:r w:rsidRPr="00DD05DC">
        <w:rPr>
          <w:rFonts w:ascii="Garamond" w:hAnsi="Garamond"/>
          <w:color w:val="000000" w:themeColor="text1"/>
        </w:rPr>
        <w:t xml:space="preserve">), which is specifically often categorized as an </w:t>
      </w:r>
      <w:r w:rsidRPr="00DD05DC">
        <w:rPr>
          <w:rFonts w:ascii="Garamond" w:hAnsi="Garamond"/>
          <w:bCs/>
          <w:i/>
          <w:iCs/>
          <w:color w:val="000000" w:themeColor="text1"/>
        </w:rPr>
        <w:t xml:space="preserve">Ijarah (service rental) </w:t>
      </w:r>
      <w:r w:rsidRPr="00DD05DC">
        <w:rPr>
          <w:rStyle w:val="FootnoteReference"/>
          <w:rFonts w:ascii="Garamond" w:hAnsi="Garamond"/>
          <w:color w:val="000000" w:themeColor="text1"/>
        </w:rPr>
        <w:footnoteReference w:id="29"/>
      </w:r>
      <w:r w:rsidRPr="00DD05DC">
        <w:rPr>
          <w:rFonts w:ascii="Garamond" w:hAnsi="Garamond"/>
          <w:bCs/>
          <w:color w:val="000000" w:themeColor="text1"/>
        </w:rPr>
        <w:t xml:space="preserve">contract </w:t>
      </w:r>
      <w:r w:rsidRPr="00DD05DC">
        <w:rPr>
          <w:rFonts w:ascii="Garamond" w:hAnsi="Garamond"/>
          <w:color w:val="000000" w:themeColor="text1"/>
        </w:rPr>
        <w:t xml:space="preserve">within the framework of </w:t>
      </w:r>
      <w:r w:rsidRPr="00DD05DC">
        <w:rPr>
          <w:rFonts w:ascii="Garamond" w:hAnsi="Garamond"/>
          <w:bCs/>
          <w:color w:val="000000" w:themeColor="text1"/>
        </w:rPr>
        <w:t xml:space="preserve">Islamic jurisprudence </w:t>
      </w:r>
      <w:r w:rsidRPr="00DD05DC">
        <w:rPr>
          <w:rFonts w:ascii="Garamond" w:hAnsi="Garamond"/>
          <w:color w:val="000000" w:themeColor="text1"/>
        </w:rPr>
        <w:t xml:space="preserve">. </w:t>
      </w:r>
      <w:r w:rsidRPr="00DD05DC">
        <w:rPr>
          <w:rStyle w:val="FootnoteReference"/>
          <w:rFonts w:ascii="Garamond" w:hAnsi="Garamond"/>
          <w:color w:val="000000" w:themeColor="text1"/>
        </w:rPr>
        <w:footnoteReference w:id="30"/>
      </w:r>
      <w:r w:rsidRPr="00DD05DC">
        <w:rPr>
          <w:rFonts w:ascii="Garamond" w:hAnsi="Garamond"/>
          <w:color w:val="000000" w:themeColor="text1"/>
        </w:rPr>
        <w:t xml:space="preserve">Based on this review, the validity and legitimacy of the relationship, including the Informed Consent process </w:t>
      </w:r>
      <w:r w:rsidRPr="00DD05DC">
        <w:rPr>
          <w:rFonts w:ascii="Garamond" w:hAnsi="Garamond"/>
          <w:i/>
          <w:iCs/>
          <w:color w:val="000000" w:themeColor="text1"/>
        </w:rPr>
        <w:t xml:space="preserve">, </w:t>
      </w:r>
      <w:r w:rsidRPr="00DD05DC">
        <w:rPr>
          <w:rFonts w:ascii="Garamond" w:hAnsi="Garamond"/>
          <w:color w:val="000000" w:themeColor="text1"/>
        </w:rPr>
        <w:t xml:space="preserve">must fulfill the basic pillars and requirements of an Islamic contract ( </w:t>
      </w:r>
      <w:r w:rsidRPr="00DD05DC">
        <w:rPr>
          <w:rFonts w:ascii="Garamond" w:hAnsi="Garamond"/>
          <w:i/>
          <w:iCs/>
          <w:color w:val="000000" w:themeColor="text1"/>
        </w:rPr>
        <w:t xml:space="preserve">al-'Aqd </w:t>
      </w:r>
      <w:r w:rsidRPr="00DD05DC">
        <w:rPr>
          <w:rFonts w:ascii="Garamond" w:hAnsi="Garamond"/>
          <w:color w:val="000000" w:themeColor="text1"/>
        </w:rPr>
        <w:t>).</w:t>
      </w:r>
    </w:p>
    <w:p w:rsidR="00855E4C" w:rsidRPr="00DD05DC" w:rsidRDefault="00855E4C" w:rsidP="00734170">
      <w:pPr>
        <w:pStyle w:val="ListParagraph"/>
        <w:spacing w:before="100" w:beforeAutospacing="1" w:after="0" w:afterAutospacing="1" w:line="360" w:lineRule="auto"/>
        <w:ind w:left="360" w:firstLine="633"/>
        <w:jc w:val="both"/>
        <w:rPr>
          <w:rFonts w:ascii="Garamond" w:hAnsi="Garamond"/>
          <w:bCs/>
          <w:color w:val="000000" w:themeColor="text1"/>
          <w:kern w:val="0"/>
        </w:rPr>
      </w:pPr>
    </w:p>
    <w:p w:rsidR="003C3A86" w:rsidRPr="00DD05DC" w:rsidRDefault="003C3A86" w:rsidP="00734170">
      <w:pPr>
        <w:pStyle w:val="ListParagraph"/>
        <w:spacing w:before="100" w:beforeAutospacing="1" w:after="0" w:afterAutospacing="1" w:line="360" w:lineRule="auto"/>
        <w:ind w:left="360" w:firstLine="633"/>
        <w:jc w:val="both"/>
        <w:rPr>
          <w:rFonts w:ascii="Garamond" w:hAnsi="Garamond"/>
          <w:color w:val="000000" w:themeColor="text1"/>
        </w:rPr>
      </w:pPr>
      <w:r w:rsidRPr="00DD05DC">
        <w:rPr>
          <w:rFonts w:ascii="Garamond" w:hAnsi="Garamond"/>
          <w:color w:val="000000" w:themeColor="text1"/>
        </w:rPr>
        <w:t xml:space="preserve">The principle </w:t>
      </w:r>
      <w:r w:rsidRPr="00DD05DC">
        <w:rPr>
          <w:rStyle w:val="Emphasis"/>
          <w:rFonts w:ascii="Garamond" w:hAnsi="Garamond"/>
          <w:color w:val="000000" w:themeColor="text1"/>
        </w:rPr>
        <w:t xml:space="preserve">of at-tarā </w:t>
      </w:r>
      <w:r w:rsidRPr="00DD05DC">
        <w:rPr>
          <w:rStyle w:val="Emphasis"/>
          <w:rFonts w:ascii="Cambria" w:hAnsi="Cambria" w:cs="Cambria"/>
          <w:color w:val="000000" w:themeColor="text1"/>
        </w:rPr>
        <w:t>ḍ</w:t>
      </w:r>
      <w:r w:rsidRPr="00DD05DC">
        <w:rPr>
          <w:rStyle w:val="Emphasis"/>
          <w:rFonts w:ascii="Garamond" w:hAnsi="Garamond" w:cs="Cambria"/>
          <w:color w:val="000000" w:themeColor="text1"/>
        </w:rPr>
        <w:t xml:space="preserve"> </w:t>
      </w:r>
      <w:r w:rsidRPr="00DD05DC">
        <w:rPr>
          <w:rStyle w:val="Emphasis"/>
          <w:rFonts w:ascii="Garamond" w:hAnsi="Garamond"/>
          <w:color w:val="000000" w:themeColor="text1"/>
        </w:rPr>
        <w:t xml:space="preserve">ī </w:t>
      </w:r>
      <w:r w:rsidRPr="00DD05DC">
        <w:rPr>
          <w:rFonts w:ascii="Garamond" w:hAnsi="Garamond"/>
          <w:color w:val="000000" w:themeColor="text1"/>
        </w:rPr>
        <w:t xml:space="preserve">is one of the fundamental principles in Islamic contract law which emphasizes that </w:t>
      </w:r>
      <w:r w:rsidRPr="00DD05DC">
        <w:rPr>
          <w:rStyle w:val="Strong"/>
          <w:rFonts w:ascii="Garamond" w:hAnsi="Garamond"/>
          <w:b w:val="0"/>
          <w:color w:val="000000" w:themeColor="text1"/>
        </w:rPr>
        <w:t xml:space="preserve">the validity of an agreement requires mutual consent from the </w:t>
      </w:r>
      <w:r w:rsidRPr="00DD05DC">
        <w:rPr>
          <w:rFonts w:ascii="Garamond" w:hAnsi="Garamond"/>
          <w:color w:val="000000" w:themeColor="text1"/>
          <w:kern w:val="0"/>
        </w:rPr>
        <w:t xml:space="preserve">parties </w:t>
      </w:r>
      <w:r w:rsidRPr="00DD05DC">
        <w:rPr>
          <w:rFonts w:ascii="Garamond" w:hAnsi="Garamond"/>
          <w:color w:val="000000" w:themeColor="text1"/>
        </w:rPr>
        <w:t xml:space="preserve">. This principle is rooted in the provisions of the Qur'an, especially QS. An-Nisā' [4]: 29, which rejects all forms of acquisition of rights or property without a transaction based on mutual consent. In the context of contemporary muamalah, </w:t>
      </w:r>
      <w:r w:rsidRPr="00DD05DC">
        <w:rPr>
          <w:rStyle w:val="Emphasis"/>
          <w:rFonts w:ascii="Garamond" w:hAnsi="Garamond"/>
          <w:color w:val="000000" w:themeColor="text1"/>
        </w:rPr>
        <w:t xml:space="preserve">at-tarā </w:t>
      </w:r>
      <w:r w:rsidRPr="00DD05DC">
        <w:rPr>
          <w:rStyle w:val="Emphasis"/>
          <w:rFonts w:ascii="Cambria" w:hAnsi="Cambria" w:cs="Cambria"/>
          <w:color w:val="000000" w:themeColor="text1"/>
        </w:rPr>
        <w:t>ḍ</w:t>
      </w:r>
      <w:r w:rsidRPr="00DD05DC">
        <w:rPr>
          <w:rStyle w:val="Emphasis"/>
          <w:rFonts w:ascii="Garamond" w:hAnsi="Garamond" w:cs="Cambria"/>
          <w:color w:val="000000" w:themeColor="text1"/>
        </w:rPr>
        <w:t xml:space="preserve"> </w:t>
      </w:r>
      <w:r w:rsidRPr="00DD05DC">
        <w:rPr>
          <w:rStyle w:val="Emphasis"/>
          <w:rFonts w:ascii="Garamond" w:hAnsi="Garamond"/>
          <w:color w:val="000000" w:themeColor="text1"/>
        </w:rPr>
        <w:t xml:space="preserve">ī </w:t>
      </w:r>
      <w:r w:rsidRPr="00DD05DC">
        <w:rPr>
          <w:rFonts w:ascii="Garamond" w:hAnsi="Garamond"/>
          <w:color w:val="000000" w:themeColor="text1"/>
        </w:rPr>
        <w:t xml:space="preserve">is understood as a normative foundation that maintains the free will of the parties in forming a fair and legitimate contractual relationship, </w:t>
      </w:r>
      <w:r w:rsidR="00CA43DF" w:rsidRPr="00DD05DC">
        <w:rPr>
          <w:rStyle w:val="FootnoteReference"/>
          <w:rFonts w:ascii="Garamond" w:hAnsi="Garamond"/>
          <w:color w:val="000000" w:themeColor="text1"/>
        </w:rPr>
        <w:footnoteReference w:id="31"/>
      </w:r>
      <w:r w:rsidR="00777A03" w:rsidRPr="00DD05DC">
        <w:rPr>
          <w:rFonts w:ascii="Garamond" w:hAnsi="Garamond"/>
          <w:color w:val="000000" w:themeColor="text1"/>
        </w:rPr>
        <w:t>without any element of deception or coercion.</w:t>
      </w:r>
      <w:r w:rsidR="00736FEA" w:rsidRPr="00DD05DC">
        <w:rPr>
          <w:rStyle w:val="FootnoteReference"/>
          <w:rFonts w:ascii="Garamond" w:hAnsi="Garamond"/>
          <w:color w:val="000000" w:themeColor="text1"/>
        </w:rPr>
        <w:footnoteReference w:id="32"/>
      </w:r>
    </w:p>
    <w:p w:rsidR="00F27CAB" w:rsidRPr="00DD05DC" w:rsidRDefault="00F27CAB" w:rsidP="009F0512">
      <w:pPr>
        <w:pStyle w:val="ListParagraph"/>
        <w:spacing w:before="100" w:beforeAutospacing="1" w:after="0" w:afterAutospacing="1" w:line="360" w:lineRule="auto"/>
        <w:ind w:left="360" w:firstLine="360"/>
        <w:jc w:val="both"/>
        <w:rPr>
          <w:rFonts w:ascii="Garamond" w:hAnsi="Garamond"/>
          <w:color w:val="000000" w:themeColor="text1"/>
        </w:rPr>
      </w:pPr>
      <w:r w:rsidRPr="00DD05DC">
        <w:rPr>
          <w:rFonts w:ascii="Garamond" w:hAnsi="Garamond"/>
          <w:color w:val="000000" w:themeColor="text1"/>
        </w:rPr>
        <w:t xml:space="preserve">Thus, it can be concluded that the principle </w:t>
      </w:r>
      <w:r w:rsidRPr="00DD05DC">
        <w:rPr>
          <w:rStyle w:val="Emphasis"/>
          <w:rFonts w:ascii="Garamond" w:hAnsi="Garamond"/>
          <w:color w:val="000000" w:themeColor="text1"/>
        </w:rPr>
        <w:t xml:space="preserve">of at-tarā </w:t>
      </w:r>
      <w:r w:rsidRPr="00DD05DC">
        <w:rPr>
          <w:rStyle w:val="Emphasis"/>
          <w:rFonts w:ascii="Cambria" w:hAnsi="Cambria" w:cs="Cambria"/>
          <w:color w:val="000000" w:themeColor="text1"/>
        </w:rPr>
        <w:t>ḍ</w:t>
      </w:r>
      <w:r w:rsidRPr="00DD05DC">
        <w:rPr>
          <w:rStyle w:val="Emphasis"/>
          <w:rFonts w:ascii="Garamond" w:hAnsi="Garamond" w:cs="Cambria"/>
          <w:color w:val="000000" w:themeColor="text1"/>
        </w:rPr>
        <w:t xml:space="preserve"> </w:t>
      </w:r>
      <w:r w:rsidRPr="00DD05DC">
        <w:rPr>
          <w:rStyle w:val="Emphasis"/>
          <w:rFonts w:ascii="Garamond" w:hAnsi="Garamond"/>
          <w:color w:val="000000" w:themeColor="text1"/>
        </w:rPr>
        <w:t xml:space="preserve">ī </w:t>
      </w:r>
      <w:r w:rsidRPr="00DD05DC">
        <w:rPr>
          <w:rFonts w:ascii="Garamond" w:hAnsi="Garamond"/>
          <w:color w:val="000000" w:themeColor="text1"/>
        </w:rPr>
        <w:t xml:space="preserve">occupies a central position in Islamic contract law as the basis for valid consent and agreement. This principle ensures that agreements are not only formally valid but also substantively fair. Within the framework of the development of contemporary contract law, including the healthcare sector, </w:t>
      </w:r>
      <w:r w:rsidRPr="00DD05DC">
        <w:rPr>
          <w:rStyle w:val="Emphasis"/>
          <w:rFonts w:ascii="Garamond" w:hAnsi="Garamond"/>
          <w:color w:val="000000" w:themeColor="text1"/>
        </w:rPr>
        <w:t xml:space="preserve">at-tarā </w:t>
      </w:r>
      <w:r w:rsidRPr="00DD05DC">
        <w:rPr>
          <w:rStyle w:val="Emphasis"/>
          <w:rFonts w:ascii="Cambria" w:hAnsi="Cambria" w:cs="Cambria"/>
          <w:color w:val="000000" w:themeColor="text1"/>
        </w:rPr>
        <w:t>ḍ</w:t>
      </w:r>
      <w:r w:rsidRPr="00DD05DC">
        <w:rPr>
          <w:rStyle w:val="Emphasis"/>
          <w:rFonts w:ascii="Garamond" w:hAnsi="Garamond" w:cs="Cambria"/>
          <w:color w:val="000000" w:themeColor="text1"/>
        </w:rPr>
        <w:t xml:space="preserve"> </w:t>
      </w:r>
      <w:r w:rsidRPr="00DD05DC">
        <w:rPr>
          <w:rStyle w:val="Emphasis"/>
          <w:rFonts w:ascii="Garamond" w:hAnsi="Garamond"/>
          <w:color w:val="000000" w:themeColor="text1"/>
        </w:rPr>
        <w:t xml:space="preserve">ī </w:t>
      </w:r>
      <w:r w:rsidRPr="00DD05DC">
        <w:rPr>
          <w:rFonts w:ascii="Garamond" w:hAnsi="Garamond"/>
          <w:color w:val="000000" w:themeColor="text1"/>
        </w:rPr>
        <w:t xml:space="preserve">provides a strong </w:t>
      </w:r>
      <w:r w:rsidRPr="00DD05DC">
        <w:rPr>
          <w:rFonts w:ascii="Garamond" w:hAnsi="Garamond"/>
          <w:color w:val="000000" w:themeColor="text1"/>
        </w:rPr>
        <w:lastRenderedPageBreak/>
        <w:t>normative basis for reconstructing the concept of consent to align with the values of justice, protection of the vulnerable, and legal certainty.</w:t>
      </w:r>
    </w:p>
    <w:p w:rsidR="00AD524F" w:rsidRPr="00DD05DC" w:rsidRDefault="00AD524F" w:rsidP="009F0512">
      <w:pPr>
        <w:pStyle w:val="ListParagraph"/>
        <w:spacing w:before="100" w:beforeAutospacing="1" w:after="0" w:afterAutospacing="1" w:line="360" w:lineRule="auto"/>
        <w:ind w:left="360" w:firstLine="360"/>
        <w:jc w:val="both"/>
        <w:rPr>
          <w:rFonts w:ascii="Garamond" w:hAnsi="Garamond"/>
          <w:color w:val="000000" w:themeColor="text1"/>
        </w:rPr>
      </w:pPr>
    </w:p>
    <w:p w:rsidR="00F75105" w:rsidRPr="00DD05DC" w:rsidRDefault="000155FA" w:rsidP="009F0512">
      <w:pPr>
        <w:pStyle w:val="ListParagraph"/>
        <w:numPr>
          <w:ilvl w:val="1"/>
          <w:numId w:val="6"/>
        </w:numPr>
        <w:spacing w:before="100" w:beforeAutospacing="1" w:after="0" w:afterAutospacing="1" w:line="360" w:lineRule="auto"/>
        <w:rPr>
          <w:rFonts w:ascii="Garamond" w:hAnsi="Garamond"/>
          <w:b/>
          <w:color w:val="000000" w:themeColor="text1"/>
        </w:rPr>
      </w:pPr>
      <w:r w:rsidRPr="00DD05DC">
        <w:rPr>
          <w:rFonts w:ascii="Garamond" w:hAnsi="Garamond"/>
          <w:b/>
          <w:bCs/>
          <w:iCs/>
          <w:color w:val="000000" w:themeColor="text1"/>
        </w:rPr>
        <w:t xml:space="preserve">The concept of Informed Consent integrated with </w:t>
      </w:r>
      <w:r w:rsidR="00F75105" w:rsidRPr="00DD05DC">
        <w:rPr>
          <w:rFonts w:ascii="Garamond" w:hAnsi="Garamond"/>
          <w:b/>
          <w:bCs/>
          <w:i/>
          <w:iCs/>
          <w:color w:val="000000" w:themeColor="text1"/>
        </w:rPr>
        <w:t xml:space="preserve">the At-Tarā </w:t>
      </w:r>
      <w:r w:rsidR="00F75105" w:rsidRPr="00DD05DC">
        <w:rPr>
          <w:rFonts w:ascii="Cambria" w:hAnsi="Cambria" w:cs="Cambria"/>
          <w:b/>
          <w:bCs/>
          <w:i/>
          <w:iCs/>
          <w:color w:val="000000" w:themeColor="text1"/>
        </w:rPr>
        <w:t>ḍ</w:t>
      </w:r>
      <w:r w:rsidR="00F75105" w:rsidRPr="00DD05DC">
        <w:rPr>
          <w:rFonts w:ascii="Garamond" w:hAnsi="Garamond" w:cs="Cambria"/>
          <w:b/>
          <w:bCs/>
          <w:i/>
          <w:iCs/>
          <w:color w:val="000000" w:themeColor="text1"/>
        </w:rPr>
        <w:t xml:space="preserve"> </w:t>
      </w:r>
      <w:r w:rsidR="00F75105" w:rsidRPr="00DD05DC">
        <w:rPr>
          <w:rFonts w:ascii="Garamond" w:hAnsi="Garamond"/>
          <w:b/>
          <w:bCs/>
          <w:i/>
          <w:iCs/>
          <w:color w:val="000000" w:themeColor="text1"/>
        </w:rPr>
        <w:t xml:space="preserve">ī Principle </w:t>
      </w:r>
      <w:r w:rsidR="00F75105" w:rsidRPr="00DD05DC">
        <w:rPr>
          <w:rFonts w:ascii="Garamond" w:hAnsi="Garamond"/>
          <w:b/>
          <w:bCs/>
          <w:color w:val="000000" w:themeColor="text1"/>
        </w:rPr>
        <w:t>in Islamic Contract Law</w:t>
      </w:r>
      <w:r w:rsidR="00F75105" w:rsidRPr="00DD05DC">
        <w:rPr>
          <w:rFonts w:ascii="Garamond" w:hAnsi="Garamond"/>
          <w:b/>
          <w:color w:val="000000" w:themeColor="text1"/>
        </w:rPr>
        <w:t xml:space="preserve"> </w:t>
      </w:r>
    </w:p>
    <w:p w:rsidR="00F75105" w:rsidRPr="00DD05DC" w:rsidRDefault="00F75105" w:rsidP="00F813BD">
      <w:pPr>
        <w:pStyle w:val="ListParagraph"/>
        <w:spacing w:before="100" w:beforeAutospacing="1" w:after="0" w:afterAutospacing="1" w:line="276" w:lineRule="auto"/>
        <w:ind w:left="360" w:firstLine="491"/>
        <w:jc w:val="both"/>
        <w:rPr>
          <w:rFonts w:ascii="Garamond" w:hAnsi="Garamond"/>
          <w:color w:val="000000" w:themeColor="text1"/>
        </w:rPr>
      </w:pPr>
      <w:r w:rsidRPr="00DD05DC">
        <w:rPr>
          <w:rFonts w:ascii="Garamond" w:hAnsi="Garamond"/>
          <w:color w:val="000000" w:themeColor="text1"/>
        </w:rPr>
        <w:t xml:space="preserve">The construction of </w:t>
      </w:r>
      <w:r w:rsidRPr="00DD05DC">
        <w:rPr>
          <w:rFonts w:ascii="Garamond" w:hAnsi="Garamond"/>
          <w:i/>
          <w:iCs/>
          <w:color w:val="000000" w:themeColor="text1"/>
        </w:rPr>
        <w:t xml:space="preserve">informed consent </w:t>
      </w:r>
      <w:r w:rsidRPr="00DD05DC">
        <w:rPr>
          <w:rFonts w:ascii="Garamond" w:hAnsi="Garamond"/>
          <w:color w:val="000000" w:themeColor="text1"/>
        </w:rPr>
        <w:t xml:space="preserve">within the framework of healthcare services must be positioned as a substantial legal act. From the perspective of Islamic contract law ( </w:t>
      </w:r>
      <w:r w:rsidRPr="00DD05DC">
        <w:rPr>
          <w:rFonts w:ascii="Garamond" w:hAnsi="Garamond"/>
          <w:i/>
          <w:iCs/>
          <w:color w:val="000000" w:themeColor="text1"/>
        </w:rPr>
        <w:t xml:space="preserve">Fiqh Muamalat </w:t>
      </w:r>
      <w:r w:rsidRPr="00DD05DC">
        <w:rPr>
          <w:rFonts w:ascii="Garamond" w:hAnsi="Garamond"/>
          <w:color w:val="000000" w:themeColor="text1"/>
        </w:rPr>
        <w:t xml:space="preserve">), the legitimacy of such consent must reflect the principle of </w:t>
      </w:r>
      <w:r w:rsidRPr="00DD05DC">
        <w:rPr>
          <w:rFonts w:ascii="Garamond" w:hAnsi="Garamond"/>
          <w:i/>
          <w:iCs/>
          <w:color w:val="000000" w:themeColor="text1"/>
        </w:rPr>
        <w:t xml:space="preserve">at-tarā </w:t>
      </w:r>
      <w:r w:rsidRPr="00DD05DC">
        <w:rPr>
          <w:rFonts w:ascii="Cambria" w:hAnsi="Cambria" w:cs="Cambria"/>
          <w:i/>
          <w:iCs/>
          <w:color w:val="000000" w:themeColor="text1"/>
        </w:rPr>
        <w:t>ḍ</w:t>
      </w:r>
      <w:r w:rsidRPr="00DD05DC">
        <w:rPr>
          <w:rFonts w:ascii="Garamond" w:hAnsi="Garamond" w:cs="Cambria"/>
          <w:i/>
          <w:iCs/>
          <w:color w:val="000000" w:themeColor="text1"/>
        </w:rPr>
        <w:t xml:space="preserve"> </w:t>
      </w:r>
      <w:r w:rsidRPr="00DD05DC">
        <w:rPr>
          <w:rFonts w:ascii="Garamond" w:hAnsi="Garamond"/>
          <w:i/>
          <w:iCs/>
          <w:color w:val="000000" w:themeColor="text1"/>
        </w:rPr>
        <w:t xml:space="preserve">ī </w:t>
      </w:r>
      <w:r w:rsidRPr="00DD05DC">
        <w:rPr>
          <w:rFonts w:ascii="Garamond" w:hAnsi="Garamond"/>
          <w:color w:val="000000" w:themeColor="text1"/>
        </w:rPr>
        <w:t xml:space="preserve">(mutual consent), which requires mutual willingness and agreement stemming from the free will </w:t>
      </w:r>
      <w:r w:rsidRPr="00DD05DC">
        <w:rPr>
          <w:rFonts w:ascii="Garamond" w:hAnsi="Garamond"/>
          <w:i/>
          <w:iCs/>
          <w:color w:val="000000" w:themeColor="text1"/>
        </w:rPr>
        <w:t xml:space="preserve">of </w:t>
      </w:r>
      <w:r w:rsidRPr="00DD05DC">
        <w:rPr>
          <w:rFonts w:ascii="Garamond" w:hAnsi="Garamond"/>
          <w:color w:val="000000" w:themeColor="text1"/>
        </w:rPr>
        <w:t>the parties. This principle firmly states that the validity of an agreement is determined not only by its formal aspects, but also by the substantive quality of the process of forming the will itself.</w:t>
      </w:r>
    </w:p>
    <w:p w:rsidR="00F75105" w:rsidRPr="00DD05DC" w:rsidRDefault="00F75105" w:rsidP="00F813BD">
      <w:pPr>
        <w:pStyle w:val="ListParagraph"/>
        <w:spacing w:before="100" w:beforeAutospacing="1" w:after="0" w:afterAutospacing="1" w:line="276" w:lineRule="auto"/>
        <w:ind w:left="360"/>
        <w:jc w:val="both"/>
        <w:rPr>
          <w:rFonts w:ascii="Garamond" w:hAnsi="Garamond"/>
          <w:color w:val="000000" w:themeColor="text1"/>
        </w:rPr>
      </w:pPr>
    </w:p>
    <w:p w:rsidR="00F75105" w:rsidRPr="00DD05DC" w:rsidRDefault="00F75105" w:rsidP="00F813BD">
      <w:pPr>
        <w:pStyle w:val="ListParagraph"/>
        <w:spacing w:before="100" w:beforeAutospacing="1" w:after="0" w:afterAutospacing="1" w:line="276" w:lineRule="auto"/>
        <w:ind w:left="1134" w:hanging="774"/>
        <w:jc w:val="both"/>
        <w:rPr>
          <w:rFonts w:ascii="Garamond" w:hAnsi="Garamond"/>
          <w:bCs/>
          <w:color w:val="000000" w:themeColor="text1"/>
          <w:kern w:val="0"/>
        </w:rPr>
      </w:pPr>
      <w:r w:rsidRPr="00DD05DC">
        <w:rPr>
          <w:rFonts w:ascii="Garamond" w:hAnsi="Garamond"/>
          <w:color w:val="000000" w:themeColor="text1"/>
        </w:rPr>
        <w:t xml:space="preserve">Table 1. </w:t>
      </w:r>
      <w:r w:rsidRPr="00DD05DC">
        <w:rPr>
          <w:rFonts w:ascii="Garamond" w:hAnsi="Garamond"/>
          <w:bCs/>
          <w:color w:val="000000" w:themeColor="text1"/>
          <w:kern w:val="0"/>
        </w:rPr>
        <w:t xml:space="preserve">Comparison of </w:t>
      </w:r>
      <w:r w:rsidRPr="00DD05DC">
        <w:rPr>
          <w:rFonts w:ascii="Garamond" w:hAnsi="Garamond"/>
          <w:bCs/>
          <w:i/>
          <w:iCs/>
          <w:color w:val="000000" w:themeColor="text1"/>
          <w:kern w:val="0"/>
        </w:rPr>
        <w:t xml:space="preserve">Informed Consent </w:t>
      </w:r>
      <w:r w:rsidRPr="00DD05DC">
        <w:rPr>
          <w:rFonts w:ascii="Garamond" w:hAnsi="Garamond"/>
          <w:bCs/>
          <w:color w:val="000000" w:themeColor="text1"/>
          <w:kern w:val="0"/>
        </w:rPr>
        <w:t xml:space="preserve">in Indonesian Health Service Regulations and </w:t>
      </w:r>
      <w:r w:rsidRPr="00DD05DC">
        <w:rPr>
          <w:rFonts w:ascii="Garamond" w:hAnsi="Garamond"/>
          <w:bCs/>
          <w:i/>
          <w:iCs/>
          <w:color w:val="000000" w:themeColor="text1"/>
          <w:kern w:val="0"/>
        </w:rPr>
        <w:t xml:space="preserve">the At-Tarā </w:t>
      </w:r>
      <w:r w:rsidRPr="00DD05DC">
        <w:rPr>
          <w:rFonts w:ascii="Cambria" w:hAnsi="Cambria" w:cs="Cambria"/>
          <w:bCs/>
          <w:i/>
          <w:iCs/>
          <w:color w:val="000000" w:themeColor="text1"/>
          <w:kern w:val="0"/>
        </w:rPr>
        <w:t>ḍ</w:t>
      </w:r>
      <w:r w:rsidRPr="00DD05DC">
        <w:rPr>
          <w:rFonts w:ascii="Garamond" w:hAnsi="Garamond" w:cs="Cambria"/>
          <w:bCs/>
          <w:i/>
          <w:iCs/>
          <w:color w:val="000000" w:themeColor="text1"/>
          <w:kern w:val="0"/>
        </w:rPr>
        <w:t xml:space="preserve"> </w:t>
      </w:r>
      <w:r w:rsidRPr="00DD05DC">
        <w:rPr>
          <w:rFonts w:ascii="Garamond" w:hAnsi="Garamond" w:cs="Garamond"/>
          <w:bCs/>
          <w:i/>
          <w:iCs/>
          <w:color w:val="000000" w:themeColor="text1"/>
          <w:kern w:val="0"/>
        </w:rPr>
        <w:t xml:space="preserve">ī Principle </w:t>
      </w:r>
      <w:r w:rsidRPr="00DD05DC">
        <w:rPr>
          <w:rFonts w:ascii="Garamond" w:hAnsi="Garamond"/>
          <w:bCs/>
          <w:color w:val="000000" w:themeColor="text1"/>
          <w:kern w:val="0"/>
        </w:rPr>
        <w:t>in Islamic Contract Law</w:t>
      </w:r>
    </w:p>
    <w:tbl>
      <w:tblPr>
        <w:tblStyle w:val="TableGrid"/>
        <w:tblW w:w="5000" w:type="pct"/>
        <w:tblLook w:val="04A0" w:firstRow="1" w:lastRow="0" w:firstColumn="1" w:lastColumn="0" w:noHBand="0" w:noVBand="1"/>
      </w:tblPr>
      <w:tblGrid>
        <w:gridCol w:w="1519"/>
        <w:gridCol w:w="2356"/>
        <w:gridCol w:w="2395"/>
        <w:gridCol w:w="3080"/>
      </w:tblGrid>
      <w:tr w:rsidR="00341ACE" w:rsidRPr="00DD05DC" w:rsidTr="00341ACE">
        <w:tc>
          <w:tcPr>
            <w:tcW w:w="812" w:type="pct"/>
            <w:vAlign w:val="center"/>
          </w:tcPr>
          <w:p w:rsidR="00F75105" w:rsidRPr="00DD05DC" w:rsidRDefault="00F75105" w:rsidP="005F2CE5">
            <w:pPr>
              <w:jc w:val="center"/>
              <w:rPr>
                <w:rFonts w:ascii="Garamond" w:hAnsi="Garamond"/>
                <w:bCs/>
                <w:color w:val="000000" w:themeColor="text1"/>
                <w:kern w:val="0"/>
              </w:rPr>
            </w:pPr>
            <w:r w:rsidRPr="00DD05DC">
              <w:rPr>
                <w:rFonts w:ascii="Garamond" w:hAnsi="Garamond"/>
                <w:bCs/>
                <w:color w:val="000000" w:themeColor="text1"/>
                <w:kern w:val="0"/>
              </w:rPr>
              <w:t>Aspect</w:t>
            </w:r>
          </w:p>
        </w:tc>
        <w:tc>
          <w:tcPr>
            <w:tcW w:w="1260" w:type="pct"/>
            <w:vAlign w:val="center"/>
          </w:tcPr>
          <w:p w:rsidR="00F75105" w:rsidRPr="00DD05DC" w:rsidRDefault="00F75105" w:rsidP="005F2CE5">
            <w:pPr>
              <w:jc w:val="center"/>
              <w:rPr>
                <w:rFonts w:ascii="Garamond" w:hAnsi="Garamond"/>
                <w:bCs/>
                <w:color w:val="000000" w:themeColor="text1"/>
                <w:kern w:val="0"/>
              </w:rPr>
            </w:pPr>
            <w:r w:rsidRPr="00DD05DC">
              <w:rPr>
                <w:rFonts w:ascii="Garamond" w:hAnsi="Garamond"/>
                <w:bCs/>
                <w:color w:val="000000" w:themeColor="text1"/>
                <w:kern w:val="0"/>
              </w:rPr>
              <w:t>Informed Consent in Indonesian Regulation</w:t>
            </w:r>
          </w:p>
        </w:tc>
        <w:tc>
          <w:tcPr>
            <w:tcW w:w="1281" w:type="pct"/>
            <w:vAlign w:val="center"/>
          </w:tcPr>
          <w:p w:rsidR="00F75105" w:rsidRPr="00DD05DC" w:rsidRDefault="00F75105" w:rsidP="005F2CE5">
            <w:pPr>
              <w:jc w:val="center"/>
              <w:rPr>
                <w:rFonts w:ascii="Garamond" w:hAnsi="Garamond"/>
                <w:bCs/>
                <w:color w:val="000000" w:themeColor="text1"/>
                <w:kern w:val="0"/>
              </w:rPr>
            </w:pPr>
            <w:r w:rsidRPr="00DD05DC">
              <w:rPr>
                <w:rFonts w:ascii="Garamond" w:hAnsi="Garamond"/>
                <w:bCs/>
                <w:i/>
                <w:iCs/>
                <w:color w:val="000000" w:themeColor="text1"/>
                <w:kern w:val="0"/>
              </w:rPr>
              <w:t xml:space="preserve">At-Tarā </w:t>
            </w:r>
            <w:r w:rsidRPr="00DD05DC">
              <w:rPr>
                <w:rFonts w:ascii="Cambria" w:hAnsi="Cambria" w:cs="Cambria"/>
                <w:bCs/>
                <w:i/>
                <w:iCs/>
                <w:color w:val="000000" w:themeColor="text1"/>
                <w:kern w:val="0"/>
              </w:rPr>
              <w:t>ḍ</w:t>
            </w:r>
            <w:r w:rsidRPr="00DD05DC">
              <w:rPr>
                <w:rFonts w:ascii="Garamond" w:hAnsi="Garamond" w:cs="Cambria"/>
                <w:bCs/>
                <w:i/>
                <w:iCs/>
                <w:color w:val="000000" w:themeColor="text1"/>
                <w:kern w:val="0"/>
              </w:rPr>
              <w:t xml:space="preserve"> </w:t>
            </w:r>
            <w:r w:rsidRPr="00DD05DC">
              <w:rPr>
                <w:rFonts w:ascii="Garamond" w:hAnsi="Garamond" w:cs="Garamond"/>
                <w:bCs/>
                <w:i/>
                <w:iCs/>
                <w:color w:val="000000" w:themeColor="text1"/>
                <w:kern w:val="0"/>
              </w:rPr>
              <w:t xml:space="preserve">ī </w:t>
            </w:r>
            <w:r w:rsidRPr="00DD05DC">
              <w:rPr>
                <w:rFonts w:ascii="Garamond" w:hAnsi="Garamond"/>
                <w:bCs/>
                <w:color w:val="000000" w:themeColor="text1"/>
                <w:kern w:val="0"/>
              </w:rPr>
              <w:t>Principles in Islamic Contract Law</w:t>
            </w:r>
          </w:p>
        </w:tc>
        <w:tc>
          <w:tcPr>
            <w:tcW w:w="1647" w:type="pct"/>
            <w:vAlign w:val="center"/>
          </w:tcPr>
          <w:p w:rsidR="00F75105" w:rsidRPr="00DD05DC" w:rsidRDefault="00F75105" w:rsidP="005F2CE5">
            <w:pPr>
              <w:jc w:val="center"/>
              <w:rPr>
                <w:rFonts w:ascii="Garamond" w:hAnsi="Garamond"/>
                <w:bCs/>
                <w:color w:val="000000" w:themeColor="text1"/>
                <w:kern w:val="0"/>
              </w:rPr>
            </w:pPr>
            <w:r w:rsidRPr="00DD05DC">
              <w:rPr>
                <w:rFonts w:ascii="Garamond" w:hAnsi="Garamond"/>
                <w:bCs/>
                <w:color w:val="000000" w:themeColor="text1"/>
                <w:kern w:val="0"/>
              </w:rPr>
              <w:t>Critical Notes/Reconstructive Implications</w:t>
            </w:r>
          </w:p>
        </w:tc>
      </w:tr>
      <w:tr w:rsidR="00341ACE" w:rsidRPr="00DD05DC" w:rsidTr="00341ACE">
        <w:tc>
          <w:tcPr>
            <w:tcW w:w="812" w:type="pct"/>
            <w:vAlign w:val="center"/>
          </w:tcPr>
          <w:p w:rsidR="00F75105" w:rsidRPr="00DD05DC" w:rsidRDefault="00F75105" w:rsidP="005F2CE5">
            <w:pPr>
              <w:rPr>
                <w:rFonts w:ascii="Garamond" w:hAnsi="Garamond"/>
                <w:color w:val="000000" w:themeColor="text1"/>
                <w:kern w:val="0"/>
              </w:rPr>
            </w:pPr>
            <w:r w:rsidRPr="00DD05DC">
              <w:rPr>
                <w:rFonts w:ascii="Garamond" w:hAnsi="Garamond"/>
                <w:bCs/>
                <w:color w:val="000000" w:themeColor="text1"/>
                <w:kern w:val="0"/>
              </w:rPr>
              <w:t>Normative Basis</w:t>
            </w:r>
          </w:p>
        </w:tc>
        <w:tc>
          <w:tcPr>
            <w:tcW w:w="1260"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Health Law, Government Regulations, Minister of Health Regulations, and medical ethics standards</w:t>
            </w:r>
          </w:p>
        </w:tc>
        <w:tc>
          <w:tcPr>
            <w:tcW w:w="1281"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Al-Qur'an (QS. An-Nisā' [4]: 29), hadith, and fiqh mu'āmalāt</w:t>
            </w:r>
          </w:p>
        </w:tc>
        <w:tc>
          <w:tcPr>
            <w:tcW w:w="1647" w:type="pct"/>
            <w:vAlign w:val="center"/>
          </w:tcPr>
          <w:p w:rsidR="00F75105" w:rsidRPr="00DD05DC" w:rsidRDefault="00F75105" w:rsidP="005F2CE5">
            <w:pPr>
              <w:rPr>
                <w:rFonts w:ascii="Garamond" w:hAnsi="Garamond"/>
                <w:color w:val="000000" w:themeColor="text1"/>
                <w:kern w:val="0"/>
              </w:rPr>
            </w:pPr>
            <w:r w:rsidRPr="00DD05DC">
              <w:rPr>
                <w:rFonts w:ascii="Garamond" w:hAnsi="Garamond"/>
                <w:i/>
                <w:iCs/>
                <w:color w:val="000000" w:themeColor="text1"/>
                <w:kern w:val="0"/>
              </w:rPr>
              <w:t xml:space="preserve">At-tarā </w:t>
            </w:r>
            <w:r w:rsidRPr="00DD05DC">
              <w:rPr>
                <w:rFonts w:ascii="Cambria" w:hAnsi="Cambria" w:cs="Cambria"/>
                <w:i/>
                <w:iCs/>
                <w:color w:val="000000" w:themeColor="text1"/>
                <w:kern w:val="0"/>
              </w:rPr>
              <w:t>ḍ</w:t>
            </w:r>
            <w:r w:rsidRPr="00DD05DC">
              <w:rPr>
                <w:rFonts w:ascii="Garamond" w:hAnsi="Garamond" w:cs="Cambria"/>
                <w:i/>
                <w:iCs/>
                <w:color w:val="000000" w:themeColor="text1"/>
                <w:kern w:val="0"/>
              </w:rPr>
              <w:t xml:space="preserve"> </w:t>
            </w:r>
            <w:r w:rsidRPr="00DD05DC">
              <w:rPr>
                <w:rFonts w:ascii="Garamond" w:hAnsi="Garamond" w:cs="Garamond"/>
                <w:i/>
                <w:iCs/>
                <w:color w:val="000000" w:themeColor="text1"/>
                <w:kern w:val="0"/>
              </w:rPr>
              <w:t xml:space="preserve">ī </w:t>
            </w:r>
            <w:r w:rsidRPr="00DD05DC">
              <w:rPr>
                <w:rFonts w:ascii="Garamond" w:hAnsi="Garamond"/>
                <w:color w:val="000000" w:themeColor="text1"/>
                <w:kern w:val="0"/>
              </w:rPr>
              <w:t>provides an ethical-transcendental basis that strengthens the legitimacy of medical consent.</w:t>
            </w:r>
          </w:p>
        </w:tc>
      </w:tr>
      <w:tr w:rsidR="00341ACE" w:rsidRPr="00DD05DC" w:rsidTr="00341ACE">
        <w:tc>
          <w:tcPr>
            <w:tcW w:w="812" w:type="pct"/>
            <w:vAlign w:val="center"/>
          </w:tcPr>
          <w:p w:rsidR="00F75105" w:rsidRPr="00DD05DC" w:rsidRDefault="00F75105" w:rsidP="005F2CE5">
            <w:pPr>
              <w:rPr>
                <w:rFonts w:ascii="Garamond" w:hAnsi="Garamond"/>
                <w:color w:val="000000" w:themeColor="text1"/>
                <w:kern w:val="0"/>
              </w:rPr>
            </w:pPr>
            <w:r w:rsidRPr="00DD05DC">
              <w:rPr>
                <w:rFonts w:ascii="Garamond" w:hAnsi="Garamond"/>
                <w:bCs/>
                <w:color w:val="000000" w:themeColor="text1"/>
                <w:kern w:val="0"/>
              </w:rPr>
              <w:t>The Nature of Consent</w:t>
            </w:r>
          </w:p>
        </w:tc>
        <w:tc>
          <w:tcPr>
            <w:tcW w:w="1260"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Patient consent to medical procedures after receiving an explanation</w:t>
            </w:r>
          </w:p>
        </w:tc>
        <w:tc>
          <w:tcPr>
            <w:tcW w:w="1281"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Consent and mutual agreement born of free will</w:t>
            </w:r>
          </w:p>
        </w:tc>
        <w:tc>
          <w:tcPr>
            <w:tcW w:w="1647"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 xml:space="preserve">National regulations tend to be procedural; </w:t>
            </w:r>
            <w:r w:rsidRPr="00DD05DC">
              <w:rPr>
                <w:rFonts w:ascii="Garamond" w:hAnsi="Garamond"/>
                <w:i/>
                <w:iCs/>
                <w:color w:val="000000" w:themeColor="text1"/>
                <w:kern w:val="0"/>
              </w:rPr>
              <w:t xml:space="preserve">at-tarā </w:t>
            </w:r>
            <w:r w:rsidRPr="00DD05DC">
              <w:rPr>
                <w:rFonts w:ascii="Cambria" w:hAnsi="Cambria" w:cs="Cambria"/>
                <w:i/>
                <w:iCs/>
                <w:color w:val="000000" w:themeColor="text1"/>
                <w:kern w:val="0"/>
              </w:rPr>
              <w:t>ḍ</w:t>
            </w:r>
            <w:r w:rsidRPr="00DD05DC">
              <w:rPr>
                <w:rFonts w:ascii="Garamond" w:hAnsi="Garamond" w:cs="Cambria"/>
                <w:i/>
                <w:iCs/>
                <w:color w:val="000000" w:themeColor="text1"/>
                <w:kern w:val="0"/>
              </w:rPr>
              <w:t xml:space="preserve"> </w:t>
            </w:r>
            <w:r w:rsidRPr="00DD05DC">
              <w:rPr>
                <w:rFonts w:ascii="Garamond" w:hAnsi="Garamond" w:cs="Garamond"/>
                <w:i/>
                <w:iCs/>
                <w:color w:val="000000" w:themeColor="text1"/>
                <w:kern w:val="0"/>
              </w:rPr>
              <w:t xml:space="preserve">ī </w:t>
            </w:r>
            <w:r w:rsidRPr="00DD05DC">
              <w:rPr>
                <w:rFonts w:ascii="Garamond" w:hAnsi="Garamond"/>
                <w:color w:val="000000" w:themeColor="text1"/>
                <w:kern w:val="0"/>
              </w:rPr>
              <w:t>demands substantive willingness</w:t>
            </w:r>
          </w:p>
        </w:tc>
      </w:tr>
      <w:tr w:rsidR="00341ACE" w:rsidRPr="00DD05DC" w:rsidTr="00341ACE">
        <w:tc>
          <w:tcPr>
            <w:tcW w:w="812" w:type="pct"/>
            <w:vAlign w:val="center"/>
          </w:tcPr>
          <w:p w:rsidR="00F75105" w:rsidRPr="00DD05DC" w:rsidRDefault="00F75105" w:rsidP="005F2CE5">
            <w:pPr>
              <w:rPr>
                <w:rFonts w:ascii="Garamond" w:hAnsi="Garamond"/>
                <w:color w:val="000000" w:themeColor="text1"/>
                <w:kern w:val="0"/>
              </w:rPr>
            </w:pPr>
            <w:r w:rsidRPr="00DD05DC">
              <w:rPr>
                <w:rFonts w:ascii="Garamond" w:hAnsi="Garamond"/>
                <w:bCs/>
                <w:color w:val="000000" w:themeColor="text1"/>
                <w:kern w:val="0"/>
              </w:rPr>
              <w:t>The elements</w:t>
            </w:r>
          </w:p>
        </w:tc>
        <w:tc>
          <w:tcPr>
            <w:tcW w:w="1260"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Patient competence, provision of information, consent (written/verbal)</w:t>
            </w:r>
          </w:p>
        </w:tc>
        <w:tc>
          <w:tcPr>
            <w:tcW w:w="1281"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 xml:space="preserve">Willingness ( </w:t>
            </w:r>
            <w:r w:rsidRPr="00DD05DC">
              <w:rPr>
                <w:rFonts w:ascii="Garamond" w:hAnsi="Garamond"/>
                <w:i/>
                <w:iCs/>
                <w:color w:val="000000" w:themeColor="text1"/>
                <w:kern w:val="0"/>
              </w:rPr>
              <w:t xml:space="preserve">ridā </w:t>
            </w:r>
            <w:r w:rsidRPr="00DD05DC">
              <w:rPr>
                <w:rFonts w:ascii="Garamond" w:hAnsi="Garamond"/>
                <w:color w:val="000000" w:themeColor="text1"/>
                <w:kern w:val="0"/>
              </w:rPr>
              <w:t>), ijab–qabul, clarity of the object of the contract, legal capacity</w:t>
            </w:r>
          </w:p>
        </w:tc>
        <w:tc>
          <w:tcPr>
            <w:tcW w:w="1647"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 xml:space="preserve">The element </w:t>
            </w:r>
            <w:r w:rsidRPr="00DD05DC">
              <w:rPr>
                <w:rFonts w:ascii="Garamond" w:hAnsi="Garamond"/>
                <w:i/>
                <w:iCs/>
                <w:color w:val="000000" w:themeColor="text1"/>
                <w:kern w:val="0"/>
              </w:rPr>
              <w:t xml:space="preserve">of ridā </w:t>
            </w:r>
            <w:r w:rsidRPr="00DD05DC">
              <w:rPr>
                <w:rFonts w:ascii="Garamond" w:hAnsi="Garamond"/>
                <w:color w:val="000000" w:themeColor="text1"/>
                <w:kern w:val="0"/>
              </w:rPr>
              <w:t>adds an inner dimension that is often absent in administrative practices.</w:t>
            </w:r>
          </w:p>
        </w:tc>
      </w:tr>
      <w:tr w:rsidR="00341ACE" w:rsidRPr="00DD05DC" w:rsidTr="00341ACE">
        <w:tc>
          <w:tcPr>
            <w:tcW w:w="812" w:type="pct"/>
            <w:vAlign w:val="center"/>
          </w:tcPr>
          <w:p w:rsidR="00F75105" w:rsidRPr="00DD05DC" w:rsidRDefault="00F75105" w:rsidP="005F2CE5">
            <w:pPr>
              <w:rPr>
                <w:rFonts w:ascii="Garamond" w:hAnsi="Garamond"/>
                <w:color w:val="000000" w:themeColor="text1"/>
                <w:kern w:val="0"/>
              </w:rPr>
            </w:pPr>
            <w:r w:rsidRPr="00DD05DC">
              <w:rPr>
                <w:rFonts w:ascii="Garamond" w:hAnsi="Garamond"/>
                <w:bCs/>
                <w:color w:val="000000" w:themeColor="text1"/>
                <w:kern w:val="0"/>
              </w:rPr>
              <w:t>Nature of Consent</w:t>
            </w:r>
          </w:p>
        </w:tc>
        <w:tc>
          <w:tcPr>
            <w:tcW w:w="1260"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Can be administrative and standard (standard form)</w:t>
            </w:r>
          </w:p>
        </w:tc>
        <w:tc>
          <w:tcPr>
            <w:tcW w:w="1281"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Individual, contextual, and dependent on the real understanding of the parties</w:t>
            </w:r>
          </w:p>
        </w:tc>
        <w:tc>
          <w:tcPr>
            <w:tcW w:w="1647"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 xml:space="preserve">The principle </w:t>
            </w:r>
            <w:r w:rsidRPr="00DD05DC">
              <w:rPr>
                <w:rFonts w:ascii="Garamond" w:hAnsi="Garamond"/>
                <w:i/>
                <w:iCs/>
                <w:color w:val="000000" w:themeColor="text1"/>
                <w:kern w:val="0"/>
              </w:rPr>
              <w:t xml:space="preserve">of at-tarā </w:t>
            </w:r>
            <w:r w:rsidRPr="00DD05DC">
              <w:rPr>
                <w:rFonts w:ascii="Cambria" w:hAnsi="Cambria" w:cs="Cambria"/>
                <w:i/>
                <w:iCs/>
                <w:color w:val="000000" w:themeColor="text1"/>
                <w:kern w:val="0"/>
              </w:rPr>
              <w:t>ḍ</w:t>
            </w:r>
            <w:r w:rsidRPr="00DD05DC">
              <w:rPr>
                <w:rFonts w:ascii="Garamond" w:hAnsi="Garamond" w:cs="Cambria"/>
                <w:i/>
                <w:iCs/>
                <w:color w:val="000000" w:themeColor="text1"/>
                <w:kern w:val="0"/>
              </w:rPr>
              <w:t xml:space="preserve"> </w:t>
            </w:r>
            <w:r w:rsidRPr="00DD05DC">
              <w:rPr>
                <w:rFonts w:ascii="Garamond" w:hAnsi="Garamond" w:cs="Garamond"/>
                <w:i/>
                <w:iCs/>
                <w:color w:val="000000" w:themeColor="text1"/>
                <w:kern w:val="0"/>
              </w:rPr>
              <w:t xml:space="preserve">ī </w:t>
            </w:r>
            <w:r w:rsidRPr="00DD05DC">
              <w:rPr>
                <w:rFonts w:ascii="Garamond" w:hAnsi="Garamond"/>
                <w:color w:val="000000" w:themeColor="text1"/>
                <w:kern w:val="0"/>
              </w:rPr>
              <w:t>rejects false agreement due to standard forms whose clauses are already fixed.</w:t>
            </w:r>
          </w:p>
        </w:tc>
      </w:tr>
      <w:tr w:rsidR="00341ACE" w:rsidRPr="00DD05DC" w:rsidTr="00341ACE">
        <w:tc>
          <w:tcPr>
            <w:tcW w:w="812" w:type="pct"/>
            <w:vAlign w:val="center"/>
          </w:tcPr>
          <w:p w:rsidR="00F75105" w:rsidRPr="00DD05DC" w:rsidRDefault="00F75105" w:rsidP="005F2CE5">
            <w:pPr>
              <w:rPr>
                <w:rFonts w:ascii="Garamond" w:hAnsi="Garamond"/>
                <w:color w:val="000000" w:themeColor="text1"/>
                <w:kern w:val="0"/>
              </w:rPr>
            </w:pPr>
            <w:r w:rsidRPr="00DD05DC">
              <w:rPr>
                <w:rFonts w:ascii="Garamond" w:hAnsi="Garamond"/>
                <w:bCs/>
                <w:color w:val="000000" w:themeColor="text1"/>
                <w:kern w:val="0"/>
              </w:rPr>
              <w:t>Position of the Parties</w:t>
            </w:r>
          </w:p>
        </w:tc>
        <w:tc>
          <w:tcPr>
            <w:tcW w:w="1260"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Doctor–patient relationship with knowledge gap</w:t>
            </w:r>
          </w:p>
        </w:tc>
        <w:tc>
          <w:tcPr>
            <w:tcW w:w="1281"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The parties are positioned as morally equal in the contract</w:t>
            </w:r>
          </w:p>
        </w:tc>
        <w:tc>
          <w:tcPr>
            <w:tcW w:w="1647" w:type="pct"/>
            <w:vAlign w:val="center"/>
          </w:tcPr>
          <w:p w:rsidR="00F75105" w:rsidRPr="00DD05DC" w:rsidRDefault="00F75105" w:rsidP="005F2CE5">
            <w:pPr>
              <w:rPr>
                <w:rFonts w:ascii="Garamond" w:hAnsi="Garamond"/>
                <w:color w:val="000000" w:themeColor="text1"/>
                <w:kern w:val="0"/>
              </w:rPr>
            </w:pPr>
            <w:r w:rsidRPr="00DD05DC">
              <w:rPr>
                <w:rFonts w:ascii="Garamond" w:hAnsi="Garamond"/>
                <w:i/>
                <w:iCs/>
                <w:color w:val="000000" w:themeColor="text1"/>
                <w:kern w:val="0"/>
              </w:rPr>
              <w:t xml:space="preserve">At-tarā </w:t>
            </w:r>
            <w:r w:rsidRPr="00DD05DC">
              <w:rPr>
                <w:rFonts w:ascii="Cambria" w:hAnsi="Cambria" w:cs="Cambria"/>
                <w:i/>
                <w:iCs/>
                <w:color w:val="000000" w:themeColor="text1"/>
                <w:kern w:val="0"/>
              </w:rPr>
              <w:t>ḍ</w:t>
            </w:r>
            <w:r w:rsidRPr="00DD05DC">
              <w:rPr>
                <w:rFonts w:ascii="Garamond" w:hAnsi="Garamond" w:cs="Cambria"/>
                <w:i/>
                <w:iCs/>
                <w:color w:val="000000" w:themeColor="text1"/>
                <w:kern w:val="0"/>
              </w:rPr>
              <w:t xml:space="preserve"> </w:t>
            </w:r>
            <w:r w:rsidRPr="00DD05DC">
              <w:rPr>
                <w:rFonts w:ascii="Garamond" w:hAnsi="Garamond" w:cs="Garamond"/>
                <w:i/>
                <w:iCs/>
                <w:color w:val="000000" w:themeColor="text1"/>
                <w:kern w:val="0"/>
              </w:rPr>
              <w:t xml:space="preserve">ī </w:t>
            </w:r>
            <w:r w:rsidRPr="00DD05DC">
              <w:rPr>
                <w:rFonts w:ascii="Garamond" w:hAnsi="Garamond"/>
                <w:color w:val="000000" w:themeColor="text1"/>
                <w:kern w:val="0"/>
              </w:rPr>
              <w:t>encourages legal engineering to balance asymmetric relations</w:t>
            </w:r>
          </w:p>
        </w:tc>
      </w:tr>
      <w:tr w:rsidR="00341ACE" w:rsidRPr="00DD05DC" w:rsidTr="00341ACE">
        <w:tc>
          <w:tcPr>
            <w:tcW w:w="812" w:type="pct"/>
            <w:vAlign w:val="center"/>
          </w:tcPr>
          <w:p w:rsidR="00F75105" w:rsidRPr="00DD05DC" w:rsidRDefault="00F75105" w:rsidP="005F2CE5">
            <w:pPr>
              <w:rPr>
                <w:rFonts w:ascii="Garamond" w:hAnsi="Garamond"/>
                <w:color w:val="000000" w:themeColor="text1"/>
                <w:kern w:val="0"/>
              </w:rPr>
            </w:pPr>
            <w:r w:rsidRPr="00DD05DC">
              <w:rPr>
                <w:rFonts w:ascii="Garamond" w:hAnsi="Garamond"/>
                <w:bCs/>
                <w:color w:val="000000" w:themeColor="text1"/>
                <w:kern w:val="0"/>
              </w:rPr>
              <w:t>Substantial Prohibition</w:t>
            </w:r>
          </w:p>
        </w:tc>
        <w:tc>
          <w:tcPr>
            <w:tcW w:w="1260"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Not explicitly formulated, more focused on procedural compliance</w:t>
            </w:r>
          </w:p>
        </w:tc>
        <w:tc>
          <w:tcPr>
            <w:tcW w:w="1281"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 xml:space="preserve">Prohibition of </w:t>
            </w:r>
            <w:r w:rsidRPr="00DD05DC">
              <w:rPr>
                <w:rFonts w:ascii="Garamond" w:hAnsi="Garamond"/>
                <w:i/>
                <w:iCs/>
                <w:color w:val="000000" w:themeColor="text1"/>
                <w:kern w:val="0"/>
              </w:rPr>
              <w:t xml:space="preserve">gharar </w:t>
            </w:r>
            <w:r w:rsidRPr="00DD05DC">
              <w:rPr>
                <w:rFonts w:ascii="Garamond" w:hAnsi="Garamond"/>
                <w:color w:val="000000" w:themeColor="text1"/>
                <w:kern w:val="0"/>
              </w:rPr>
              <w:t xml:space="preserve">, </w:t>
            </w:r>
            <w:r w:rsidRPr="00DD05DC">
              <w:rPr>
                <w:rFonts w:ascii="Garamond" w:hAnsi="Garamond"/>
                <w:i/>
                <w:iCs/>
                <w:color w:val="000000" w:themeColor="text1"/>
                <w:kern w:val="0"/>
              </w:rPr>
              <w:t xml:space="preserve">tadlīs </w:t>
            </w:r>
            <w:r w:rsidRPr="00DD05DC">
              <w:rPr>
                <w:rFonts w:ascii="Garamond" w:hAnsi="Garamond"/>
                <w:color w:val="000000" w:themeColor="text1"/>
                <w:kern w:val="0"/>
              </w:rPr>
              <w:t xml:space="preserve">, </w:t>
            </w:r>
            <w:r w:rsidRPr="00DD05DC">
              <w:rPr>
                <w:rFonts w:ascii="Garamond" w:hAnsi="Garamond"/>
                <w:i/>
                <w:iCs/>
                <w:color w:val="000000" w:themeColor="text1"/>
                <w:kern w:val="0"/>
              </w:rPr>
              <w:t xml:space="preserve">ikrah </w:t>
            </w:r>
            <w:r w:rsidRPr="00DD05DC">
              <w:rPr>
                <w:rFonts w:ascii="Garamond" w:hAnsi="Garamond"/>
                <w:color w:val="000000" w:themeColor="text1"/>
                <w:kern w:val="0"/>
              </w:rPr>
              <w:t>, and injustice</w:t>
            </w:r>
          </w:p>
        </w:tc>
        <w:tc>
          <w:tcPr>
            <w:tcW w:w="1647"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This principle is relevant to assessing the substantive quality of medical consent.</w:t>
            </w:r>
          </w:p>
        </w:tc>
      </w:tr>
      <w:tr w:rsidR="00341ACE" w:rsidRPr="00DD05DC" w:rsidTr="00341ACE">
        <w:tc>
          <w:tcPr>
            <w:tcW w:w="812" w:type="pct"/>
            <w:vAlign w:val="center"/>
          </w:tcPr>
          <w:p w:rsidR="00F75105" w:rsidRPr="00DD05DC" w:rsidRDefault="00F75105" w:rsidP="005F2CE5">
            <w:pPr>
              <w:rPr>
                <w:rFonts w:ascii="Garamond" w:hAnsi="Garamond"/>
                <w:color w:val="000000" w:themeColor="text1"/>
                <w:kern w:val="0"/>
              </w:rPr>
            </w:pPr>
            <w:r w:rsidRPr="00DD05DC">
              <w:rPr>
                <w:rFonts w:ascii="Garamond" w:hAnsi="Garamond"/>
                <w:bCs/>
                <w:color w:val="000000" w:themeColor="text1"/>
                <w:kern w:val="0"/>
              </w:rPr>
              <w:lastRenderedPageBreak/>
              <w:t>The main purpose</w:t>
            </w:r>
          </w:p>
        </w:tc>
        <w:tc>
          <w:tcPr>
            <w:tcW w:w="1260"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Legal protection for medical personnel and fulfillment of patient autonomy</w:t>
            </w:r>
          </w:p>
        </w:tc>
        <w:tc>
          <w:tcPr>
            <w:tcW w:w="1281"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Realizing justice, consent and legal agreements</w:t>
            </w:r>
          </w:p>
        </w:tc>
        <w:tc>
          <w:tcPr>
            <w:tcW w:w="1647" w:type="pct"/>
            <w:vAlign w:val="center"/>
          </w:tcPr>
          <w:p w:rsidR="00F75105" w:rsidRPr="00DD05DC" w:rsidRDefault="00F75105" w:rsidP="005F2CE5">
            <w:pPr>
              <w:rPr>
                <w:rFonts w:ascii="Garamond" w:hAnsi="Garamond"/>
                <w:color w:val="000000" w:themeColor="text1"/>
                <w:kern w:val="0"/>
              </w:rPr>
            </w:pPr>
            <w:r w:rsidRPr="00DD05DC">
              <w:rPr>
                <w:rFonts w:ascii="Garamond" w:hAnsi="Garamond"/>
                <w:i/>
                <w:iCs/>
                <w:color w:val="000000" w:themeColor="text1"/>
                <w:kern w:val="0"/>
              </w:rPr>
              <w:t xml:space="preserve">At-tarā </w:t>
            </w:r>
            <w:r w:rsidRPr="00DD05DC">
              <w:rPr>
                <w:rFonts w:ascii="Cambria" w:hAnsi="Cambria" w:cs="Cambria"/>
                <w:i/>
                <w:iCs/>
                <w:color w:val="000000" w:themeColor="text1"/>
                <w:kern w:val="0"/>
              </w:rPr>
              <w:t>ḍ</w:t>
            </w:r>
            <w:r w:rsidRPr="00DD05DC">
              <w:rPr>
                <w:rFonts w:ascii="Garamond" w:hAnsi="Garamond" w:cs="Cambria"/>
                <w:i/>
                <w:iCs/>
                <w:color w:val="000000" w:themeColor="text1"/>
                <w:kern w:val="0"/>
              </w:rPr>
              <w:t xml:space="preserve"> </w:t>
            </w:r>
            <w:r w:rsidRPr="00DD05DC">
              <w:rPr>
                <w:rFonts w:ascii="Garamond" w:hAnsi="Garamond" w:cs="Garamond"/>
                <w:i/>
                <w:iCs/>
                <w:color w:val="000000" w:themeColor="text1"/>
                <w:kern w:val="0"/>
              </w:rPr>
              <w:t xml:space="preserve">ī </w:t>
            </w:r>
            <w:r w:rsidRPr="00DD05DC">
              <w:rPr>
                <w:rFonts w:ascii="Garamond" w:hAnsi="Garamond"/>
                <w:color w:val="000000" w:themeColor="text1"/>
                <w:kern w:val="0"/>
              </w:rPr>
              <w:t>integrates ethical and juridical objectives simultaneously</w:t>
            </w:r>
          </w:p>
        </w:tc>
      </w:tr>
      <w:tr w:rsidR="00341ACE" w:rsidRPr="00DD05DC" w:rsidTr="00341ACE">
        <w:tc>
          <w:tcPr>
            <w:tcW w:w="812" w:type="pct"/>
            <w:vAlign w:val="center"/>
          </w:tcPr>
          <w:p w:rsidR="00F75105" w:rsidRPr="00DD05DC" w:rsidRDefault="00F75105" w:rsidP="005F2CE5">
            <w:pPr>
              <w:rPr>
                <w:rFonts w:ascii="Garamond" w:hAnsi="Garamond"/>
                <w:color w:val="000000" w:themeColor="text1"/>
                <w:kern w:val="0"/>
              </w:rPr>
            </w:pPr>
            <w:r w:rsidRPr="00DD05DC">
              <w:rPr>
                <w:rFonts w:ascii="Garamond" w:hAnsi="Garamond"/>
                <w:bCs/>
                <w:color w:val="000000" w:themeColor="text1"/>
                <w:kern w:val="0"/>
              </w:rPr>
              <w:t>Legal Orientation</w:t>
            </w:r>
          </w:p>
        </w:tc>
        <w:tc>
          <w:tcPr>
            <w:tcW w:w="1260"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Legal certainty and proof in the event of a dispute</w:t>
            </w:r>
          </w:p>
        </w:tc>
        <w:tc>
          <w:tcPr>
            <w:tcW w:w="1281"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Contractual justice and moral legitimacy of contracts</w:t>
            </w:r>
          </w:p>
        </w:tc>
        <w:tc>
          <w:tcPr>
            <w:tcW w:w="1647" w:type="pct"/>
            <w:vAlign w:val="center"/>
          </w:tcPr>
          <w:p w:rsidR="00F75105" w:rsidRPr="00DD05DC" w:rsidRDefault="00F75105" w:rsidP="005C4AB0">
            <w:pPr>
              <w:rPr>
                <w:rFonts w:ascii="Garamond" w:hAnsi="Garamond"/>
                <w:color w:val="000000" w:themeColor="text1"/>
                <w:kern w:val="0"/>
              </w:rPr>
            </w:pPr>
            <w:r w:rsidRPr="00DD05DC">
              <w:rPr>
                <w:rFonts w:ascii="Garamond" w:hAnsi="Garamond"/>
                <w:color w:val="000000" w:themeColor="text1"/>
                <w:kern w:val="0"/>
              </w:rPr>
              <w:t xml:space="preserve">Islamic law broadens the orientation of </w:t>
            </w:r>
            <w:r w:rsidRPr="00DD05DC">
              <w:rPr>
                <w:rFonts w:ascii="Garamond" w:hAnsi="Garamond"/>
                <w:i/>
                <w:iCs/>
                <w:color w:val="000000" w:themeColor="text1"/>
                <w:kern w:val="0"/>
              </w:rPr>
              <w:t xml:space="preserve">informed consent, </w:t>
            </w:r>
            <w:r w:rsidRPr="00DD05DC">
              <w:rPr>
                <w:rFonts w:ascii="Garamond" w:hAnsi="Garamond"/>
                <w:color w:val="000000" w:themeColor="text1"/>
                <w:kern w:val="0"/>
              </w:rPr>
              <w:t>not only to procedures but also to pay attention to the substance starting from the moment of intention until after the medical action is completed.</w:t>
            </w:r>
          </w:p>
        </w:tc>
      </w:tr>
      <w:tr w:rsidR="00341ACE" w:rsidRPr="00DD05DC" w:rsidTr="00341ACE">
        <w:tc>
          <w:tcPr>
            <w:tcW w:w="812" w:type="pct"/>
            <w:vAlign w:val="center"/>
          </w:tcPr>
          <w:p w:rsidR="00F75105" w:rsidRPr="00DD05DC" w:rsidRDefault="00F75105" w:rsidP="005F2CE5">
            <w:pPr>
              <w:rPr>
                <w:rFonts w:ascii="Garamond" w:hAnsi="Garamond"/>
                <w:color w:val="000000" w:themeColor="text1"/>
                <w:kern w:val="0"/>
              </w:rPr>
            </w:pPr>
            <w:r w:rsidRPr="00DD05DC">
              <w:rPr>
                <w:rFonts w:ascii="Garamond" w:hAnsi="Garamond"/>
                <w:bCs/>
                <w:color w:val="000000" w:themeColor="text1"/>
                <w:kern w:val="0"/>
              </w:rPr>
              <w:t>Implications of Defective Consent</w:t>
            </w:r>
          </w:p>
        </w:tc>
        <w:tc>
          <w:tcPr>
            <w:tcW w:w="1260"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Potential medical disputes or alleged malpractice</w:t>
            </w:r>
          </w:p>
        </w:tc>
        <w:tc>
          <w:tcPr>
            <w:tcW w:w="1281"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 xml:space="preserve">The contract can be void/fasid and open the right of </w:t>
            </w:r>
            <w:r w:rsidRPr="00DD05DC">
              <w:rPr>
                <w:rFonts w:ascii="Garamond" w:hAnsi="Garamond"/>
                <w:i/>
                <w:iCs/>
                <w:color w:val="000000" w:themeColor="text1"/>
                <w:kern w:val="0"/>
              </w:rPr>
              <w:t>khiyār</w:t>
            </w:r>
          </w:p>
        </w:tc>
        <w:tc>
          <w:tcPr>
            <w:tcW w:w="1647" w:type="pct"/>
            <w:vAlign w:val="center"/>
          </w:tcPr>
          <w:p w:rsidR="00F75105" w:rsidRPr="00DD05DC" w:rsidRDefault="00F75105" w:rsidP="005F2CE5">
            <w:pPr>
              <w:rPr>
                <w:rFonts w:ascii="Garamond" w:hAnsi="Garamond"/>
                <w:color w:val="000000" w:themeColor="text1"/>
                <w:kern w:val="0"/>
              </w:rPr>
            </w:pPr>
            <w:r w:rsidRPr="00DD05DC">
              <w:rPr>
                <w:rFonts w:ascii="Garamond" w:hAnsi="Garamond"/>
                <w:i/>
                <w:iCs/>
                <w:color w:val="000000" w:themeColor="text1"/>
                <w:kern w:val="0"/>
              </w:rPr>
              <w:t xml:space="preserve">At-tarā </w:t>
            </w:r>
            <w:r w:rsidRPr="00DD05DC">
              <w:rPr>
                <w:rFonts w:ascii="Cambria" w:hAnsi="Cambria" w:cs="Cambria"/>
                <w:i/>
                <w:iCs/>
                <w:color w:val="000000" w:themeColor="text1"/>
                <w:kern w:val="0"/>
              </w:rPr>
              <w:t>ḍ</w:t>
            </w:r>
            <w:r w:rsidRPr="00DD05DC">
              <w:rPr>
                <w:rFonts w:ascii="Garamond" w:hAnsi="Garamond" w:cs="Cambria"/>
                <w:i/>
                <w:iCs/>
                <w:color w:val="000000" w:themeColor="text1"/>
                <w:kern w:val="0"/>
              </w:rPr>
              <w:t xml:space="preserve"> </w:t>
            </w:r>
            <w:r w:rsidRPr="00DD05DC">
              <w:rPr>
                <w:rFonts w:ascii="Garamond" w:hAnsi="Garamond" w:cs="Garamond"/>
                <w:i/>
                <w:iCs/>
                <w:color w:val="000000" w:themeColor="text1"/>
                <w:kern w:val="0"/>
              </w:rPr>
              <w:t xml:space="preserve">ī </w:t>
            </w:r>
            <w:r w:rsidRPr="00DD05DC">
              <w:rPr>
                <w:rFonts w:ascii="Garamond" w:hAnsi="Garamond"/>
                <w:color w:val="000000" w:themeColor="text1"/>
                <w:kern w:val="0"/>
              </w:rPr>
              <w:t>provides normative justification for the cancellation of an unjust agreement.</w:t>
            </w:r>
          </w:p>
        </w:tc>
      </w:tr>
      <w:tr w:rsidR="00341ACE" w:rsidRPr="00DD05DC" w:rsidTr="00341ACE">
        <w:tc>
          <w:tcPr>
            <w:tcW w:w="812" w:type="pct"/>
            <w:vAlign w:val="center"/>
          </w:tcPr>
          <w:p w:rsidR="00F75105" w:rsidRPr="00DD05DC" w:rsidRDefault="00F75105" w:rsidP="005F2CE5">
            <w:pPr>
              <w:rPr>
                <w:rFonts w:ascii="Garamond" w:hAnsi="Garamond"/>
                <w:color w:val="000000" w:themeColor="text1"/>
                <w:kern w:val="0"/>
              </w:rPr>
            </w:pPr>
            <w:r w:rsidRPr="00DD05DC">
              <w:rPr>
                <w:rFonts w:ascii="Garamond" w:hAnsi="Garamond"/>
                <w:bCs/>
                <w:color w:val="000000" w:themeColor="text1"/>
                <w:kern w:val="0"/>
              </w:rPr>
              <w:t>Ethical Dimension</w:t>
            </w:r>
          </w:p>
        </w:tc>
        <w:tc>
          <w:tcPr>
            <w:tcW w:w="1260"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Separate from religious norms (neutral)</w:t>
            </w:r>
          </w:p>
        </w:tc>
        <w:tc>
          <w:tcPr>
            <w:tcW w:w="1281"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Uniting with the values of human welfare and honor</w:t>
            </w:r>
          </w:p>
        </w:tc>
        <w:tc>
          <w:tcPr>
            <w:tcW w:w="1647"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Becoming the basis for the integration of law, ethics and religion in health services</w:t>
            </w:r>
          </w:p>
        </w:tc>
      </w:tr>
      <w:tr w:rsidR="00341ACE" w:rsidRPr="00DD05DC" w:rsidTr="00341ACE">
        <w:tc>
          <w:tcPr>
            <w:tcW w:w="812" w:type="pct"/>
            <w:vAlign w:val="center"/>
          </w:tcPr>
          <w:p w:rsidR="00F75105" w:rsidRPr="00DD05DC" w:rsidRDefault="00F75105" w:rsidP="005F2CE5">
            <w:pPr>
              <w:rPr>
                <w:rFonts w:ascii="Garamond" w:hAnsi="Garamond"/>
                <w:color w:val="000000" w:themeColor="text1"/>
                <w:kern w:val="0"/>
              </w:rPr>
            </w:pPr>
            <w:r w:rsidRPr="00DD05DC">
              <w:rPr>
                <w:rFonts w:ascii="Garamond" w:hAnsi="Garamond"/>
                <w:bCs/>
                <w:color w:val="000000" w:themeColor="text1"/>
                <w:kern w:val="0"/>
              </w:rPr>
              <w:t>Implications of Defective Consent</w:t>
            </w:r>
          </w:p>
        </w:tc>
        <w:tc>
          <w:tcPr>
            <w:tcW w:w="1260"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Potential medical disputes or alleged malpractice</w:t>
            </w:r>
          </w:p>
        </w:tc>
        <w:tc>
          <w:tcPr>
            <w:tcW w:w="1281" w:type="pct"/>
            <w:vAlign w:val="center"/>
          </w:tcPr>
          <w:p w:rsidR="00F75105" w:rsidRPr="00DD05DC" w:rsidRDefault="00F75105" w:rsidP="005F2CE5">
            <w:pPr>
              <w:rPr>
                <w:rFonts w:ascii="Garamond" w:hAnsi="Garamond"/>
                <w:color w:val="000000" w:themeColor="text1"/>
                <w:kern w:val="0"/>
              </w:rPr>
            </w:pPr>
            <w:r w:rsidRPr="00DD05DC">
              <w:rPr>
                <w:rFonts w:ascii="Garamond" w:hAnsi="Garamond"/>
                <w:color w:val="000000" w:themeColor="text1"/>
                <w:kern w:val="0"/>
              </w:rPr>
              <w:t xml:space="preserve">The contract can be void/fasid and open the right of </w:t>
            </w:r>
            <w:r w:rsidRPr="00DD05DC">
              <w:rPr>
                <w:rFonts w:ascii="Garamond" w:hAnsi="Garamond"/>
                <w:i/>
                <w:iCs/>
                <w:color w:val="000000" w:themeColor="text1"/>
                <w:kern w:val="0"/>
              </w:rPr>
              <w:t>khiyār</w:t>
            </w:r>
          </w:p>
        </w:tc>
        <w:tc>
          <w:tcPr>
            <w:tcW w:w="1647" w:type="pct"/>
            <w:vAlign w:val="center"/>
          </w:tcPr>
          <w:p w:rsidR="00F75105" w:rsidRPr="00DD05DC" w:rsidRDefault="00F75105" w:rsidP="005F2CE5">
            <w:pPr>
              <w:rPr>
                <w:rFonts w:ascii="Garamond" w:hAnsi="Garamond"/>
                <w:color w:val="000000" w:themeColor="text1"/>
                <w:kern w:val="0"/>
              </w:rPr>
            </w:pPr>
            <w:r w:rsidRPr="00DD05DC">
              <w:rPr>
                <w:rFonts w:ascii="Garamond" w:hAnsi="Garamond"/>
                <w:i/>
                <w:iCs/>
                <w:color w:val="000000" w:themeColor="text1"/>
                <w:kern w:val="0"/>
              </w:rPr>
              <w:t xml:space="preserve">At-tarā </w:t>
            </w:r>
            <w:r w:rsidRPr="00DD05DC">
              <w:rPr>
                <w:rFonts w:ascii="Cambria" w:hAnsi="Cambria" w:cs="Cambria"/>
                <w:i/>
                <w:iCs/>
                <w:color w:val="000000" w:themeColor="text1"/>
                <w:kern w:val="0"/>
              </w:rPr>
              <w:t>ḍ</w:t>
            </w:r>
            <w:r w:rsidRPr="00DD05DC">
              <w:rPr>
                <w:rFonts w:ascii="Garamond" w:hAnsi="Garamond" w:cs="Cambria"/>
                <w:i/>
                <w:iCs/>
                <w:color w:val="000000" w:themeColor="text1"/>
                <w:kern w:val="0"/>
              </w:rPr>
              <w:t xml:space="preserve"> </w:t>
            </w:r>
            <w:r w:rsidRPr="00DD05DC">
              <w:rPr>
                <w:rFonts w:ascii="Garamond" w:hAnsi="Garamond" w:cs="Garamond"/>
                <w:i/>
                <w:iCs/>
                <w:color w:val="000000" w:themeColor="text1"/>
                <w:kern w:val="0"/>
              </w:rPr>
              <w:t xml:space="preserve">ī </w:t>
            </w:r>
            <w:r w:rsidRPr="00DD05DC">
              <w:rPr>
                <w:rFonts w:ascii="Garamond" w:hAnsi="Garamond"/>
                <w:color w:val="000000" w:themeColor="text1"/>
                <w:kern w:val="0"/>
              </w:rPr>
              <w:t>provides normative justification for the cancellation of an unjust agreement.</w:t>
            </w:r>
          </w:p>
        </w:tc>
      </w:tr>
    </w:tbl>
    <w:p w:rsidR="00F75105" w:rsidRPr="00DD05DC" w:rsidRDefault="00F75105" w:rsidP="00F75105">
      <w:pPr>
        <w:pStyle w:val="ListParagraph"/>
        <w:spacing w:before="100" w:beforeAutospacing="1" w:after="0" w:afterAutospacing="1" w:line="276" w:lineRule="auto"/>
        <w:ind w:left="360"/>
        <w:rPr>
          <w:rFonts w:ascii="Garamond" w:hAnsi="Garamond"/>
          <w:color w:val="000000" w:themeColor="text1"/>
        </w:rPr>
      </w:pPr>
    </w:p>
    <w:p w:rsidR="00130B4C" w:rsidRPr="00DD05DC" w:rsidRDefault="000155FA" w:rsidP="0056165A">
      <w:pPr>
        <w:pStyle w:val="ListParagraph"/>
        <w:numPr>
          <w:ilvl w:val="1"/>
          <w:numId w:val="6"/>
        </w:numPr>
        <w:spacing w:before="100" w:beforeAutospacing="1" w:after="0" w:afterAutospacing="1" w:line="276" w:lineRule="auto"/>
        <w:rPr>
          <w:rFonts w:ascii="Garamond" w:hAnsi="Garamond"/>
          <w:color w:val="000000" w:themeColor="text1"/>
        </w:rPr>
      </w:pPr>
      <w:r w:rsidRPr="00DD05DC">
        <w:rPr>
          <w:rFonts w:ascii="Garamond" w:hAnsi="Garamond"/>
          <w:color w:val="000000" w:themeColor="text1"/>
        </w:rPr>
        <w:t xml:space="preserve">concept </w:t>
      </w:r>
      <w:r w:rsidR="00F75105" w:rsidRPr="00DD05DC">
        <w:rPr>
          <w:rFonts w:ascii="Garamond" w:hAnsi="Garamond"/>
          <w:color w:val="000000" w:themeColor="text1"/>
        </w:rPr>
        <w:t xml:space="preserve">model of </w:t>
      </w:r>
      <w:r w:rsidR="00F75105" w:rsidRPr="00DD05DC">
        <w:rPr>
          <w:rFonts w:ascii="Garamond" w:hAnsi="Garamond"/>
          <w:iCs/>
          <w:color w:val="000000" w:themeColor="text1"/>
        </w:rPr>
        <w:t xml:space="preserve">Informed Consent </w:t>
      </w:r>
      <w:r w:rsidRPr="00DD05DC">
        <w:rPr>
          <w:rFonts w:ascii="Garamond" w:hAnsi="Garamond"/>
          <w:color w:val="000000" w:themeColor="text1"/>
        </w:rPr>
        <w:t xml:space="preserve">integrated with the principle of at-tarā </w:t>
      </w:r>
      <w:r w:rsidR="00130B4C" w:rsidRPr="00DD05DC">
        <w:rPr>
          <w:rFonts w:ascii="Cambria" w:hAnsi="Cambria" w:cs="Cambria"/>
          <w:color w:val="000000" w:themeColor="text1"/>
        </w:rPr>
        <w:t>ḍ</w:t>
      </w:r>
      <w:r w:rsidR="00130B4C" w:rsidRPr="00DD05DC">
        <w:rPr>
          <w:rFonts w:ascii="Garamond" w:hAnsi="Garamond" w:cs="Cambria"/>
          <w:color w:val="000000" w:themeColor="text1"/>
        </w:rPr>
        <w:t xml:space="preserve"> </w:t>
      </w:r>
      <w:r w:rsidR="00130B4C" w:rsidRPr="00DD05DC">
        <w:rPr>
          <w:rFonts w:ascii="Garamond" w:hAnsi="Garamond"/>
          <w:color w:val="000000" w:themeColor="text1"/>
        </w:rPr>
        <w:t>ī</w:t>
      </w:r>
    </w:p>
    <w:p w:rsidR="00D2373B" w:rsidRPr="00DD05DC" w:rsidRDefault="00D2373B" w:rsidP="00420676">
      <w:pPr>
        <w:pStyle w:val="ListParagraph"/>
        <w:spacing w:before="100" w:beforeAutospacing="1" w:after="0" w:afterAutospacing="1" w:line="276" w:lineRule="auto"/>
        <w:ind w:left="360" w:firstLine="349"/>
        <w:jc w:val="both"/>
        <w:rPr>
          <w:rFonts w:ascii="Garamond" w:hAnsi="Garamond"/>
          <w:color w:val="000000" w:themeColor="text1"/>
        </w:rPr>
      </w:pPr>
    </w:p>
    <w:p w:rsidR="005C4AB0" w:rsidRPr="00DD05DC" w:rsidRDefault="00E54D55" w:rsidP="005C4AB0">
      <w:pPr>
        <w:pStyle w:val="ListParagraph"/>
        <w:spacing w:after="0" w:afterAutospacing="1" w:line="360" w:lineRule="auto"/>
        <w:ind w:left="360" w:firstLine="349"/>
        <w:jc w:val="both"/>
        <w:rPr>
          <w:rFonts w:ascii="Garamond" w:hAnsi="Garamond"/>
          <w:color w:val="000000" w:themeColor="text1"/>
        </w:rPr>
      </w:pPr>
      <w:r w:rsidRPr="00DD05DC">
        <w:rPr>
          <w:rFonts w:ascii="Garamond" w:hAnsi="Garamond"/>
          <w:color w:val="000000" w:themeColor="text1"/>
        </w:rPr>
        <w:t xml:space="preserve">The reconstruction of </w:t>
      </w:r>
      <w:r w:rsidRPr="00DD05DC">
        <w:rPr>
          <w:rStyle w:val="Emphasis"/>
          <w:rFonts w:ascii="Garamond" w:hAnsi="Garamond"/>
          <w:color w:val="000000" w:themeColor="text1"/>
        </w:rPr>
        <w:t xml:space="preserve">informed consent </w:t>
      </w:r>
      <w:r w:rsidRPr="00DD05DC">
        <w:rPr>
          <w:rFonts w:ascii="Garamond" w:hAnsi="Garamond"/>
          <w:color w:val="000000" w:themeColor="text1"/>
        </w:rPr>
        <w:t xml:space="preserve">based on </w:t>
      </w:r>
      <w:r w:rsidRPr="00DD05DC">
        <w:rPr>
          <w:rStyle w:val="Emphasis"/>
          <w:rFonts w:ascii="Garamond" w:hAnsi="Garamond"/>
          <w:color w:val="000000" w:themeColor="text1"/>
        </w:rPr>
        <w:t xml:space="preserve">at-tarā </w:t>
      </w:r>
      <w:r w:rsidRPr="00DD05DC">
        <w:rPr>
          <w:rStyle w:val="Emphasis"/>
          <w:rFonts w:ascii="Cambria" w:hAnsi="Cambria" w:cs="Cambria"/>
          <w:color w:val="000000" w:themeColor="text1"/>
        </w:rPr>
        <w:t>ḍ</w:t>
      </w:r>
      <w:r w:rsidRPr="00DD05DC">
        <w:rPr>
          <w:rStyle w:val="Emphasis"/>
          <w:rFonts w:ascii="Garamond" w:hAnsi="Garamond" w:cs="Cambria"/>
          <w:color w:val="000000" w:themeColor="text1"/>
        </w:rPr>
        <w:t xml:space="preserve"> </w:t>
      </w:r>
      <w:r w:rsidRPr="00DD05DC">
        <w:rPr>
          <w:rStyle w:val="Emphasis"/>
          <w:rFonts w:ascii="Garamond" w:hAnsi="Garamond"/>
          <w:color w:val="000000" w:themeColor="text1"/>
        </w:rPr>
        <w:t xml:space="preserve">ī </w:t>
      </w:r>
      <w:r w:rsidRPr="00DD05DC">
        <w:rPr>
          <w:rFonts w:ascii="Garamond" w:hAnsi="Garamond"/>
          <w:color w:val="000000" w:themeColor="text1"/>
        </w:rPr>
        <w:t xml:space="preserve">proposed in this study offers a normative model that integrates law, ethics, and contractual justice. This model not only strengthens the legal legitimacy of consent to medical procedures but also provides a fairer and more humane basis in healthcare relationships, including in the context of </w:t>
      </w:r>
      <w:r w:rsidRPr="00DD05DC">
        <w:rPr>
          <w:rStyle w:val="Emphasis"/>
          <w:rFonts w:ascii="Garamond" w:hAnsi="Garamond"/>
          <w:color w:val="000000" w:themeColor="text1"/>
        </w:rPr>
        <w:t xml:space="preserve">informed consent </w:t>
      </w:r>
      <w:r w:rsidRPr="00DD05DC">
        <w:rPr>
          <w:rFonts w:ascii="Garamond" w:hAnsi="Garamond"/>
          <w:color w:val="000000" w:themeColor="text1"/>
        </w:rPr>
        <w:t xml:space="preserve">. </w:t>
      </w:r>
      <w:r w:rsidR="005C4AB0" w:rsidRPr="00DD05DC">
        <w:rPr>
          <w:rFonts w:ascii="Garamond" w:hAnsi="Garamond" w:cs="Arial"/>
          <w:color w:val="000000" w:themeColor="text1"/>
          <w:shd w:val="clear" w:color="auto" w:fill="FFFFFF"/>
        </w:rPr>
        <w:t xml:space="preserve">The maqā </w:t>
      </w:r>
      <w:r w:rsidR="005C4AB0" w:rsidRPr="00DD05DC">
        <w:rPr>
          <w:rFonts w:ascii="Cambria" w:hAnsi="Cambria" w:cs="Cambria"/>
          <w:color w:val="000000" w:themeColor="text1"/>
          <w:shd w:val="clear" w:color="auto" w:fill="FFFFFF"/>
        </w:rPr>
        <w:t>ṣ</w:t>
      </w:r>
      <w:r w:rsidR="005C4AB0" w:rsidRPr="00DD05DC">
        <w:rPr>
          <w:rFonts w:ascii="Garamond" w:hAnsi="Garamond" w:cs="Cambria"/>
          <w:color w:val="000000" w:themeColor="text1"/>
          <w:shd w:val="clear" w:color="auto" w:fill="FFFFFF"/>
        </w:rPr>
        <w:t xml:space="preserve"> </w:t>
      </w:r>
      <w:r w:rsidR="005C4AB0" w:rsidRPr="00DD05DC">
        <w:rPr>
          <w:rFonts w:ascii="Garamond" w:hAnsi="Garamond" w:cs="Arial"/>
          <w:color w:val="000000" w:themeColor="text1"/>
          <w:shd w:val="clear" w:color="auto" w:fill="FFFFFF"/>
        </w:rPr>
        <w:t>id shari'ah demands comprehensive protection of the human body.</w:t>
      </w:r>
      <w:r w:rsidR="00736FEA" w:rsidRPr="00DD05DC">
        <w:rPr>
          <w:rStyle w:val="FootnoteReference"/>
          <w:rFonts w:ascii="Garamond" w:hAnsi="Garamond"/>
          <w:color w:val="000000" w:themeColor="text1"/>
        </w:rPr>
        <w:footnoteReference w:id="33"/>
      </w:r>
      <w:r w:rsidR="005C4AB0" w:rsidRPr="00DD05DC">
        <w:rPr>
          <w:rFonts w:ascii="Garamond" w:hAnsi="Garamond" w:cs="Arial"/>
          <w:color w:val="000000" w:themeColor="text1"/>
          <w:shd w:val="clear" w:color="auto" w:fill="FFFFFF"/>
        </w:rPr>
        <w:t xml:space="preserve"> </w:t>
      </w:r>
      <w:r w:rsidR="005C4AB0" w:rsidRPr="00DD05DC">
        <w:rPr>
          <w:rFonts w:ascii="Garamond" w:hAnsi="Garamond"/>
          <w:color w:val="000000" w:themeColor="text1"/>
        </w:rPr>
        <w:t>Legal protection is the fulfillment of basic rights that are inherent and protected by the 1945 Constitution, Article 1 paragraph 3, which states that "The State of Indonesia is a state of law." This means that Indonesia stands on the law and guarantees justice for its citizens.</w:t>
      </w:r>
      <w:r w:rsidR="005C4AB0" w:rsidRPr="00DD05DC">
        <w:rPr>
          <w:rStyle w:val="FootnoteReference"/>
          <w:rFonts w:ascii="Garamond" w:hAnsi="Garamond"/>
          <w:color w:val="000000" w:themeColor="text1"/>
        </w:rPr>
        <w:footnoteReference w:id="34"/>
      </w:r>
    </w:p>
    <w:p w:rsidR="00C50BCA" w:rsidRPr="00DD05DC" w:rsidRDefault="00825955" w:rsidP="00C50BCA">
      <w:pPr>
        <w:pStyle w:val="ListParagraph"/>
        <w:spacing w:after="0" w:afterAutospacing="1" w:line="360" w:lineRule="auto"/>
        <w:ind w:left="360" w:firstLine="349"/>
        <w:jc w:val="both"/>
        <w:rPr>
          <w:rFonts w:ascii="Garamond" w:hAnsi="Garamond"/>
          <w:color w:val="000000" w:themeColor="text1"/>
        </w:rPr>
      </w:pPr>
      <w:r w:rsidRPr="00DD05DC">
        <w:rPr>
          <w:rFonts w:ascii="Garamond" w:hAnsi="Garamond"/>
          <w:color w:val="000000" w:themeColor="text1"/>
        </w:rPr>
        <w:lastRenderedPageBreak/>
        <w:t xml:space="preserve">Reconceptualization of consent for medical procedures must include essential elements that are in line with Islamic contract law, particularly in ensuring the authenticity </w:t>
      </w:r>
      <w:r w:rsidR="00DC5062" w:rsidRPr="00DD05DC">
        <w:rPr>
          <w:rFonts w:ascii="Garamond" w:hAnsi="Garamond"/>
          <w:i/>
          <w:iCs/>
          <w:color w:val="000000" w:themeColor="text1"/>
        </w:rPr>
        <w:t xml:space="preserve">of at-tarā </w:t>
      </w:r>
      <w:r w:rsidR="00DC5062" w:rsidRPr="00DD05DC">
        <w:rPr>
          <w:rFonts w:ascii="Cambria" w:hAnsi="Cambria" w:cs="Cambria"/>
          <w:i/>
          <w:iCs/>
          <w:color w:val="000000" w:themeColor="text1"/>
        </w:rPr>
        <w:t>ḍ</w:t>
      </w:r>
      <w:r w:rsidR="00DC5062" w:rsidRPr="00DD05DC">
        <w:rPr>
          <w:rFonts w:ascii="Garamond" w:hAnsi="Garamond" w:cs="Cambria"/>
          <w:i/>
          <w:iCs/>
          <w:color w:val="000000" w:themeColor="text1"/>
        </w:rPr>
        <w:t xml:space="preserve"> </w:t>
      </w:r>
      <w:r w:rsidR="00DC5062" w:rsidRPr="00DD05DC">
        <w:rPr>
          <w:rFonts w:ascii="Garamond" w:hAnsi="Garamond"/>
          <w:i/>
          <w:iCs/>
          <w:color w:val="000000" w:themeColor="text1"/>
        </w:rPr>
        <w:t xml:space="preserve">ī. </w:t>
      </w:r>
      <w:r w:rsidRPr="00DD05DC">
        <w:rPr>
          <w:rFonts w:ascii="Garamond" w:hAnsi="Garamond"/>
          <w:color w:val="000000" w:themeColor="text1"/>
        </w:rPr>
        <w:t>Literature on Islamic contracts emphasizes that every contract must fulfill elements such as voluntary agreement (ridā / consent), clarity of the object of the contract, transparency of information, and good faith.</w:t>
      </w:r>
      <w:r w:rsidR="00736FEA" w:rsidRPr="00DD05DC">
        <w:rPr>
          <w:rStyle w:val="FootnoteReference"/>
          <w:rFonts w:ascii="Garamond" w:hAnsi="Garamond"/>
          <w:color w:val="000000" w:themeColor="text1"/>
        </w:rPr>
        <w:footnoteReference w:id="35"/>
      </w:r>
      <w:r w:rsidR="00420676" w:rsidRPr="00DD05DC">
        <w:rPr>
          <w:rFonts w:ascii="Garamond" w:hAnsi="Garamond"/>
          <w:color w:val="000000" w:themeColor="text1"/>
        </w:rPr>
        <w:t xml:space="preserve"> </w:t>
      </w:r>
      <w:r w:rsidR="00F813BD" w:rsidRPr="00DD05DC">
        <w:rPr>
          <w:rFonts w:ascii="Garamond" w:hAnsi="Garamond"/>
          <w:color w:val="000000" w:themeColor="text1"/>
        </w:rPr>
        <w:t>This is intended to provide legal protection to patients.</w:t>
      </w:r>
    </w:p>
    <w:p w:rsidR="00C50BCA" w:rsidRPr="00DD05DC" w:rsidRDefault="00F813BD" w:rsidP="00C50BCA">
      <w:pPr>
        <w:pStyle w:val="ListParagraph"/>
        <w:spacing w:after="0" w:afterAutospacing="1" w:line="360" w:lineRule="auto"/>
        <w:ind w:left="360" w:firstLine="349"/>
        <w:jc w:val="both"/>
        <w:rPr>
          <w:rFonts w:ascii="Garamond" w:hAnsi="Garamond"/>
          <w:color w:val="000000" w:themeColor="text1"/>
        </w:rPr>
      </w:pPr>
      <w:r w:rsidRPr="00DD05DC">
        <w:rPr>
          <w:rFonts w:ascii="Garamond" w:hAnsi="Garamond"/>
          <w:color w:val="000000" w:themeColor="text1"/>
        </w:rPr>
        <w:t xml:space="preserve">Legal protection is the fulfillment of basic rights that are inherent and protected by the 1945 Constitution Article 1 paragraph 3 which states that "The State of Indonesia is a state of law." This means that Indonesia stands on the law and guarantees justice for its citizens. </w:t>
      </w:r>
      <w:r w:rsidRPr="00DD05DC">
        <w:rPr>
          <w:rStyle w:val="FootnoteReference"/>
          <w:rFonts w:ascii="Garamond" w:hAnsi="Garamond"/>
          <w:color w:val="000000" w:themeColor="text1"/>
        </w:rPr>
        <w:footnoteReference w:id="36"/>
      </w:r>
      <w:r w:rsidRPr="00DD05DC">
        <w:rPr>
          <w:rFonts w:ascii="Garamond" w:hAnsi="Garamond"/>
          <w:color w:val="000000" w:themeColor="text1"/>
        </w:rPr>
        <w:t xml:space="preserve">The Big Indonesian Dictionary (KBBI), defines protection as: (1) a place of shelter, (2) actions or things and so on </w:t>
      </w:r>
      <w:r w:rsidR="00772C78" w:rsidRPr="00DD05DC">
        <w:rPr>
          <w:rFonts w:ascii="Garamond" w:hAnsi="Garamond"/>
          <w:color w:val="000000" w:themeColor="text1"/>
          <w:lang w:val="id-ID"/>
        </w:rPr>
        <w:t xml:space="preserve">that </w:t>
      </w:r>
      <w:r w:rsidR="00772C78" w:rsidRPr="00DD05DC">
        <w:rPr>
          <w:rFonts w:ascii="Garamond" w:hAnsi="Garamond"/>
          <w:color w:val="000000" w:themeColor="text1"/>
        </w:rPr>
        <w:t>protect. Based on this definition, protection is interpreted as the act of protecting, for example providing protection to the weak. Protection in general means protecting something from things that are dangerous or more negative.</w:t>
      </w:r>
      <w:r w:rsidR="00772C78" w:rsidRPr="00DD05DC">
        <w:rPr>
          <w:rStyle w:val="FootnoteReference"/>
          <w:rFonts w:ascii="Garamond" w:hAnsi="Garamond"/>
          <w:color w:val="000000" w:themeColor="text1"/>
        </w:rPr>
        <w:footnoteReference w:id="37"/>
      </w:r>
    </w:p>
    <w:p w:rsidR="00420676" w:rsidRPr="00DD05DC" w:rsidRDefault="00420676" w:rsidP="00C50BCA">
      <w:pPr>
        <w:pStyle w:val="ListParagraph"/>
        <w:spacing w:after="0" w:afterAutospacing="1" w:line="360" w:lineRule="auto"/>
        <w:ind w:left="360" w:firstLine="349"/>
        <w:jc w:val="both"/>
        <w:rPr>
          <w:rFonts w:ascii="Garamond" w:hAnsi="Garamond"/>
          <w:color w:val="000000" w:themeColor="text1"/>
        </w:rPr>
      </w:pPr>
      <w:r w:rsidRPr="00DD05DC">
        <w:rPr>
          <w:rFonts w:ascii="Garamond" w:hAnsi="Garamond"/>
          <w:color w:val="000000" w:themeColor="text1"/>
        </w:rPr>
        <w:t xml:space="preserve">Reconceptualizing </w:t>
      </w:r>
      <w:r w:rsidRPr="00DD05DC">
        <w:rPr>
          <w:rFonts w:ascii="Garamond" w:hAnsi="Garamond"/>
          <w:i/>
          <w:iCs/>
          <w:color w:val="000000" w:themeColor="text1"/>
        </w:rPr>
        <w:t xml:space="preserve">Informed Consent </w:t>
      </w:r>
      <w:r w:rsidRPr="00DD05DC">
        <w:rPr>
          <w:rFonts w:ascii="Garamond" w:hAnsi="Garamond"/>
          <w:color w:val="000000" w:themeColor="text1"/>
        </w:rPr>
        <w:t xml:space="preserve">through the lens of </w:t>
      </w:r>
      <w:r w:rsidRPr="00DD05DC">
        <w:rPr>
          <w:rFonts w:ascii="Garamond" w:hAnsi="Garamond"/>
          <w:bCs/>
          <w:i/>
          <w:iCs/>
          <w:color w:val="000000" w:themeColor="text1"/>
        </w:rPr>
        <w:t>the At-Tarā</w:t>
      </w:r>
      <w:r w:rsidRPr="00DD05DC">
        <w:rPr>
          <w:rFonts w:ascii="Cambria" w:hAnsi="Cambria" w:cs="Cambria"/>
          <w:bCs/>
          <w:i/>
          <w:iCs/>
          <w:color w:val="000000" w:themeColor="text1"/>
        </w:rPr>
        <w:t>ḍ</w:t>
      </w:r>
      <w:r w:rsidRPr="00DD05DC">
        <w:rPr>
          <w:rFonts w:ascii="Garamond" w:hAnsi="Garamond"/>
          <w:bCs/>
          <w:i/>
          <w:iCs/>
          <w:color w:val="000000" w:themeColor="text1"/>
        </w:rPr>
        <w:t xml:space="preserve">ī </w:t>
      </w:r>
      <w:r w:rsidRPr="00DD05DC">
        <w:rPr>
          <w:rFonts w:ascii="Garamond" w:hAnsi="Garamond" w:cs="Garamond"/>
          <w:bCs/>
          <w:i/>
          <w:iCs/>
          <w:color w:val="000000" w:themeColor="text1"/>
        </w:rPr>
        <w:t xml:space="preserve">Principle </w:t>
      </w:r>
      <w:r w:rsidRPr="00DD05DC">
        <w:rPr>
          <w:rFonts w:ascii="Garamond" w:hAnsi="Garamond" w:cs="Cambria"/>
          <w:bCs/>
          <w:i/>
          <w:iCs/>
          <w:color w:val="000000" w:themeColor="text1"/>
        </w:rPr>
        <w:t xml:space="preserve">serves </w:t>
      </w:r>
      <w:r w:rsidRPr="00DD05DC">
        <w:rPr>
          <w:rFonts w:ascii="Garamond" w:hAnsi="Garamond"/>
          <w:bCs/>
          <w:color w:val="000000" w:themeColor="text1"/>
        </w:rPr>
        <w:t xml:space="preserve">as </w:t>
      </w:r>
      <w:r w:rsidRPr="00DD05DC">
        <w:rPr>
          <w:rFonts w:ascii="Garamond" w:hAnsi="Garamond"/>
          <w:color w:val="000000" w:themeColor="text1"/>
        </w:rPr>
        <w:t xml:space="preserve">an ethical and substantive filter for formal regulations in Indonesia. While positive law focuses on </w:t>
      </w:r>
      <w:r w:rsidRPr="00DD05DC">
        <w:rPr>
          <w:rFonts w:ascii="Garamond" w:hAnsi="Garamond"/>
          <w:bCs/>
          <w:color w:val="000000" w:themeColor="text1"/>
        </w:rPr>
        <w:t xml:space="preserve">procedural compliance </w:t>
      </w:r>
      <w:r w:rsidRPr="00DD05DC">
        <w:rPr>
          <w:rFonts w:ascii="Garamond" w:hAnsi="Garamond"/>
          <w:color w:val="000000" w:themeColor="text1"/>
        </w:rPr>
        <w:t xml:space="preserve">( </w:t>
      </w:r>
      <w:r w:rsidRPr="00DD05DC">
        <w:rPr>
          <w:rFonts w:ascii="Garamond" w:hAnsi="Garamond"/>
          <w:i/>
          <w:iCs/>
          <w:color w:val="000000" w:themeColor="text1"/>
        </w:rPr>
        <w:t xml:space="preserve">written, stamped, age </w:t>
      </w:r>
      <w:r w:rsidRPr="00DD05DC">
        <w:rPr>
          <w:rFonts w:ascii="Garamond" w:hAnsi="Garamond"/>
          <w:color w:val="000000" w:themeColor="text1"/>
        </w:rPr>
        <w:t xml:space="preserve">), </w:t>
      </w:r>
      <w:r w:rsidRPr="00DD05DC">
        <w:rPr>
          <w:rFonts w:ascii="Garamond" w:hAnsi="Garamond"/>
          <w:i/>
          <w:iCs/>
          <w:color w:val="000000" w:themeColor="text1"/>
        </w:rPr>
        <w:t xml:space="preserve">Fiqh Muamalat </w:t>
      </w:r>
      <w:r w:rsidRPr="00DD05DC">
        <w:rPr>
          <w:rFonts w:ascii="Garamond" w:hAnsi="Garamond"/>
          <w:color w:val="000000" w:themeColor="text1"/>
        </w:rPr>
        <w:t xml:space="preserve">demands </w:t>
      </w:r>
      <w:r w:rsidRPr="00DD05DC">
        <w:rPr>
          <w:rFonts w:ascii="Garamond" w:hAnsi="Garamond"/>
          <w:bCs/>
          <w:color w:val="000000" w:themeColor="text1"/>
        </w:rPr>
        <w:t xml:space="preserve">authentic consent </w:t>
      </w:r>
      <w:r w:rsidRPr="00DD05DC">
        <w:rPr>
          <w:rFonts w:ascii="Garamond" w:hAnsi="Garamond"/>
          <w:color w:val="000000" w:themeColor="text1"/>
        </w:rPr>
        <w:t xml:space="preserve">that is free from </w:t>
      </w:r>
      <w:r w:rsidRPr="00DD05DC">
        <w:rPr>
          <w:rFonts w:ascii="Garamond" w:hAnsi="Garamond"/>
          <w:i/>
          <w:iCs/>
          <w:color w:val="000000" w:themeColor="text1"/>
        </w:rPr>
        <w:t xml:space="preserve">gharar </w:t>
      </w:r>
      <w:r w:rsidRPr="00DD05DC">
        <w:rPr>
          <w:rFonts w:ascii="Garamond" w:hAnsi="Garamond"/>
          <w:color w:val="000000" w:themeColor="text1"/>
        </w:rPr>
        <w:t xml:space="preserve">(uncertainty) and based on </w:t>
      </w:r>
      <w:r w:rsidRPr="00DD05DC">
        <w:rPr>
          <w:rFonts w:ascii="Garamond" w:hAnsi="Garamond"/>
          <w:i/>
          <w:iCs/>
          <w:color w:val="000000" w:themeColor="text1"/>
        </w:rPr>
        <w:t xml:space="preserve">full disclosure </w:t>
      </w:r>
      <w:r w:rsidRPr="00DD05DC">
        <w:rPr>
          <w:rFonts w:ascii="Garamond" w:hAnsi="Garamond"/>
          <w:color w:val="000000" w:themeColor="text1"/>
        </w:rPr>
        <w:t xml:space="preserve">and aimed at </w:t>
      </w:r>
      <w:r w:rsidRPr="00DD05DC">
        <w:rPr>
          <w:rFonts w:ascii="Garamond" w:hAnsi="Garamond"/>
          <w:bCs/>
          <w:color w:val="000000" w:themeColor="text1"/>
        </w:rPr>
        <w:t xml:space="preserve">the benefit </w:t>
      </w:r>
      <w:r w:rsidRPr="00DD05DC">
        <w:rPr>
          <w:rFonts w:ascii="Garamond" w:hAnsi="Garamond"/>
          <w:color w:val="000000" w:themeColor="text1"/>
        </w:rPr>
        <w:t xml:space="preserve">( </w:t>
      </w:r>
      <w:r w:rsidRPr="00DD05DC">
        <w:rPr>
          <w:rFonts w:ascii="Garamond" w:hAnsi="Garamond"/>
          <w:i/>
          <w:iCs/>
          <w:color w:val="000000" w:themeColor="text1"/>
        </w:rPr>
        <w:t xml:space="preserve">Maslahah </w:t>
      </w:r>
      <w:r w:rsidRPr="00DD05DC">
        <w:rPr>
          <w:rFonts w:ascii="Garamond" w:hAnsi="Garamond"/>
          <w:color w:val="000000" w:themeColor="text1"/>
        </w:rPr>
        <w:t>).</w:t>
      </w:r>
    </w:p>
    <w:p w:rsidR="005A1E70" w:rsidRPr="00DD05DC" w:rsidRDefault="000155FA" w:rsidP="00C50BCA">
      <w:pPr>
        <w:pStyle w:val="ListParagraph"/>
        <w:spacing w:after="0" w:afterAutospacing="1" w:line="360" w:lineRule="auto"/>
        <w:ind w:left="360" w:firstLine="349"/>
        <w:jc w:val="both"/>
        <w:rPr>
          <w:rStyle w:val="Emphasis"/>
          <w:rFonts w:ascii="Garamond" w:hAnsi="Garamond"/>
          <w:i w:val="0"/>
          <w:color w:val="000000" w:themeColor="text1"/>
        </w:rPr>
      </w:pPr>
      <w:r w:rsidRPr="00DD05DC">
        <w:rPr>
          <w:rFonts w:ascii="Garamond" w:hAnsi="Garamond"/>
          <w:color w:val="000000" w:themeColor="text1"/>
        </w:rPr>
        <w:t xml:space="preserve">The flow of informed consent integrated with </w:t>
      </w:r>
      <w:r w:rsidR="005F2CE5" w:rsidRPr="00DD05DC">
        <w:rPr>
          <w:rStyle w:val="Emphasis"/>
          <w:rFonts w:ascii="Garamond" w:hAnsi="Garamond"/>
          <w:color w:val="000000" w:themeColor="text1"/>
        </w:rPr>
        <w:t xml:space="preserve">the at-tarā </w:t>
      </w:r>
      <w:r w:rsidR="005F2CE5" w:rsidRPr="00DD05DC">
        <w:rPr>
          <w:rStyle w:val="Emphasis"/>
          <w:rFonts w:ascii="Cambria" w:hAnsi="Cambria" w:cs="Cambria"/>
          <w:color w:val="000000" w:themeColor="text1"/>
        </w:rPr>
        <w:t>ḍ</w:t>
      </w:r>
      <w:r w:rsidR="005F2CE5" w:rsidRPr="00DD05DC">
        <w:rPr>
          <w:rStyle w:val="Emphasis"/>
          <w:rFonts w:ascii="Garamond" w:hAnsi="Garamond" w:cs="Cambria"/>
          <w:color w:val="000000" w:themeColor="text1"/>
        </w:rPr>
        <w:t xml:space="preserve"> </w:t>
      </w:r>
      <w:r w:rsidR="005F2CE5" w:rsidRPr="00DD05DC">
        <w:rPr>
          <w:rStyle w:val="Emphasis"/>
          <w:rFonts w:ascii="Garamond" w:hAnsi="Garamond"/>
          <w:color w:val="000000" w:themeColor="text1"/>
        </w:rPr>
        <w:t xml:space="preserve">ī principle </w:t>
      </w:r>
      <w:r w:rsidR="005F2CE5" w:rsidRPr="00DD05DC">
        <w:rPr>
          <w:rStyle w:val="Emphasis"/>
          <w:rFonts w:ascii="Garamond" w:hAnsi="Garamond"/>
          <w:i w:val="0"/>
          <w:color w:val="000000" w:themeColor="text1"/>
        </w:rPr>
        <w:t>is as follows:</w:t>
      </w:r>
    </w:p>
    <w:p w:rsidR="005F2CE5" w:rsidRPr="00DD05DC" w:rsidRDefault="005F2CE5" w:rsidP="005F2CE5">
      <w:pPr>
        <w:pStyle w:val="ListParagraph"/>
        <w:numPr>
          <w:ilvl w:val="0"/>
          <w:numId w:val="30"/>
        </w:numPr>
        <w:spacing w:after="0" w:afterAutospacing="1" w:line="360" w:lineRule="auto"/>
        <w:ind w:left="709"/>
        <w:jc w:val="both"/>
        <w:rPr>
          <w:rStyle w:val="Emphasis"/>
          <w:rFonts w:ascii="Garamond" w:hAnsi="Garamond"/>
          <w:i w:val="0"/>
          <w:iCs w:val="0"/>
          <w:color w:val="000000" w:themeColor="text1"/>
        </w:rPr>
      </w:pPr>
      <w:r w:rsidRPr="00DD05DC">
        <w:rPr>
          <w:rStyle w:val="Emphasis"/>
          <w:rFonts w:ascii="Garamond" w:hAnsi="Garamond"/>
          <w:i w:val="0"/>
          <w:color w:val="000000" w:themeColor="text1"/>
        </w:rPr>
        <w:t>Medical information</w:t>
      </w:r>
    </w:p>
    <w:p w:rsidR="000155FA" w:rsidRPr="00DD05DC" w:rsidRDefault="007D3828" w:rsidP="000155FA">
      <w:pPr>
        <w:spacing w:after="0" w:afterAutospacing="1" w:line="360" w:lineRule="auto"/>
        <w:ind w:left="709" w:firstLine="709"/>
        <w:jc w:val="both"/>
        <w:rPr>
          <w:rStyle w:val="Emphasis"/>
          <w:rFonts w:ascii="Garamond" w:hAnsi="Garamond"/>
          <w:i w:val="0"/>
          <w:color w:val="000000" w:themeColor="text1"/>
        </w:rPr>
      </w:pPr>
      <w:r w:rsidRPr="00DD05DC">
        <w:rPr>
          <w:rStyle w:val="Emphasis"/>
          <w:rFonts w:ascii="Garamond" w:hAnsi="Garamond"/>
          <w:i w:val="0"/>
          <w:color w:val="000000" w:themeColor="text1"/>
        </w:rPr>
        <w:t xml:space="preserve">The normative flow for forming valid medical consent in the integrated informed </w:t>
      </w:r>
      <w:r w:rsidRPr="00DD05DC">
        <w:rPr>
          <w:rFonts w:ascii="Garamond" w:hAnsi="Garamond"/>
          <w:iCs/>
          <w:color w:val="000000" w:themeColor="text1"/>
        </w:rPr>
        <w:t xml:space="preserve">consent model based on </w:t>
      </w:r>
      <w:r w:rsidRPr="00DD05DC">
        <w:rPr>
          <w:rFonts w:ascii="Garamond" w:hAnsi="Garamond"/>
          <w:i/>
          <w:color w:val="000000" w:themeColor="text1"/>
        </w:rPr>
        <w:t xml:space="preserve">the at-tarodi </w:t>
      </w:r>
      <w:r w:rsidRPr="00DD05DC">
        <w:rPr>
          <w:rStyle w:val="Emphasis"/>
          <w:rFonts w:ascii="Garamond" w:hAnsi="Garamond"/>
          <w:i w:val="0"/>
          <w:color w:val="000000" w:themeColor="text1"/>
        </w:rPr>
        <w:t>principle , starts from the delivery of honest and relevant medical information by medical personnel, which becomes the opening for the formation of adequate patient understanding.</w:t>
      </w:r>
    </w:p>
    <w:p w:rsidR="005F2CE5" w:rsidRPr="00DD05DC" w:rsidRDefault="005F2CE5" w:rsidP="000155FA">
      <w:pPr>
        <w:spacing w:after="0" w:afterAutospacing="1" w:line="360" w:lineRule="auto"/>
        <w:ind w:left="709" w:firstLine="709"/>
        <w:jc w:val="both"/>
        <w:rPr>
          <w:rFonts w:ascii="Garamond" w:hAnsi="Garamond"/>
          <w:iCs/>
          <w:color w:val="000000" w:themeColor="text1"/>
        </w:rPr>
      </w:pPr>
      <w:r w:rsidRPr="00DD05DC">
        <w:rPr>
          <w:rFonts w:ascii="Garamond" w:hAnsi="Garamond"/>
          <w:color w:val="000000" w:themeColor="text1"/>
        </w:rPr>
        <w:t xml:space="preserve">Information must meet minimum standards: diagnosis, purpose, procedural steps, benefits, risks (probabilistic), real alternatives (including non-treatment options), and consequences of refusal. Information should be provided in a language the patient can understand, using assistive devices if necessary. Physicians, as the expert providers, are </w:t>
      </w:r>
      <w:r w:rsidRPr="00DD05DC">
        <w:rPr>
          <w:rFonts w:ascii="Garamond" w:hAnsi="Garamond"/>
          <w:color w:val="000000" w:themeColor="text1"/>
        </w:rPr>
        <w:lastRenderedPageBreak/>
        <w:t>entrusted with the responsibility to convey medical information accurately. According to Vogel &amp; Hayes, trust is a moral pillar of every Islamic contract.</w:t>
      </w:r>
      <w:r w:rsidRPr="00DD05DC">
        <w:rPr>
          <w:rStyle w:val="FootnoteReference"/>
          <w:rFonts w:ascii="Garamond" w:hAnsi="Garamond"/>
          <w:color w:val="000000" w:themeColor="text1"/>
        </w:rPr>
        <w:footnoteReference w:id="38"/>
      </w:r>
    </w:p>
    <w:p w:rsidR="005F2CE5" w:rsidRPr="00DD05DC" w:rsidRDefault="005F2CE5" w:rsidP="005F2CE5">
      <w:pPr>
        <w:spacing w:after="0" w:afterAutospacing="1" w:line="360" w:lineRule="auto"/>
        <w:ind w:left="709" w:firstLine="709"/>
        <w:jc w:val="both"/>
        <w:rPr>
          <w:rFonts w:ascii="Garamond" w:hAnsi="Garamond"/>
          <w:color w:val="000000" w:themeColor="text1"/>
        </w:rPr>
      </w:pPr>
      <w:r w:rsidRPr="00DD05DC">
        <w:rPr>
          <w:rFonts w:ascii="Garamond" w:hAnsi="Garamond"/>
          <w:color w:val="000000" w:themeColor="text1"/>
        </w:rPr>
        <w:t xml:space="preserve">Consent is considered invalid if it is not preceded by understanding. According to Kamali, </w:t>
      </w:r>
      <w:r w:rsidR="000155FA" w:rsidRPr="00DD05DC">
        <w:rPr>
          <w:rStyle w:val="Emphasis"/>
          <w:rFonts w:ascii="Garamond" w:hAnsi="Garamond"/>
          <w:color w:val="000000" w:themeColor="text1"/>
        </w:rPr>
        <w:t xml:space="preserve">informed consent </w:t>
      </w:r>
      <w:r w:rsidRPr="00DD05DC">
        <w:rPr>
          <w:rFonts w:ascii="Garamond" w:hAnsi="Garamond"/>
          <w:color w:val="000000" w:themeColor="text1"/>
        </w:rPr>
        <w:t xml:space="preserve">in Islam requires sufficient information to prevent the parties to the contract from being deceived or misled. </w:t>
      </w:r>
      <w:r w:rsidRPr="00DD05DC">
        <w:rPr>
          <w:rStyle w:val="FootnoteReference"/>
          <w:rFonts w:ascii="Garamond" w:hAnsi="Garamond"/>
          <w:color w:val="000000" w:themeColor="text1"/>
        </w:rPr>
        <w:footnoteReference w:id="39"/>
      </w:r>
      <w:r w:rsidRPr="00DD05DC">
        <w:rPr>
          <w:rFonts w:ascii="Garamond" w:hAnsi="Garamond"/>
          <w:color w:val="000000" w:themeColor="text1"/>
        </w:rPr>
        <w:t xml:space="preserve">When </w:t>
      </w:r>
      <w:r w:rsidRPr="00DD05DC">
        <w:rPr>
          <w:rFonts w:ascii="Garamond" w:hAnsi="Garamond" w:cs="Arial"/>
          <w:color w:val="000000" w:themeColor="text1"/>
          <w:shd w:val="clear" w:color="auto" w:fill="FFFFFF"/>
        </w:rPr>
        <w:t xml:space="preserve">creating a contract, communication between the parties must occur, meaning that every aspect of the contract to be agreed upon must be discussed and explained transparently and in detail </w:t>
      </w:r>
      <w:r w:rsidR="00736FEA" w:rsidRPr="00DD05DC">
        <w:rPr>
          <w:rStyle w:val="FootnoteReference"/>
          <w:rFonts w:ascii="Garamond" w:hAnsi="Garamond"/>
          <w:color w:val="000000" w:themeColor="text1"/>
        </w:rPr>
        <w:footnoteReference w:id="40"/>
      </w:r>
      <w:r w:rsidRPr="00DD05DC">
        <w:rPr>
          <w:rFonts w:ascii="Garamond" w:hAnsi="Garamond" w:cs="Arial"/>
          <w:color w:val="000000" w:themeColor="text1"/>
          <w:shd w:val="clear" w:color="auto" w:fill="FFFFFF"/>
        </w:rPr>
        <w:t>.</w:t>
      </w:r>
    </w:p>
    <w:p w:rsidR="005F2CE5" w:rsidRPr="00DD05DC" w:rsidRDefault="005F2CE5" w:rsidP="005F2CE5">
      <w:pPr>
        <w:spacing w:after="0" w:afterAutospacing="1" w:line="360" w:lineRule="auto"/>
        <w:ind w:left="709" w:firstLine="709"/>
        <w:jc w:val="both"/>
        <w:rPr>
          <w:rFonts w:ascii="Garamond" w:hAnsi="Garamond"/>
          <w:color w:val="000000" w:themeColor="text1"/>
        </w:rPr>
      </w:pPr>
      <w:r w:rsidRPr="00DD05DC">
        <w:rPr>
          <w:rFonts w:ascii="Garamond" w:hAnsi="Garamond"/>
          <w:color w:val="000000" w:themeColor="text1"/>
        </w:rPr>
        <w:t xml:space="preserve">Variables influencing the understanding of Informed </w:t>
      </w:r>
      <w:r w:rsidRPr="00DD05DC">
        <w:rPr>
          <w:rFonts w:ascii="Garamond" w:hAnsi="Garamond"/>
          <w:i/>
          <w:iCs/>
          <w:color w:val="000000" w:themeColor="text1"/>
        </w:rPr>
        <w:t xml:space="preserve">Consent </w:t>
      </w:r>
      <w:r w:rsidRPr="00DD05DC">
        <w:rPr>
          <w:rFonts w:ascii="Garamond" w:hAnsi="Garamond"/>
          <w:color w:val="000000" w:themeColor="text1"/>
        </w:rPr>
        <w:t xml:space="preserve">need to be carefully considered when designing an adequate IC process. </w:t>
      </w:r>
      <w:r w:rsidR="00736FEA" w:rsidRPr="00DD05DC">
        <w:rPr>
          <w:rStyle w:val="FootnoteReference"/>
          <w:rFonts w:ascii="Garamond" w:hAnsi="Garamond"/>
          <w:color w:val="000000" w:themeColor="text1"/>
        </w:rPr>
        <w:footnoteReference w:id="41"/>
      </w:r>
      <w:r w:rsidRPr="00DD05DC">
        <w:rPr>
          <w:rFonts w:ascii="Garamond" w:hAnsi="Garamond"/>
          <w:color w:val="000000" w:themeColor="text1"/>
        </w:rPr>
        <w:t>Understanding influences patients' decisions regarding consent to medical procedures. Justice is not achieved when patients make decisions without understanding the risks involved. Disclosure improves the bargaining position between doctors and patients, which aligns with the value of justice in Islamic jurisprudence.</w:t>
      </w:r>
      <w:r w:rsidRPr="00DD05DC">
        <w:rPr>
          <w:rStyle w:val="FootnoteReference"/>
          <w:rFonts w:ascii="Garamond" w:hAnsi="Garamond"/>
          <w:color w:val="000000" w:themeColor="text1"/>
        </w:rPr>
        <w:footnoteReference w:id="42"/>
      </w:r>
    </w:p>
    <w:p w:rsidR="005F2CE5" w:rsidRPr="00DD05DC" w:rsidRDefault="005F2CE5" w:rsidP="005F2CE5">
      <w:pPr>
        <w:pStyle w:val="ListParagraph"/>
        <w:numPr>
          <w:ilvl w:val="0"/>
          <w:numId w:val="30"/>
        </w:numPr>
        <w:spacing w:after="0" w:afterAutospacing="1" w:line="360" w:lineRule="auto"/>
        <w:ind w:left="709"/>
        <w:jc w:val="both"/>
        <w:rPr>
          <w:rFonts w:ascii="Garamond" w:hAnsi="Garamond"/>
          <w:color w:val="000000" w:themeColor="text1"/>
        </w:rPr>
      </w:pPr>
      <w:r w:rsidRPr="00DD05DC">
        <w:rPr>
          <w:rFonts w:ascii="Garamond" w:hAnsi="Garamond"/>
          <w:color w:val="000000" w:themeColor="text1"/>
        </w:rPr>
        <w:t>Patient understanding</w:t>
      </w:r>
    </w:p>
    <w:p w:rsidR="00094DB3" w:rsidRPr="00DD05DC" w:rsidRDefault="005F2CE5" w:rsidP="00094DB3">
      <w:pPr>
        <w:spacing w:after="0" w:afterAutospacing="1" w:line="360" w:lineRule="auto"/>
        <w:ind w:left="709" w:firstLine="709"/>
        <w:jc w:val="both"/>
        <w:rPr>
          <w:rStyle w:val="Emphasis"/>
          <w:rFonts w:ascii="Garamond" w:hAnsi="Garamond"/>
          <w:color w:val="000000" w:themeColor="text1"/>
        </w:rPr>
      </w:pPr>
      <w:r w:rsidRPr="00DD05DC">
        <w:rPr>
          <w:rFonts w:ascii="Garamond" w:hAnsi="Garamond"/>
          <w:color w:val="000000" w:themeColor="text1"/>
        </w:rPr>
        <w:t>Healthcare professionals should employ a teach-back method to ensure the patient can restate core information and alternatives; documentation of this process serves as authentic evidence of consent. For significant procedures, patients should be given adequate time to reflect and understand before making a decision, except in emergencies. This time serves as a buffer to reduce the stress of making decisions during times of heightened emotional states.</w:t>
      </w:r>
      <w:r w:rsidRPr="00DD05DC">
        <w:rPr>
          <w:rStyle w:val="Emphasis"/>
          <w:rFonts w:ascii="Garamond" w:hAnsi="Garamond"/>
          <w:color w:val="000000" w:themeColor="text1"/>
        </w:rPr>
        <w:t xml:space="preserve"> </w:t>
      </w:r>
    </w:p>
    <w:p w:rsidR="005F2CE5" w:rsidRPr="00DD05DC" w:rsidRDefault="005F2CE5" w:rsidP="00094DB3">
      <w:pPr>
        <w:spacing w:after="0" w:afterAutospacing="1" w:line="360" w:lineRule="auto"/>
        <w:ind w:left="709" w:firstLine="709"/>
        <w:jc w:val="both"/>
        <w:rPr>
          <w:rFonts w:ascii="Garamond" w:hAnsi="Garamond"/>
          <w:i/>
          <w:iCs/>
          <w:color w:val="000000" w:themeColor="text1"/>
        </w:rPr>
      </w:pPr>
      <w:r w:rsidRPr="00DD05DC">
        <w:rPr>
          <w:rStyle w:val="Emphasis"/>
          <w:rFonts w:ascii="Garamond" w:hAnsi="Garamond"/>
          <w:i w:val="0"/>
          <w:color w:val="000000" w:themeColor="text1"/>
        </w:rPr>
        <w:t xml:space="preserve">Information must be clear and easy to understand so that </w:t>
      </w:r>
      <w:r w:rsidRPr="00DD05DC">
        <w:rPr>
          <w:rStyle w:val="Emphasis"/>
          <w:rFonts w:ascii="Garamond" w:hAnsi="Garamond"/>
          <w:color w:val="000000" w:themeColor="text1"/>
        </w:rPr>
        <w:t xml:space="preserve">Informed Consent </w:t>
      </w:r>
      <w:r w:rsidRPr="00DD05DC">
        <w:rPr>
          <w:rStyle w:val="Strong"/>
          <w:rFonts w:ascii="Garamond" w:hAnsi="Garamond"/>
          <w:b w:val="0"/>
          <w:bCs w:val="0"/>
          <w:color w:val="000000" w:themeColor="text1"/>
        </w:rPr>
        <w:t xml:space="preserve">can function as an Effort to Avoid Gharar in healthcare practices. </w:t>
      </w:r>
      <w:r w:rsidRPr="00DD05DC">
        <w:rPr>
          <w:rFonts w:ascii="Garamond" w:hAnsi="Garamond"/>
          <w:color w:val="000000" w:themeColor="text1"/>
        </w:rPr>
        <w:t xml:space="preserve">Ambiguity regarding the risks of medical </w:t>
      </w:r>
      <w:r w:rsidRPr="00DD05DC">
        <w:rPr>
          <w:rFonts w:ascii="Garamond" w:hAnsi="Garamond"/>
          <w:color w:val="000000" w:themeColor="text1"/>
        </w:rPr>
        <w:lastRenderedPageBreak/>
        <w:t xml:space="preserve">procedures falls into the category of </w:t>
      </w:r>
      <w:r w:rsidRPr="00DD05DC">
        <w:rPr>
          <w:rStyle w:val="Emphasis"/>
          <w:rFonts w:ascii="Garamond" w:hAnsi="Garamond"/>
          <w:color w:val="000000" w:themeColor="text1"/>
        </w:rPr>
        <w:t xml:space="preserve">gharar fí al-uqūd </w:t>
      </w:r>
      <w:r w:rsidRPr="00DD05DC">
        <w:rPr>
          <w:rFonts w:ascii="Garamond" w:hAnsi="Garamond"/>
          <w:color w:val="000000" w:themeColor="text1"/>
        </w:rPr>
        <w:t xml:space="preserve">. </w:t>
      </w:r>
      <w:r w:rsidRPr="00DD05DC">
        <w:rPr>
          <w:rStyle w:val="Emphasis"/>
          <w:rFonts w:ascii="Garamond" w:hAnsi="Garamond"/>
          <w:color w:val="000000" w:themeColor="text1"/>
        </w:rPr>
        <w:t xml:space="preserve">Informed consent </w:t>
      </w:r>
      <w:r w:rsidRPr="00DD05DC">
        <w:rPr>
          <w:rFonts w:ascii="Garamond" w:hAnsi="Garamond"/>
          <w:color w:val="000000" w:themeColor="text1"/>
        </w:rPr>
        <w:t xml:space="preserve">, risks, alternatives, and possible complications must be conveyed to prevent detrimental transactions due to patient ignorance. </w:t>
      </w:r>
      <w:r w:rsidRPr="00DD05DC">
        <w:rPr>
          <w:rStyle w:val="FootnoteReference"/>
          <w:rFonts w:ascii="Garamond" w:hAnsi="Garamond"/>
          <w:color w:val="000000" w:themeColor="text1"/>
        </w:rPr>
        <w:footnoteReference w:id="43"/>
      </w:r>
      <w:r w:rsidRPr="00DD05DC">
        <w:rPr>
          <w:rFonts w:ascii="Garamond" w:hAnsi="Garamond"/>
          <w:color w:val="000000" w:themeColor="text1"/>
        </w:rPr>
        <w:t xml:space="preserve">The full validity of informed consent depends on the existence of </w:t>
      </w:r>
      <w:r w:rsidRPr="00DD05DC">
        <w:rPr>
          <w:rFonts w:ascii="Garamond" w:hAnsi="Garamond"/>
          <w:bCs/>
          <w:color w:val="000000" w:themeColor="text1"/>
        </w:rPr>
        <w:t xml:space="preserve">an informed attitude </w:t>
      </w:r>
      <w:r w:rsidRPr="00DD05DC">
        <w:rPr>
          <w:rFonts w:ascii="Garamond" w:hAnsi="Garamond"/>
          <w:color w:val="000000" w:themeColor="text1"/>
        </w:rPr>
        <w:t>that reflects the user's inner judgment that has been consciously processed after receiving the disclosure of information.</w:t>
      </w:r>
      <w:r w:rsidR="00736FEA" w:rsidRPr="00DD05DC">
        <w:rPr>
          <w:rStyle w:val="FootnoteReference"/>
          <w:rFonts w:ascii="Garamond" w:hAnsi="Garamond"/>
          <w:color w:val="000000" w:themeColor="text1"/>
        </w:rPr>
        <w:footnoteReference w:id="44"/>
      </w:r>
    </w:p>
    <w:p w:rsidR="005F2CE5" w:rsidRPr="00DD05DC" w:rsidRDefault="005F2CE5" w:rsidP="005F2CE5">
      <w:pPr>
        <w:pStyle w:val="ListParagraph"/>
        <w:numPr>
          <w:ilvl w:val="0"/>
          <w:numId w:val="30"/>
        </w:numPr>
        <w:spacing w:after="0" w:afterAutospacing="1" w:line="360" w:lineRule="auto"/>
        <w:ind w:left="709"/>
        <w:jc w:val="both"/>
        <w:rPr>
          <w:rFonts w:ascii="Garamond" w:hAnsi="Garamond"/>
          <w:color w:val="000000" w:themeColor="text1"/>
        </w:rPr>
      </w:pPr>
      <w:r w:rsidRPr="00DD05DC">
        <w:rPr>
          <w:rFonts w:ascii="Garamond" w:hAnsi="Garamond"/>
          <w:color w:val="000000" w:themeColor="text1"/>
        </w:rPr>
        <w:t>Free will</w:t>
      </w:r>
    </w:p>
    <w:p w:rsidR="00094DB3" w:rsidRPr="00DD05DC" w:rsidRDefault="00751B29" w:rsidP="000155FA">
      <w:pPr>
        <w:spacing w:after="0" w:afterAutospacing="1" w:line="360" w:lineRule="auto"/>
        <w:ind w:left="709" w:firstLine="709"/>
        <w:jc w:val="both"/>
        <w:rPr>
          <w:rFonts w:ascii="Garamond" w:hAnsi="Garamond"/>
          <w:color w:val="000000" w:themeColor="text1"/>
        </w:rPr>
      </w:pPr>
      <w:r w:rsidRPr="00DD05DC">
        <w:rPr>
          <w:rFonts w:ascii="Garamond" w:hAnsi="Garamond"/>
          <w:color w:val="000000" w:themeColor="text1"/>
        </w:rPr>
        <w:t xml:space="preserve">Freedom of choice is a prerequisite for </w:t>
      </w:r>
      <w:r w:rsidRPr="00DD05DC">
        <w:rPr>
          <w:rStyle w:val="Emphasis"/>
          <w:rFonts w:ascii="Garamond" w:hAnsi="Garamond"/>
          <w:color w:val="000000" w:themeColor="text1"/>
        </w:rPr>
        <w:t xml:space="preserve">at-tarā </w:t>
      </w:r>
      <w:r w:rsidRPr="00DD05DC">
        <w:rPr>
          <w:rStyle w:val="Emphasis"/>
          <w:rFonts w:ascii="Cambria" w:hAnsi="Cambria" w:cs="Cambria"/>
          <w:color w:val="000000" w:themeColor="text1"/>
        </w:rPr>
        <w:t>ḍ</w:t>
      </w:r>
      <w:r w:rsidRPr="00DD05DC">
        <w:rPr>
          <w:rStyle w:val="Emphasis"/>
          <w:rFonts w:ascii="Garamond" w:hAnsi="Garamond" w:cs="Cambria"/>
          <w:color w:val="000000" w:themeColor="text1"/>
        </w:rPr>
        <w:t xml:space="preserve"> </w:t>
      </w:r>
      <w:r w:rsidRPr="00DD05DC">
        <w:rPr>
          <w:rStyle w:val="Emphasis"/>
          <w:rFonts w:ascii="Garamond" w:hAnsi="Garamond"/>
          <w:color w:val="000000" w:themeColor="text1"/>
        </w:rPr>
        <w:t xml:space="preserve">ī </w:t>
      </w:r>
      <w:r w:rsidRPr="00DD05DC">
        <w:rPr>
          <w:rFonts w:ascii="Garamond" w:hAnsi="Garamond"/>
          <w:color w:val="000000" w:themeColor="text1"/>
        </w:rPr>
        <w:t xml:space="preserve">to truly be realized. Patient consent should not be based on coercion, threats, or pressure from the doctor or hospital. The patient must be truly </w:t>
      </w:r>
      <w:r w:rsidRPr="00DD05DC">
        <w:rPr>
          <w:rFonts w:ascii="Garamond" w:hAnsi="Garamond"/>
          <w:i/>
          <w:iCs/>
          <w:color w:val="000000" w:themeColor="text1"/>
        </w:rPr>
        <w:t xml:space="preserve">willing </w:t>
      </w:r>
      <w:r w:rsidRPr="00DD05DC">
        <w:rPr>
          <w:rFonts w:ascii="Garamond" w:hAnsi="Garamond"/>
          <w:color w:val="000000" w:themeColor="text1"/>
        </w:rPr>
        <w:t xml:space="preserve">without any element of </w:t>
      </w:r>
      <w:r w:rsidRPr="00DD05DC">
        <w:rPr>
          <w:rFonts w:ascii="Garamond" w:hAnsi="Garamond"/>
          <w:i/>
          <w:iCs/>
          <w:color w:val="000000" w:themeColor="text1"/>
        </w:rPr>
        <w:t xml:space="preserve">ikrāh </w:t>
      </w:r>
      <w:r w:rsidRPr="00DD05DC">
        <w:rPr>
          <w:rFonts w:ascii="Garamond" w:hAnsi="Garamond"/>
          <w:color w:val="000000" w:themeColor="text1"/>
        </w:rPr>
        <w:t xml:space="preserve">(coercion). </w:t>
      </w:r>
      <w:r w:rsidR="001D08D5" w:rsidRPr="00DD05DC">
        <w:rPr>
          <w:rFonts w:ascii="Garamond" w:hAnsi="Garamond"/>
          <w:bCs/>
          <w:color w:val="000000" w:themeColor="text1"/>
        </w:rPr>
        <w:t xml:space="preserve">Free will </w:t>
      </w:r>
      <w:r w:rsidR="001D08D5" w:rsidRPr="00DD05DC">
        <w:rPr>
          <w:rFonts w:ascii="Garamond" w:hAnsi="Garamond"/>
          <w:color w:val="000000" w:themeColor="text1"/>
        </w:rPr>
        <w:t xml:space="preserve">in this context is </w:t>
      </w:r>
      <w:r w:rsidR="001D08D5" w:rsidRPr="00DD05DC">
        <w:rPr>
          <w:rFonts w:ascii="Garamond" w:hAnsi="Garamond"/>
          <w:bCs/>
          <w:color w:val="000000" w:themeColor="text1"/>
        </w:rPr>
        <w:t xml:space="preserve">the patient's authentic and pure willingness </w:t>
      </w:r>
      <w:r w:rsidR="001D08D5" w:rsidRPr="00DD05DC">
        <w:rPr>
          <w:rFonts w:ascii="Garamond" w:hAnsi="Garamond"/>
          <w:color w:val="000000" w:themeColor="text1"/>
        </w:rPr>
        <w:t xml:space="preserve">(the principle of </w:t>
      </w:r>
      <w:r w:rsidR="001D08D5" w:rsidRPr="00DD05DC">
        <w:rPr>
          <w:rFonts w:ascii="Garamond" w:hAnsi="Garamond"/>
          <w:i/>
          <w:iCs/>
          <w:color w:val="000000" w:themeColor="text1"/>
        </w:rPr>
        <w:t xml:space="preserve">At-Tarā </w:t>
      </w:r>
      <w:r w:rsidR="001D08D5" w:rsidRPr="00DD05DC">
        <w:rPr>
          <w:rFonts w:ascii="Cambria" w:hAnsi="Cambria" w:cs="Cambria"/>
          <w:i/>
          <w:iCs/>
          <w:color w:val="000000" w:themeColor="text1"/>
        </w:rPr>
        <w:t>ḍ</w:t>
      </w:r>
      <w:r w:rsidR="001D08D5" w:rsidRPr="00DD05DC">
        <w:rPr>
          <w:rFonts w:ascii="Garamond" w:hAnsi="Garamond" w:cs="Cambria"/>
          <w:i/>
          <w:iCs/>
          <w:color w:val="000000" w:themeColor="text1"/>
        </w:rPr>
        <w:t xml:space="preserve"> </w:t>
      </w:r>
      <w:r w:rsidR="001D08D5" w:rsidRPr="00DD05DC">
        <w:rPr>
          <w:rFonts w:ascii="Garamond" w:hAnsi="Garamond"/>
          <w:i/>
          <w:iCs/>
          <w:color w:val="000000" w:themeColor="text1"/>
        </w:rPr>
        <w:t xml:space="preserve">ī </w:t>
      </w:r>
      <w:r w:rsidR="001D08D5" w:rsidRPr="00DD05DC">
        <w:rPr>
          <w:rFonts w:ascii="Garamond" w:hAnsi="Garamond"/>
          <w:color w:val="000000" w:themeColor="text1"/>
        </w:rPr>
        <w:t>) which is the basis for the validity of Consent to Medical Procedures. If the patient is incompetent or under pressure, the role of the guardian or power of attorney must follow the hierarchy of sharia and normative regulations (laws), and include considerations of benefit (maslahah).</w:t>
      </w:r>
    </w:p>
    <w:p w:rsidR="001A3B27" w:rsidRPr="00DD05DC" w:rsidRDefault="001A3B27" w:rsidP="000155FA">
      <w:pPr>
        <w:spacing w:after="0" w:afterAutospacing="1" w:line="360" w:lineRule="auto"/>
        <w:ind w:left="709" w:firstLine="709"/>
        <w:jc w:val="both"/>
        <w:rPr>
          <w:rStyle w:val="Strong"/>
          <w:rFonts w:ascii="Garamond" w:hAnsi="Garamond"/>
          <w:b w:val="0"/>
          <w:bCs w:val="0"/>
          <w:color w:val="000000" w:themeColor="text1"/>
        </w:rPr>
      </w:pPr>
      <w:r w:rsidRPr="00DD05DC">
        <w:rPr>
          <w:rFonts w:ascii="Garamond" w:hAnsi="Garamond"/>
          <w:color w:val="000000" w:themeColor="text1"/>
        </w:rPr>
        <w:t>Medical service contracts should not all be standard clauses that leave patients with no choice but to agree. This is intended to avoid feeling forced into agreeing to a medical contract.</w:t>
      </w:r>
    </w:p>
    <w:p w:rsidR="005F2CE5" w:rsidRPr="00DD05DC" w:rsidRDefault="00736FEA" w:rsidP="005F2CE5">
      <w:pPr>
        <w:pStyle w:val="ListParagraph"/>
        <w:numPr>
          <w:ilvl w:val="0"/>
          <w:numId w:val="30"/>
        </w:numPr>
        <w:spacing w:after="0" w:afterAutospacing="1" w:line="360" w:lineRule="auto"/>
        <w:ind w:left="709"/>
        <w:jc w:val="both"/>
        <w:rPr>
          <w:rFonts w:ascii="Garamond" w:hAnsi="Garamond"/>
          <w:color w:val="000000" w:themeColor="text1"/>
        </w:rPr>
      </w:pPr>
      <w:r w:rsidRPr="00DD05DC">
        <w:rPr>
          <w:rFonts w:ascii="Garamond" w:hAnsi="Garamond"/>
          <w:color w:val="000000" w:themeColor="text1"/>
        </w:rPr>
        <w:t>Willingness (at-tarā</w:t>
      </w:r>
      <w:r w:rsidR="005F2CE5" w:rsidRPr="00DD05DC">
        <w:rPr>
          <w:rFonts w:ascii="Cambria" w:hAnsi="Cambria" w:cs="Cambria"/>
          <w:color w:val="000000" w:themeColor="text1"/>
        </w:rPr>
        <w:t>ḍ</w:t>
      </w:r>
      <w:r w:rsidR="005F2CE5" w:rsidRPr="00DD05DC">
        <w:rPr>
          <w:rFonts w:ascii="Garamond" w:hAnsi="Garamond"/>
          <w:color w:val="000000" w:themeColor="text1"/>
        </w:rPr>
        <w:t>ī)</w:t>
      </w:r>
    </w:p>
    <w:p w:rsidR="00751B29" w:rsidRPr="00DD05DC" w:rsidRDefault="007D3828" w:rsidP="00751B29">
      <w:pPr>
        <w:spacing w:after="0" w:afterAutospacing="1" w:line="360" w:lineRule="auto"/>
        <w:ind w:left="709" w:firstLine="709"/>
        <w:jc w:val="both"/>
        <w:rPr>
          <w:rStyle w:val="Emphasis"/>
          <w:rFonts w:ascii="Garamond" w:hAnsi="Garamond"/>
          <w:i w:val="0"/>
          <w:color w:val="000000" w:themeColor="text1"/>
        </w:rPr>
      </w:pPr>
      <w:r w:rsidRPr="00DD05DC">
        <w:rPr>
          <w:rStyle w:val="Emphasis"/>
          <w:rFonts w:ascii="Garamond" w:hAnsi="Garamond"/>
          <w:i w:val="0"/>
          <w:color w:val="000000" w:themeColor="text1"/>
        </w:rPr>
        <w:t xml:space="preserve">Informed consent, based on </w:t>
      </w:r>
      <w:r w:rsidRPr="00DD05DC">
        <w:rPr>
          <w:rFonts w:ascii="Garamond" w:hAnsi="Garamond"/>
          <w:i/>
          <w:color w:val="000000" w:themeColor="text1"/>
        </w:rPr>
        <w:t xml:space="preserve">the at-taradi principle </w:t>
      </w:r>
      <w:r w:rsidRPr="00DD05DC">
        <w:rPr>
          <w:rStyle w:val="Emphasis"/>
          <w:rFonts w:ascii="Garamond" w:hAnsi="Garamond"/>
          <w:i w:val="0"/>
          <w:color w:val="000000" w:themeColor="text1"/>
        </w:rPr>
        <w:t>, serves as the primary instrument for patient legal protection, as it guarantees the right to information, autonomy, and self-determination in medical procedures. From this perspective, the validity of consent cannot be measured solely by the inclusion of procedures or the existence of written consent, but must be determined by substantive consent that reflects the patient's genuine consent, born from competent understanding, free will, and the absence of coercion or manipulation of information. Therefore, substantively flawed informed consent, even if administratively valid, essentially undermines the patient's legal protection function and potentially places the patient in a legally vulnerable position.</w:t>
      </w:r>
    </w:p>
    <w:p w:rsidR="00751B29" w:rsidRPr="00DD05DC" w:rsidRDefault="00751B29" w:rsidP="00751B29">
      <w:pPr>
        <w:spacing w:after="0" w:afterAutospacing="1" w:line="360" w:lineRule="auto"/>
        <w:ind w:left="709" w:firstLine="709"/>
        <w:jc w:val="both"/>
        <w:rPr>
          <w:rFonts w:ascii="Garamond" w:hAnsi="Garamond"/>
          <w:iCs/>
          <w:color w:val="000000" w:themeColor="text1"/>
        </w:rPr>
      </w:pPr>
      <w:r w:rsidRPr="00DD05DC">
        <w:rPr>
          <w:rStyle w:val="Emphasis"/>
          <w:rFonts w:ascii="Garamond" w:hAnsi="Garamond"/>
          <w:color w:val="000000" w:themeColor="text1"/>
        </w:rPr>
        <w:lastRenderedPageBreak/>
        <w:t xml:space="preserve">Ridā </w:t>
      </w:r>
      <w:r w:rsidRPr="00DD05DC">
        <w:rPr>
          <w:rFonts w:ascii="Garamond" w:hAnsi="Garamond"/>
          <w:color w:val="000000" w:themeColor="text1"/>
        </w:rPr>
        <w:t xml:space="preserve">(inner willingness) must be present along with the external expression of the will, so that the contract must not be born through deception ( </w:t>
      </w:r>
      <w:r w:rsidRPr="00DD05DC">
        <w:rPr>
          <w:rStyle w:val="Emphasis"/>
          <w:rFonts w:ascii="Garamond" w:hAnsi="Garamond"/>
          <w:color w:val="000000" w:themeColor="text1"/>
        </w:rPr>
        <w:t xml:space="preserve">tadlīs </w:t>
      </w:r>
      <w:r w:rsidRPr="00DD05DC">
        <w:rPr>
          <w:rFonts w:ascii="Garamond" w:hAnsi="Garamond"/>
          <w:color w:val="000000" w:themeColor="text1"/>
        </w:rPr>
        <w:t xml:space="preserve">), excessive uncertainty ( </w:t>
      </w:r>
      <w:r w:rsidRPr="00DD05DC">
        <w:rPr>
          <w:rStyle w:val="Emphasis"/>
          <w:rFonts w:ascii="Garamond" w:hAnsi="Garamond"/>
          <w:color w:val="000000" w:themeColor="text1"/>
        </w:rPr>
        <w:t xml:space="preserve">gharar </w:t>
      </w:r>
      <w:r w:rsidRPr="00DD05DC">
        <w:rPr>
          <w:rFonts w:ascii="Garamond" w:hAnsi="Garamond"/>
          <w:color w:val="000000" w:themeColor="text1"/>
        </w:rPr>
        <w:t xml:space="preserve">), or deception ( </w:t>
      </w:r>
      <w:r w:rsidRPr="00DD05DC">
        <w:rPr>
          <w:rStyle w:val="Emphasis"/>
          <w:rFonts w:ascii="Garamond" w:hAnsi="Garamond"/>
          <w:color w:val="000000" w:themeColor="text1"/>
        </w:rPr>
        <w:t xml:space="preserve">ghishsh </w:t>
      </w:r>
      <w:r w:rsidRPr="00DD05DC">
        <w:rPr>
          <w:rFonts w:ascii="Garamond" w:hAnsi="Garamond"/>
          <w:color w:val="000000" w:themeColor="text1"/>
        </w:rPr>
        <w:t>).</w:t>
      </w:r>
    </w:p>
    <w:p w:rsidR="005F2CE5" w:rsidRPr="00DD05DC" w:rsidRDefault="005F2CE5" w:rsidP="005F2CE5">
      <w:pPr>
        <w:pStyle w:val="ListParagraph"/>
        <w:numPr>
          <w:ilvl w:val="0"/>
          <w:numId w:val="30"/>
        </w:numPr>
        <w:spacing w:after="0" w:afterAutospacing="1" w:line="360" w:lineRule="auto"/>
        <w:ind w:left="709"/>
        <w:jc w:val="both"/>
        <w:rPr>
          <w:rFonts w:ascii="Garamond" w:hAnsi="Garamond"/>
          <w:color w:val="000000" w:themeColor="text1"/>
        </w:rPr>
      </w:pPr>
      <w:r w:rsidRPr="00DD05DC">
        <w:rPr>
          <w:rFonts w:ascii="Garamond" w:hAnsi="Garamond"/>
          <w:color w:val="000000" w:themeColor="text1"/>
        </w:rPr>
        <w:t>Expression of consent</w:t>
      </w:r>
    </w:p>
    <w:p w:rsidR="007D3828" w:rsidRPr="00DD05DC" w:rsidRDefault="007D3828" w:rsidP="007D3828">
      <w:pPr>
        <w:pStyle w:val="ListParagraph"/>
        <w:spacing w:before="100" w:beforeAutospacing="1" w:after="0" w:afterAutospacing="1" w:line="360" w:lineRule="auto"/>
        <w:ind w:left="709" w:firstLine="709"/>
        <w:jc w:val="both"/>
        <w:rPr>
          <w:rFonts w:ascii="Garamond" w:hAnsi="Garamond"/>
          <w:color w:val="000000" w:themeColor="text1"/>
        </w:rPr>
      </w:pPr>
      <w:r w:rsidRPr="00DD05DC">
        <w:rPr>
          <w:rStyle w:val="Emphasis"/>
          <w:rFonts w:ascii="Garamond" w:hAnsi="Garamond"/>
          <w:color w:val="000000" w:themeColor="text1"/>
        </w:rPr>
        <w:t xml:space="preserve">Ridā </w:t>
      </w:r>
      <w:r w:rsidRPr="00DD05DC">
        <w:rPr>
          <w:rFonts w:ascii="Garamond" w:hAnsi="Garamond"/>
          <w:color w:val="000000" w:themeColor="text1"/>
        </w:rPr>
        <w:t xml:space="preserve">(inner consent) must be present along with the outward expression of will, so that the contract cannot be born through deception ( </w:t>
      </w:r>
      <w:r w:rsidRPr="00DD05DC">
        <w:rPr>
          <w:rStyle w:val="Emphasis"/>
          <w:rFonts w:ascii="Garamond" w:hAnsi="Garamond"/>
          <w:color w:val="000000" w:themeColor="text1"/>
        </w:rPr>
        <w:t xml:space="preserve">tadlīs </w:t>
      </w:r>
      <w:r w:rsidRPr="00DD05DC">
        <w:rPr>
          <w:rFonts w:ascii="Garamond" w:hAnsi="Garamond"/>
          <w:color w:val="000000" w:themeColor="text1"/>
        </w:rPr>
        <w:t xml:space="preserve">), excessive uncertainty ( </w:t>
      </w:r>
      <w:r w:rsidRPr="00DD05DC">
        <w:rPr>
          <w:rStyle w:val="Emphasis"/>
          <w:rFonts w:ascii="Garamond" w:hAnsi="Garamond"/>
          <w:color w:val="000000" w:themeColor="text1"/>
        </w:rPr>
        <w:t xml:space="preserve">gharar </w:t>
      </w:r>
      <w:r w:rsidRPr="00DD05DC">
        <w:rPr>
          <w:rFonts w:ascii="Garamond" w:hAnsi="Garamond"/>
          <w:color w:val="000000" w:themeColor="text1"/>
        </w:rPr>
        <w:t xml:space="preserve">), or fraud ( </w:t>
      </w:r>
      <w:r w:rsidRPr="00DD05DC">
        <w:rPr>
          <w:rStyle w:val="Emphasis"/>
          <w:rFonts w:ascii="Garamond" w:hAnsi="Garamond"/>
          <w:color w:val="000000" w:themeColor="text1"/>
        </w:rPr>
        <w:t xml:space="preserve">ghishsh </w:t>
      </w:r>
      <w:r w:rsidRPr="00DD05DC">
        <w:rPr>
          <w:rFonts w:ascii="Garamond" w:hAnsi="Garamond"/>
          <w:color w:val="000000" w:themeColor="text1"/>
        </w:rPr>
        <w:t xml:space="preserve">). In this case, in addition to the signature, the agreement record must contain a summary of the dialogue, the results of the teach-back, for example the sentence "I agree after understanding...and so on" which represents </w:t>
      </w:r>
      <w:r w:rsidRPr="00DD05DC">
        <w:rPr>
          <w:rStyle w:val="Emphasis"/>
          <w:rFonts w:ascii="Garamond" w:hAnsi="Garamond"/>
          <w:color w:val="000000" w:themeColor="text1"/>
        </w:rPr>
        <w:t xml:space="preserve">ridā </w:t>
      </w:r>
      <w:r w:rsidRPr="00DD05DC">
        <w:rPr>
          <w:rFonts w:ascii="Garamond" w:hAnsi="Garamond"/>
          <w:color w:val="000000" w:themeColor="text1"/>
        </w:rPr>
        <w:t>.</w:t>
      </w:r>
    </w:p>
    <w:p w:rsidR="005F2CE5" w:rsidRPr="00DD05DC" w:rsidRDefault="005F2CE5" w:rsidP="005F2CE5">
      <w:pPr>
        <w:pStyle w:val="ListParagraph"/>
        <w:numPr>
          <w:ilvl w:val="0"/>
          <w:numId w:val="30"/>
        </w:numPr>
        <w:spacing w:after="0" w:afterAutospacing="1" w:line="360" w:lineRule="auto"/>
        <w:ind w:left="709"/>
        <w:jc w:val="both"/>
        <w:rPr>
          <w:rFonts w:ascii="Garamond" w:hAnsi="Garamond"/>
          <w:color w:val="000000" w:themeColor="text1"/>
        </w:rPr>
      </w:pPr>
      <w:r w:rsidRPr="00DD05DC">
        <w:rPr>
          <w:rFonts w:ascii="Garamond" w:hAnsi="Garamond"/>
          <w:color w:val="000000" w:themeColor="text1"/>
        </w:rPr>
        <w:t>Validity of medical action</w:t>
      </w:r>
    </w:p>
    <w:p w:rsidR="00094DB3" w:rsidRPr="00DD05DC" w:rsidRDefault="003E7950" w:rsidP="003E7950">
      <w:pPr>
        <w:pStyle w:val="ListParagraph"/>
        <w:spacing w:after="0" w:afterAutospacing="1" w:line="360" w:lineRule="auto"/>
        <w:ind w:firstLine="698"/>
        <w:jc w:val="both"/>
        <w:rPr>
          <w:rFonts w:ascii="Garamond" w:hAnsi="Garamond"/>
          <w:i/>
          <w:color w:val="000000" w:themeColor="text1"/>
        </w:rPr>
      </w:pPr>
      <w:r w:rsidRPr="00DD05DC">
        <w:rPr>
          <w:rStyle w:val="Emphasis"/>
          <w:rFonts w:ascii="Garamond" w:hAnsi="Garamond"/>
          <w:i w:val="0"/>
          <w:color w:val="000000" w:themeColor="text1"/>
        </w:rPr>
        <w:t xml:space="preserve">The validity of medical consent in the </w:t>
      </w:r>
      <w:r w:rsidRPr="00DD05DC">
        <w:rPr>
          <w:rFonts w:ascii="Garamond" w:hAnsi="Garamond"/>
          <w:i/>
          <w:color w:val="000000" w:themeColor="text1"/>
        </w:rPr>
        <w:t xml:space="preserve">At Tarodi principle-based informed consent model </w:t>
      </w:r>
      <w:r w:rsidRPr="00DD05DC">
        <w:rPr>
          <w:rStyle w:val="Emphasis"/>
          <w:rFonts w:ascii="Garamond" w:hAnsi="Garamond"/>
          <w:i w:val="0"/>
          <w:color w:val="000000" w:themeColor="text1"/>
        </w:rPr>
        <w:t>is determined by a series of normative processes that begin with conveying honest medical information, generating patient understanding, and enabling free-will decision-making. This process fosters legitimate consent as the basis for consent, so that medical consent cannot be measured solely as a procedural act but must also consider its substance.</w:t>
      </w:r>
    </w:p>
    <w:p w:rsidR="00094DB3" w:rsidRPr="00DD05DC" w:rsidRDefault="005F2CE5" w:rsidP="00094DB3">
      <w:pPr>
        <w:pStyle w:val="ListParagraph"/>
        <w:numPr>
          <w:ilvl w:val="0"/>
          <w:numId w:val="30"/>
        </w:numPr>
        <w:spacing w:after="0" w:afterAutospacing="1" w:line="360" w:lineRule="auto"/>
        <w:ind w:left="709"/>
        <w:jc w:val="both"/>
        <w:rPr>
          <w:rFonts w:ascii="Garamond" w:hAnsi="Garamond"/>
          <w:color w:val="000000" w:themeColor="text1"/>
        </w:rPr>
      </w:pPr>
      <w:r w:rsidRPr="00DD05DC">
        <w:rPr>
          <w:rFonts w:ascii="Garamond" w:hAnsi="Garamond"/>
          <w:color w:val="000000" w:themeColor="text1"/>
        </w:rPr>
        <w:t>Responsibility, trust</w:t>
      </w:r>
    </w:p>
    <w:p w:rsidR="00094DB3" w:rsidRPr="00DD05DC" w:rsidRDefault="00094DB3" w:rsidP="00751B29">
      <w:pPr>
        <w:pStyle w:val="ListParagraph"/>
        <w:spacing w:after="0" w:afterAutospacing="1" w:line="360" w:lineRule="auto"/>
        <w:ind w:left="709" w:firstLine="709"/>
        <w:jc w:val="both"/>
        <w:rPr>
          <w:rFonts w:ascii="Garamond" w:hAnsi="Garamond"/>
          <w:color w:val="000000" w:themeColor="text1"/>
        </w:rPr>
      </w:pPr>
      <w:r w:rsidRPr="00DD05DC">
        <w:rPr>
          <w:rFonts w:ascii="Garamond" w:hAnsi="Garamond"/>
          <w:color w:val="000000" w:themeColor="text1"/>
        </w:rPr>
        <w:t>The responsibility and trust of medical personnel begins at the time of consent, but rather from the initial stage of conveying medical information, namely when the doctor determines the substance of the information conveyed, the method of communication, and assesses the patient's readiness to understand the information. It does not end until the medical action is performed, because there are still responsibilities after that, such as maintaining patient confidentiality, being responsible for the medical action that has been performed. Even though the medical action is complete, the doctor remains responsible for professional standards, negligence, ethics and spirituality.</w:t>
      </w:r>
    </w:p>
    <w:p w:rsidR="006351CC" w:rsidRPr="00DD05DC" w:rsidRDefault="006351CC">
      <w:pPr>
        <w:rPr>
          <w:rFonts w:ascii="Garamond" w:hAnsi="Garamond"/>
          <w:color w:val="000000" w:themeColor="text1"/>
        </w:rPr>
      </w:pPr>
      <w:r w:rsidRPr="00DD05DC">
        <w:rPr>
          <w:rFonts w:ascii="Garamond" w:hAnsi="Garamond"/>
          <w:color w:val="000000" w:themeColor="text1"/>
        </w:rPr>
        <w:br w:type="page"/>
      </w:r>
    </w:p>
    <w:p w:rsidR="00100618" w:rsidRPr="00DD05DC" w:rsidRDefault="00100618" w:rsidP="00100618">
      <w:pPr>
        <w:ind w:firstLine="480"/>
        <w:jc w:val="both"/>
        <w:rPr>
          <w:rFonts w:ascii="Garamond" w:hAnsi="Garamond"/>
          <w:color w:val="000000" w:themeColor="text1"/>
        </w:rPr>
      </w:pPr>
      <w:r w:rsidRPr="00DD05DC">
        <w:rPr>
          <w:rFonts w:ascii="Garamond" w:hAnsi="Garamond"/>
          <w:color w:val="000000" w:themeColor="text1"/>
        </w:rPr>
        <w:lastRenderedPageBreak/>
        <w:t xml:space="preserve">Diagram 1: </w:t>
      </w:r>
      <w:r w:rsidR="003E7950" w:rsidRPr="00DD05DC">
        <w:rPr>
          <w:rFonts w:ascii="Garamond" w:hAnsi="Garamond"/>
          <w:color w:val="000000" w:themeColor="text1"/>
        </w:rPr>
        <w:t xml:space="preserve">Flow of the Infomed Consent concept based on </w:t>
      </w:r>
      <w:r w:rsidR="003B4870" w:rsidRPr="00DD05DC">
        <w:rPr>
          <w:rStyle w:val="Emphasis"/>
          <w:rFonts w:ascii="Garamond" w:hAnsi="Garamond"/>
          <w:color w:val="000000" w:themeColor="text1"/>
        </w:rPr>
        <w:t>at-tarā</w:t>
      </w:r>
      <w:r w:rsidRPr="00DD05DC">
        <w:rPr>
          <w:rStyle w:val="Emphasis"/>
          <w:rFonts w:ascii="Cambria" w:hAnsi="Cambria" w:cs="Cambria"/>
          <w:color w:val="000000" w:themeColor="text1"/>
        </w:rPr>
        <w:t>ḍ</w:t>
      </w:r>
      <w:r w:rsidRPr="00DD05DC">
        <w:rPr>
          <w:rStyle w:val="Emphasis"/>
          <w:rFonts w:ascii="Garamond" w:hAnsi="Garamond"/>
          <w:color w:val="000000" w:themeColor="text1"/>
        </w:rPr>
        <w:t>ī</w:t>
      </w:r>
    </w:p>
    <w:p w:rsidR="006351CC" w:rsidRPr="00DD05DC" w:rsidRDefault="00D45EF1" w:rsidP="006351CC">
      <w:pPr>
        <w:rPr>
          <w:rFonts w:ascii="Garamond" w:hAnsi="Garamond"/>
          <w:color w:val="000000" w:themeColor="text1"/>
        </w:rPr>
      </w:pPr>
      <w:r>
        <w:rPr>
          <w:noProof/>
          <w:lang w:val="en-US"/>
        </w:rPr>
        <mc:AlternateContent>
          <mc:Choice Requires="wps">
            <w:drawing>
              <wp:anchor distT="0" distB="0" distL="114300" distR="114300" simplePos="0" relativeHeight="251675648" behindDoc="0" locked="0" layoutInCell="1" allowOverlap="1">
                <wp:simplePos x="0" y="0"/>
                <wp:positionH relativeFrom="column">
                  <wp:posOffset>3073400</wp:posOffset>
                </wp:positionH>
                <wp:positionV relativeFrom="paragraph">
                  <wp:posOffset>4375150</wp:posOffset>
                </wp:positionV>
                <wp:extent cx="666115" cy="241300"/>
                <wp:effectExtent l="38100" t="0" r="0" b="25400"/>
                <wp:wrapNone/>
                <wp:docPr id="18" name="Down Arrow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666115" cy="2413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A88F2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8" o:spid="_x0000_s1026" type="#_x0000_t67" style="position:absolute;margin-left:242pt;margin-top:344.5pt;width:52.45pt;height:19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" adj="10800" fillcolor="#70ad47 [3209]" strokecolor="#375623 [1609]" strokeweight="1pt">
                <v:path arrowok="t"/>
              </v:shape>
            </w:pict>
          </mc:Fallback>
        </mc:AlternateContent>
      </w:r>
      <w:r>
        <w:rPr>
          <w:noProof/>
          <w:lang w:val="en-US"/>
        </w:rPr>
        <mc:AlternateContent>
          <mc:Choice Requires="wps">
            <w:drawing>
              <wp:anchor distT="0" distB="0" distL="114300" distR="114300" simplePos="0" relativeHeight="251674624" behindDoc="0" locked="0" layoutInCell="1" allowOverlap="1">
                <wp:simplePos x="0" y="0"/>
                <wp:positionH relativeFrom="column">
                  <wp:posOffset>3067050</wp:posOffset>
                </wp:positionH>
                <wp:positionV relativeFrom="paragraph">
                  <wp:posOffset>3448050</wp:posOffset>
                </wp:positionV>
                <wp:extent cx="666115" cy="241300"/>
                <wp:effectExtent l="38100" t="0" r="0" b="25400"/>
                <wp:wrapNone/>
                <wp:docPr id="17" name="Down Arrow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666115" cy="2413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7E12C1" id="Down Arrow 17" o:spid="_x0000_s1026" type="#_x0000_t67" style="position:absolute;margin-left:241.5pt;margin-top:271.5pt;width:52.45pt;height:19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" adj="10800" fillcolor="#70ad47 [3209]" strokecolor="#375623 [1609]" strokeweight="1pt">
                <v:path arrowok="t"/>
              </v:shape>
            </w:pict>
          </mc:Fallback>
        </mc:AlternateContent>
      </w:r>
      <w:r>
        <w:rPr>
          <w:noProof/>
          <w:lang w:val="en-US"/>
        </w:rPr>
        <mc:AlternateContent>
          <mc:Choice Requires="wps">
            <w:drawing>
              <wp:anchor distT="0" distB="0" distL="114300" distR="114300" simplePos="0" relativeHeight="251669504" behindDoc="0" locked="0" layoutInCell="1" allowOverlap="1">
                <wp:simplePos x="0" y="0"/>
                <wp:positionH relativeFrom="column">
                  <wp:posOffset>2324100</wp:posOffset>
                </wp:positionH>
                <wp:positionV relativeFrom="paragraph">
                  <wp:posOffset>3797935</wp:posOffset>
                </wp:positionV>
                <wp:extent cx="2317750" cy="514350"/>
                <wp:effectExtent l="0" t="0" r="635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7750" cy="514350"/>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3B4870" w:rsidRDefault="003B4870" w:rsidP="003B4870">
                            <w:pPr>
                              <w:spacing w:after="0"/>
                              <w:jc w:val="center"/>
                              <w:rPr>
                                <w:b/>
                                <w:bCs/>
                              </w:rPr>
                            </w:pPr>
                            <w:r>
                              <w:rPr>
                                <w:b/>
                                <w:bCs/>
                              </w:rPr>
                              <w:t>EXPRESSION OF CONSENT</w:t>
                            </w:r>
                          </w:p>
                          <w:p w:rsidR="002C6FDB" w:rsidRDefault="003B4870" w:rsidP="003B4870">
                            <w:pPr>
                              <w:spacing w:after="0"/>
                              <w:jc w:val="center"/>
                            </w:pPr>
                            <w:r>
                              <w:t xml:space="preserve"> (oral / written / factual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183pt;margin-top:299.05pt;width:182.5pt;height: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" fillcolor="#c3c3c3 [2166]" strokecolor="#a5a5a5 [3206]" strokeweight=".5pt">
                <v:fill color2="#b6b6b6 [2614]" rotate="t" colors="0 #d2d2d2;.5 #c8c8c8;1 silver" focus="100%" type="gradient">
                  <o:fill v:ext="view" type="gradientUnscaled"/>
                </v:fill>
                <v:path arrowok="t"/>
                <v:textbox>
                  <w:txbxContent>
                    <w:p w:rsidR="003B4870" w:rsidRDefault="003B4870" w:rsidP="003B4870">
                      <w:pPr>
                        <w:spacing w:after="0"/>
                        <w:jc w:val="center"/>
                        <w:rPr>
                          <w:b/>
                          <w:bCs/>
                        </w:rPr>
                      </w:pPr>
                      <w:r>
                        <w:rPr>
                          <w:b/>
                          <w:bCs/>
                        </w:rPr>
                        <w:t>EXPRESSION OF CONSENT</w:t>
                      </w:r>
                    </w:p>
                    <w:p w:rsidR="002C6FDB" w:rsidRDefault="003B4870" w:rsidP="003B4870">
                      <w:pPr>
                        <w:spacing w:after="0"/>
                        <w:jc w:val="center"/>
                      </w:pPr>
                      <w:r>
                        <w:t xml:space="preserve"> (oral / written / factual action)</w:t>
                      </w:r>
                    </w:p>
                  </w:txbxContent>
                </v:textbox>
              </v:rect>
            </w:pict>
          </mc:Fallback>
        </mc:AlternateContent>
      </w:r>
      <w:r>
        <w:rPr>
          <w:noProof/>
          <w:lang w:val="en-US"/>
        </w:rPr>
        <mc:AlternateContent>
          <mc:Choice Requires="wps">
            <w:drawing>
              <wp:anchor distT="0" distB="0" distL="114300" distR="114300" simplePos="0" relativeHeight="251673600" behindDoc="0" locked="0" layoutInCell="1" allowOverlap="1">
                <wp:simplePos x="0" y="0"/>
                <wp:positionH relativeFrom="column">
                  <wp:posOffset>3016250</wp:posOffset>
                </wp:positionH>
                <wp:positionV relativeFrom="paragraph">
                  <wp:posOffset>2388235</wp:posOffset>
                </wp:positionV>
                <wp:extent cx="666115" cy="241300"/>
                <wp:effectExtent l="38100" t="0" r="0" b="25400"/>
                <wp:wrapNone/>
                <wp:docPr id="16" name="Down Arrow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666115" cy="2413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C9245" id="Down Arrow 16" o:spid="_x0000_s1026" type="#_x0000_t67" style="position:absolute;margin-left:237.5pt;margin-top:188.05pt;width:52.45pt;height:19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" adj="10800" fillcolor="#70ad47 [3209]" strokecolor="#375623 [1609]" strokeweight="1pt">
                <v:path arrowok="t"/>
              </v:shape>
            </w:pict>
          </mc:Fallback>
        </mc:AlternateContent>
      </w:r>
      <w:r>
        <w:rPr>
          <w:noProof/>
          <w:lang w:val="en-US"/>
        </w:rPr>
        <mc:AlternateContent>
          <mc:Choice Requires="wps">
            <w:drawing>
              <wp:anchor distT="0" distB="0" distL="114300" distR="114300" simplePos="0" relativeHeight="251672576" behindDoc="0" locked="0" layoutInCell="1" allowOverlap="1">
                <wp:simplePos x="0" y="0"/>
                <wp:positionH relativeFrom="column">
                  <wp:posOffset>3092450</wp:posOffset>
                </wp:positionH>
                <wp:positionV relativeFrom="paragraph">
                  <wp:posOffset>1651635</wp:posOffset>
                </wp:positionV>
                <wp:extent cx="666115" cy="241300"/>
                <wp:effectExtent l="38100" t="0" r="0" b="25400"/>
                <wp:wrapNone/>
                <wp:docPr id="15" name="Down Arrow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666115" cy="2413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E4CF9" id="Down Arrow 15" o:spid="_x0000_s1026" type="#_x0000_t67" style="position:absolute;margin-left:243.5pt;margin-top:130.05pt;width:52.45pt;height:19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" adj="10800" fillcolor="#70ad47 [3209]" strokecolor="#375623 [1609]" strokeweight="1pt">
                <v:path arrowok="t"/>
              </v:shape>
            </w:pict>
          </mc:Fallback>
        </mc:AlternateContent>
      </w:r>
      <w:r>
        <w:rPr>
          <w:noProof/>
          <w:lang w:val="en-US"/>
        </w:rPr>
        <mc:AlternateContent>
          <mc:Choice Requires="wps">
            <w:drawing>
              <wp:anchor distT="0" distB="0" distL="114300" distR="114300" simplePos="0" relativeHeight="251671552" behindDoc="0" locked="0" layoutInCell="1" allowOverlap="1">
                <wp:simplePos x="0" y="0"/>
                <wp:positionH relativeFrom="column">
                  <wp:posOffset>3066415</wp:posOffset>
                </wp:positionH>
                <wp:positionV relativeFrom="paragraph">
                  <wp:posOffset>838835</wp:posOffset>
                </wp:positionV>
                <wp:extent cx="666115" cy="241300"/>
                <wp:effectExtent l="38100" t="0" r="0" b="25400"/>
                <wp:wrapNone/>
                <wp:docPr id="13" name="Down Arrow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666115" cy="2413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D351F" id="Down Arrow 13" o:spid="_x0000_s1026" type="#_x0000_t67" style="position:absolute;margin-left:241.45pt;margin-top:66.05pt;width:52.45pt;height:19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" adj="10800" fillcolor="#70ad47 [3209]" strokecolor="#375623 [1609]" strokeweight="1pt">
                <v:path arrowok="t"/>
              </v:shape>
            </w:pict>
          </mc:Fallback>
        </mc:AlternateContent>
      </w:r>
      <w:r>
        <w:rPr>
          <w:noProof/>
          <w:lang w:val="en-US"/>
        </w:rPr>
        <mc:AlternateContent>
          <mc:Choice Requires="wps">
            <w:drawing>
              <wp:anchor distT="0" distB="0" distL="114300" distR="114300" simplePos="0" relativeHeight="251665408" behindDoc="0" locked="0" layoutInCell="1" allowOverlap="1">
                <wp:simplePos x="0" y="0"/>
                <wp:positionH relativeFrom="column">
                  <wp:posOffset>2203450</wp:posOffset>
                </wp:positionH>
                <wp:positionV relativeFrom="paragraph">
                  <wp:posOffset>305435</wp:posOffset>
                </wp:positionV>
                <wp:extent cx="2616200" cy="47625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6200" cy="476250"/>
                        </a:xfrm>
                        <a:prstGeom prst="rect">
                          <a:avLst/>
                        </a:prstGeom>
                      </wps:spPr>
                      <wps:style>
                        <a:lnRef idx="1">
                          <a:schemeClr val="accent6"/>
                        </a:lnRef>
                        <a:fillRef idx="2">
                          <a:schemeClr val="accent6"/>
                        </a:fillRef>
                        <a:effectRef idx="1">
                          <a:schemeClr val="accent6"/>
                        </a:effectRef>
                        <a:fontRef idx="minor">
                          <a:schemeClr val="dk1"/>
                        </a:fontRef>
                      </wps:style>
                      <wps:txbx>
                        <w:txbxContent>
                          <w:p w:rsidR="003B4870" w:rsidRDefault="003B4870" w:rsidP="003B4870">
                            <w:pPr>
                              <w:spacing w:after="0"/>
                              <w:jc w:val="center"/>
                            </w:pPr>
                            <w:r>
                              <w:rPr>
                                <w:b/>
                                <w:bCs/>
                              </w:rPr>
                              <w:t>MEDICAL INFORMATION</w:t>
                            </w:r>
                            <w:r>
                              <w:t xml:space="preserve"> </w:t>
                            </w:r>
                          </w:p>
                          <w:p w:rsidR="002C6FDB" w:rsidRDefault="003B4870" w:rsidP="003B4870">
                            <w:pPr>
                              <w:spacing w:after="0"/>
                              <w:jc w:val="center"/>
                            </w:pPr>
                            <w:r>
                              <w:t>(honest, complete, proportional, relevant)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7" style="position:absolute;margin-left:173.5pt;margin-top:24.05pt;width:206pt;height: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" fillcolor="#9ecb81 [2169]" strokecolor="#70ad47 [3209]" strokeweight=".5pt">
                <v:fill color2="#8ac066 [2617]" rotate="t" colors="0 #b5d5a7;.5 #aace99;1 #9cca86" focus="100%" type="gradient">
                  <o:fill v:ext="view" type="gradientUnscaled"/>
                </v:fill>
                <v:path arrowok="t"/>
                <v:textbox>
                  <w:txbxContent>
                    <w:p w:rsidR="003B4870" w:rsidRDefault="003B4870" w:rsidP="003B4870">
                      <w:pPr>
                        <w:spacing w:after="0"/>
                        <w:jc w:val="center"/>
                      </w:pPr>
                      <w:r>
                        <w:rPr>
                          <w:b/>
                          <w:bCs/>
                        </w:rPr>
                        <w:t>MEDICAL INFORMATION</w:t>
                      </w:r>
                      <w:r>
                        <w:t xml:space="preserve"> </w:t>
                      </w:r>
                    </w:p>
                    <w:p w:rsidR="002C6FDB" w:rsidRDefault="003B4870" w:rsidP="003B4870">
                      <w:pPr>
                        <w:spacing w:after="0"/>
                        <w:jc w:val="center"/>
                      </w:pPr>
                      <w:r>
                        <w:t>(honest, complete, proportional, relevant)</w:t>
                      </w:r>
                    </w:p>
                  </w:txbxContent>
                </v:textbox>
              </v:rect>
            </w:pict>
          </mc:Fallback>
        </mc:AlternateContent>
      </w:r>
      <w:r>
        <w:rPr>
          <w:noProof/>
          <w:lang w:val="en-US"/>
        </w:rPr>
        <mc:AlternateContent>
          <mc:Choice Requires="wps">
            <w:drawing>
              <wp:anchor distT="4294967295" distB="4294967295" distL="114300" distR="114300" simplePos="0" relativeHeight="251663360" behindDoc="0" locked="0" layoutInCell="1" allowOverlap="1">
                <wp:simplePos x="0" y="0"/>
                <wp:positionH relativeFrom="column">
                  <wp:posOffset>3670300</wp:posOffset>
                </wp:positionH>
                <wp:positionV relativeFrom="paragraph">
                  <wp:posOffset>6210934</wp:posOffset>
                </wp:positionV>
                <wp:extent cx="200025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002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3A2C700" id="Straight Connector 5" o:spid="_x0000_s1026" style="position:absolute;flip:x;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9pt,489.05pt" to="446.5pt,48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" strokecolor="#4472c4 [3204]" strokeweight=".5pt">
                <v:stroke joinstyle="miter"/>
                <o:lock v:ext="edit" shapetype="f"/>
              </v:line>
            </w:pict>
          </mc:Fallback>
        </mc:AlternateContent>
      </w:r>
      <w:r>
        <w:rPr>
          <w:noProof/>
          <w:lang w:val="en-US"/>
        </w:rPr>
        <mc:AlternateContent>
          <mc:Choice Requires="wps">
            <w:drawing>
              <wp:anchor distT="0" distB="0" distL="114300" distR="114300" simplePos="0" relativeHeight="251661312" behindDoc="0" locked="0" layoutInCell="1" allowOverlap="1">
                <wp:simplePos x="0" y="0"/>
                <wp:positionH relativeFrom="column">
                  <wp:posOffset>5613400</wp:posOffset>
                </wp:positionH>
                <wp:positionV relativeFrom="paragraph">
                  <wp:posOffset>121285</wp:posOffset>
                </wp:positionV>
                <wp:extent cx="63500" cy="6089650"/>
                <wp:effectExtent l="0" t="0" r="12700" b="63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0" cy="6089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566D8E"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2pt,9.55pt" to="447pt,48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" strokecolor="#4472c4 [3204]" strokeweight=".5pt">
                <v:stroke joinstyle="miter"/>
                <o:lock v:ext="edit" shapetype="f"/>
              </v:line>
            </w:pict>
          </mc:Fallback>
        </mc:AlternateContent>
      </w:r>
      <w:r>
        <w:rPr>
          <w:noProof/>
          <w:lang w:val="en-US"/>
        </w:rPr>
        <mc:AlternateContent>
          <mc:Choice Requires="wps">
            <w:drawing>
              <wp:anchor distT="0" distB="0" distL="114300" distR="114300" simplePos="0" relativeHeight="251662336" behindDoc="0" locked="0" layoutInCell="1" allowOverlap="1">
                <wp:simplePos x="0" y="0"/>
                <wp:positionH relativeFrom="column">
                  <wp:posOffset>1143000</wp:posOffset>
                </wp:positionH>
                <wp:positionV relativeFrom="paragraph">
                  <wp:posOffset>6249035</wp:posOffset>
                </wp:positionV>
                <wp:extent cx="1257300" cy="6350"/>
                <wp:effectExtent l="0" t="0" r="0" b="127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5730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A8801EA"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492.05pt" to="189pt,4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" strokecolor="#4472c4 [3204]" strokeweight=".5pt">
                <v:stroke joinstyle="miter"/>
                <o:lock v:ext="edit" shapetype="f"/>
              </v:line>
            </w:pict>
          </mc:Fallback>
        </mc:AlternateContent>
      </w:r>
      <w:r>
        <w:rPr>
          <w:noProof/>
          <w:lang w:val="en-US"/>
        </w:rPr>
        <mc:AlternateContent>
          <mc:Choice Requires="wps">
            <w:drawing>
              <wp:anchor distT="0" distB="0" distL="114300" distR="114300" simplePos="0" relativeHeight="251660288" behindDoc="0" locked="0" layoutInCell="1" allowOverlap="1">
                <wp:simplePos x="0" y="0"/>
                <wp:positionH relativeFrom="column">
                  <wp:posOffset>1111250</wp:posOffset>
                </wp:positionH>
                <wp:positionV relativeFrom="paragraph">
                  <wp:posOffset>146685</wp:posOffset>
                </wp:positionV>
                <wp:extent cx="6350" cy="6096000"/>
                <wp:effectExtent l="0" t="0" r="1270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0" cy="6096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440929"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5pt,11.55pt" to="88pt,49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" strokecolor="#4472c4 [3204]" strokeweight=".5pt">
                <v:stroke joinstyle="miter"/>
                <o:lock v:ext="edit" shapetype="f"/>
              </v:line>
            </w:pict>
          </mc:Fallback>
        </mc:AlternateContent>
      </w:r>
      <w:r>
        <w:rPr>
          <w:noProof/>
          <w:lang w:val="en-US"/>
        </w:rPr>
        <mc:AlternateContent>
          <mc:Choice Requires="wps">
            <w:drawing>
              <wp:anchor distT="0" distB="0" distL="114300" distR="114300" simplePos="0" relativeHeight="251659264" behindDoc="0" locked="0" layoutInCell="1" allowOverlap="1">
                <wp:simplePos x="0" y="0"/>
                <wp:positionH relativeFrom="column">
                  <wp:posOffset>1085850</wp:posOffset>
                </wp:positionH>
                <wp:positionV relativeFrom="paragraph">
                  <wp:posOffset>108585</wp:posOffset>
                </wp:positionV>
                <wp:extent cx="4495800" cy="1905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4958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9C2821"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8.55pt" to="439.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" strokecolor="#4472c4 [3204]" strokeweight=".5pt">
                <v:stroke joinstyle="miter"/>
                <o:lock v:ext="edit" shapetype="f"/>
              </v:line>
            </w:pict>
          </mc:Fallback>
        </mc:AlternateContent>
      </w:r>
    </w:p>
    <w:p w:rsidR="00100618" w:rsidRPr="00DD05DC" w:rsidRDefault="00100618" w:rsidP="00100618">
      <w:pPr>
        <w:ind w:firstLine="480"/>
        <w:jc w:val="both"/>
        <w:rPr>
          <w:rFonts w:ascii="Garamond" w:hAnsi="Garamond"/>
          <w:color w:val="000000" w:themeColor="text1"/>
        </w:rPr>
      </w:pPr>
    </w:p>
    <w:p w:rsidR="00100618" w:rsidRPr="00DD05DC" w:rsidRDefault="00100618" w:rsidP="00100618">
      <w:pPr>
        <w:ind w:firstLine="480"/>
        <w:jc w:val="both"/>
        <w:rPr>
          <w:rFonts w:ascii="Garamond" w:hAnsi="Garamond"/>
          <w:color w:val="000000" w:themeColor="text1"/>
        </w:rPr>
      </w:pPr>
    </w:p>
    <w:p w:rsidR="006351CC" w:rsidRPr="00DD05DC" w:rsidRDefault="006351CC" w:rsidP="00DE7EBC">
      <w:pPr>
        <w:pStyle w:val="NormalWeb"/>
        <w:spacing w:before="0" w:beforeAutospacing="0" w:after="0" w:afterAutospacing="0" w:line="276" w:lineRule="auto"/>
        <w:ind w:firstLine="360"/>
        <w:jc w:val="both"/>
        <w:rPr>
          <w:rFonts w:ascii="Garamond" w:hAnsi="Garamond"/>
          <w:color w:val="000000" w:themeColor="text1"/>
        </w:rPr>
      </w:pPr>
    </w:p>
    <w:p w:rsidR="006351CC" w:rsidRPr="00DD05DC" w:rsidRDefault="00D45EF1" w:rsidP="00DE7EBC">
      <w:pPr>
        <w:pStyle w:val="NormalWeb"/>
        <w:spacing w:before="0" w:beforeAutospacing="0" w:after="0" w:afterAutospacing="0" w:line="276" w:lineRule="auto"/>
        <w:ind w:firstLine="360"/>
        <w:jc w:val="both"/>
        <w:rPr>
          <w:rFonts w:ascii="Garamond" w:hAnsi="Garamond"/>
          <w:color w:val="000000" w:themeColor="text1"/>
        </w:rPr>
      </w:pPr>
      <w:r>
        <w:rPr>
          <w:noProof/>
          <w:lang w:val="en-US"/>
        </w:rPr>
        <mc:AlternateContent>
          <mc:Choice Requires="wps">
            <w:drawing>
              <wp:anchor distT="0" distB="0" distL="114300" distR="114300" simplePos="0" relativeHeight="251666432" behindDoc="0" locked="0" layoutInCell="1" allowOverlap="1">
                <wp:simplePos x="0" y="0"/>
                <wp:positionH relativeFrom="column">
                  <wp:posOffset>1174750</wp:posOffset>
                </wp:positionH>
                <wp:positionV relativeFrom="paragraph">
                  <wp:posOffset>20320</wp:posOffset>
                </wp:positionV>
                <wp:extent cx="4368800" cy="51435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8800" cy="514350"/>
                        </a:xfrm>
                        <a:prstGeom prst="rect">
                          <a:avLst/>
                        </a:prstGeom>
                      </wps:spPr>
                      <wps:style>
                        <a:lnRef idx="2">
                          <a:schemeClr val="accent4"/>
                        </a:lnRef>
                        <a:fillRef idx="1">
                          <a:schemeClr val="lt1"/>
                        </a:fillRef>
                        <a:effectRef idx="0">
                          <a:schemeClr val="accent4"/>
                        </a:effectRef>
                        <a:fontRef idx="minor">
                          <a:schemeClr val="dk1"/>
                        </a:fontRef>
                      </wps:style>
                      <wps:txbx>
                        <w:txbxContent>
                          <w:p w:rsidR="003B4870" w:rsidRDefault="003B4870" w:rsidP="006351CC">
                            <w:pPr>
                              <w:spacing w:after="0" w:line="240" w:lineRule="auto"/>
                              <w:jc w:val="center"/>
                            </w:pPr>
                            <w:r>
                              <w:rPr>
                                <w:b/>
                                <w:bCs/>
                              </w:rPr>
                              <w:t>PATIENT COMPREHENSION</w:t>
                            </w:r>
                            <w:r>
                              <w:t xml:space="preserve"> </w:t>
                            </w:r>
                          </w:p>
                          <w:p w:rsidR="002C6FDB" w:rsidRDefault="003B4870" w:rsidP="006351CC">
                            <w:pPr>
                              <w:spacing w:after="0" w:line="240" w:lineRule="auto"/>
                              <w:jc w:val="center"/>
                            </w:pPr>
                            <w:r>
                              <w:t>(layman's language, appropriate to psychological &amp; social condition)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8" style="position:absolute;left:0;text-align:left;margin-left:92.5pt;margin-top:1.6pt;width:344pt;height:4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" fillcolor="white [3201]" strokecolor="#ffc000 [3207]" strokeweight="1pt">
                <v:path arrowok="t"/>
                <v:textbox>
                  <w:txbxContent>
                    <w:p w:rsidR="003B4870" w:rsidRDefault="003B4870" w:rsidP="006351CC">
                      <w:pPr>
                        <w:spacing w:after="0" w:line="240" w:lineRule="auto"/>
                        <w:jc w:val="center"/>
                      </w:pPr>
                      <w:r>
                        <w:rPr>
                          <w:b/>
                          <w:bCs/>
                        </w:rPr>
                        <w:t>PATIENT COMPREHENSION</w:t>
                      </w:r>
                      <w:r>
                        <w:t xml:space="preserve"> </w:t>
                      </w:r>
                    </w:p>
                    <w:p w:rsidR="002C6FDB" w:rsidRDefault="003B4870" w:rsidP="006351CC">
                      <w:pPr>
                        <w:spacing w:after="0" w:line="240" w:lineRule="auto"/>
                        <w:jc w:val="center"/>
                      </w:pPr>
                      <w:r>
                        <w:t>(layman's language, appropriate to psychological &amp; social condition)</w:t>
                      </w:r>
                    </w:p>
                  </w:txbxContent>
                </v:textbox>
              </v:rect>
            </w:pict>
          </mc:Fallback>
        </mc:AlternateContent>
      </w:r>
    </w:p>
    <w:p w:rsidR="006351CC" w:rsidRPr="00DD05DC" w:rsidRDefault="006351CC" w:rsidP="00DE7EBC">
      <w:pPr>
        <w:pStyle w:val="NormalWeb"/>
        <w:spacing w:before="0" w:beforeAutospacing="0" w:after="0" w:afterAutospacing="0" w:line="276" w:lineRule="auto"/>
        <w:ind w:firstLine="360"/>
        <w:jc w:val="both"/>
        <w:rPr>
          <w:rFonts w:ascii="Garamond" w:hAnsi="Garamond"/>
          <w:color w:val="000000" w:themeColor="text1"/>
        </w:rPr>
      </w:pPr>
    </w:p>
    <w:p w:rsidR="006351CC" w:rsidRPr="00DD05DC" w:rsidRDefault="006351CC" w:rsidP="00DE7EBC">
      <w:pPr>
        <w:pStyle w:val="NormalWeb"/>
        <w:spacing w:before="0" w:beforeAutospacing="0" w:after="0" w:afterAutospacing="0" w:line="276" w:lineRule="auto"/>
        <w:ind w:firstLine="360"/>
        <w:jc w:val="both"/>
        <w:rPr>
          <w:rFonts w:ascii="Garamond" w:hAnsi="Garamond"/>
          <w:color w:val="000000" w:themeColor="text1"/>
        </w:rPr>
      </w:pPr>
    </w:p>
    <w:p w:rsidR="006351CC" w:rsidRPr="00DD05DC" w:rsidRDefault="006351CC" w:rsidP="00DE7EBC">
      <w:pPr>
        <w:pStyle w:val="NormalWeb"/>
        <w:spacing w:before="0" w:beforeAutospacing="0" w:after="0" w:afterAutospacing="0" w:line="276" w:lineRule="auto"/>
        <w:ind w:firstLine="360"/>
        <w:jc w:val="both"/>
        <w:rPr>
          <w:rFonts w:ascii="Garamond" w:hAnsi="Garamond"/>
          <w:color w:val="000000" w:themeColor="text1"/>
        </w:rPr>
      </w:pPr>
    </w:p>
    <w:p w:rsidR="006351CC" w:rsidRPr="00DD05DC" w:rsidRDefault="00D45EF1" w:rsidP="00DE7EBC">
      <w:pPr>
        <w:pStyle w:val="NormalWeb"/>
        <w:spacing w:before="0" w:beforeAutospacing="0" w:after="0" w:afterAutospacing="0" w:line="276" w:lineRule="auto"/>
        <w:ind w:firstLine="360"/>
        <w:jc w:val="both"/>
        <w:rPr>
          <w:rFonts w:ascii="Garamond" w:hAnsi="Garamond"/>
          <w:color w:val="000000" w:themeColor="text1"/>
        </w:rPr>
      </w:pPr>
      <w:r>
        <w:rPr>
          <w:noProof/>
          <w:lang w:val="en-US"/>
        </w:rPr>
        <mc:AlternateContent>
          <mc:Choice Requires="wps">
            <w:drawing>
              <wp:anchor distT="0" distB="0" distL="114300" distR="114300" simplePos="0" relativeHeight="251667456" behindDoc="0" locked="0" layoutInCell="1" allowOverlap="1">
                <wp:simplePos x="0" y="0"/>
                <wp:positionH relativeFrom="column">
                  <wp:posOffset>1320800</wp:posOffset>
                </wp:positionH>
                <wp:positionV relativeFrom="paragraph">
                  <wp:posOffset>19685</wp:posOffset>
                </wp:positionV>
                <wp:extent cx="3778250" cy="51435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78250" cy="514350"/>
                        </a:xfrm>
                        <a:prstGeom prst="rect">
                          <a:avLst/>
                        </a:prstGeom>
                      </wps:spPr>
                      <wps:style>
                        <a:lnRef idx="1">
                          <a:schemeClr val="accent4"/>
                        </a:lnRef>
                        <a:fillRef idx="2">
                          <a:schemeClr val="accent4"/>
                        </a:fillRef>
                        <a:effectRef idx="1">
                          <a:schemeClr val="accent4"/>
                        </a:effectRef>
                        <a:fontRef idx="minor">
                          <a:schemeClr val="dk1"/>
                        </a:fontRef>
                      </wps:style>
                      <wps:txbx>
                        <w:txbxContent>
                          <w:p w:rsidR="003B4870" w:rsidRDefault="003B4870" w:rsidP="003B4870">
                            <w:pPr>
                              <w:spacing w:after="0" w:line="240" w:lineRule="auto"/>
                              <w:jc w:val="center"/>
                            </w:pPr>
                            <w:r>
                              <w:rPr>
                                <w:b/>
                                <w:bCs/>
                              </w:rPr>
                              <w:t>FREE WILL</w:t>
                            </w:r>
                            <w:r>
                              <w:t xml:space="preserve"> </w:t>
                            </w:r>
                          </w:p>
                          <w:p w:rsidR="002C6FDB" w:rsidRDefault="003B4870" w:rsidP="003B4870">
                            <w:pPr>
                              <w:spacing w:after="0" w:line="240" w:lineRule="auto"/>
                              <w:jc w:val="center"/>
                            </w:pPr>
                            <w:r>
                              <w:t>(without coercion, pressure, manipulation, or fear)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9" style="position:absolute;left:0;text-align:left;margin-left:104pt;margin-top:1.55pt;width:297.5pt;height: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" fillcolor="#ffd555 [2167]" strokecolor="#ffc000 [3207]" strokeweight=".5pt">
                <v:fill color2="#ffcc31 [2615]" rotate="t" colors="0 #ffdd9c;.5 #ffd78e;1 #ffd479" focus="100%" type="gradient">
                  <o:fill v:ext="view" type="gradientUnscaled"/>
                </v:fill>
                <v:path arrowok="t"/>
                <v:textbox>
                  <w:txbxContent>
                    <w:p w:rsidR="003B4870" w:rsidRDefault="003B4870" w:rsidP="003B4870">
                      <w:pPr>
                        <w:spacing w:after="0" w:line="240" w:lineRule="auto"/>
                        <w:jc w:val="center"/>
                      </w:pPr>
                      <w:r>
                        <w:rPr>
                          <w:b/>
                          <w:bCs/>
                        </w:rPr>
                        <w:t>FREE WILL</w:t>
                      </w:r>
                      <w:r>
                        <w:t xml:space="preserve"> </w:t>
                      </w:r>
                    </w:p>
                    <w:p w:rsidR="002C6FDB" w:rsidRDefault="003B4870" w:rsidP="003B4870">
                      <w:pPr>
                        <w:spacing w:after="0" w:line="240" w:lineRule="auto"/>
                        <w:jc w:val="center"/>
                      </w:pPr>
                      <w:r>
                        <w:t>(without coercion, pressure, manipulation, or fear)</w:t>
                      </w:r>
                    </w:p>
                  </w:txbxContent>
                </v:textbox>
              </v:rect>
            </w:pict>
          </mc:Fallback>
        </mc:AlternateContent>
      </w:r>
    </w:p>
    <w:p w:rsidR="006351CC" w:rsidRPr="00DD05DC" w:rsidRDefault="006351CC" w:rsidP="00DE7EBC">
      <w:pPr>
        <w:pStyle w:val="NormalWeb"/>
        <w:spacing w:before="0" w:beforeAutospacing="0" w:after="0" w:afterAutospacing="0" w:line="276" w:lineRule="auto"/>
        <w:ind w:firstLine="360"/>
        <w:jc w:val="both"/>
        <w:rPr>
          <w:rFonts w:ascii="Garamond" w:hAnsi="Garamond"/>
          <w:color w:val="000000" w:themeColor="text1"/>
        </w:rPr>
      </w:pPr>
    </w:p>
    <w:p w:rsidR="006351CC" w:rsidRPr="00DD05DC" w:rsidRDefault="006351CC" w:rsidP="00DE7EBC">
      <w:pPr>
        <w:pStyle w:val="NormalWeb"/>
        <w:spacing w:before="0" w:beforeAutospacing="0" w:after="0" w:afterAutospacing="0" w:line="276" w:lineRule="auto"/>
        <w:ind w:firstLine="360"/>
        <w:jc w:val="both"/>
        <w:rPr>
          <w:rFonts w:ascii="Garamond" w:hAnsi="Garamond"/>
          <w:color w:val="000000" w:themeColor="text1"/>
        </w:rPr>
      </w:pPr>
    </w:p>
    <w:p w:rsidR="006351CC" w:rsidRPr="00DD05DC" w:rsidRDefault="00D45EF1" w:rsidP="00DE7EBC">
      <w:pPr>
        <w:pStyle w:val="NormalWeb"/>
        <w:spacing w:before="0" w:beforeAutospacing="0" w:after="0" w:afterAutospacing="0" w:line="276" w:lineRule="auto"/>
        <w:ind w:firstLine="360"/>
        <w:jc w:val="both"/>
        <w:rPr>
          <w:rFonts w:ascii="Garamond" w:hAnsi="Garamond"/>
          <w:color w:val="000000" w:themeColor="text1"/>
        </w:rPr>
      </w:pPr>
      <w:r>
        <w:rPr>
          <w:noProof/>
          <w:lang w:val="en-US"/>
        </w:rPr>
        <mc:AlternateContent>
          <mc:Choice Requires="wps">
            <w:drawing>
              <wp:anchor distT="0" distB="0" distL="114300" distR="114300" simplePos="0" relativeHeight="251668480" behindDoc="0" locked="0" layoutInCell="1" allowOverlap="1">
                <wp:simplePos x="0" y="0"/>
                <wp:positionH relativeFrom="column">
                  <wp:posOffset>2241550</wp:posOffset>
                </wp:positionH>
                <wp:positionV relativeFrom="paragraph">
                  <wp:posOffset>183515</wp:posOffset>
                </wp:positionV>
                <wp:extent cx="2019300" cy="685800"/>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0" cy="685800"/>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2C6FDB" w:rsidRPr="006B1A58" w:rsidRDefault="003B4870" w:rsidP="006351CC">
                            <w:pPr>
                              <w:spacing w:after="0" w:line="240" w:lineRule="auto"/>
                              <w:jc w:val="center"/>
                              <w:rPr>
                                <w:rFonts w:ascii="Garamond" w:hAnsi="Garamond"/>
                              </w:rPr>
                            </w:pPr>
                            <w:r>
                              <w:t>Mutual consent</w:t>
                            </w:r>
                          </w:p>
                          <w:p w:rsidR="002C6FDB" w:rsidRDefault="002C6FDB" w:rsidP="006351CC">
                            <w:pPr>
                              <w:spacing w:after="0" w:line="240" w:lineRule="auto"/>
                              <w:jc w:val="center"/>
                              <w:rPr>
                                <w:rFonts w:ascii="Garamond" w:hAnsi="Garamond"/>
                              </w:rPr>
                            </w:pPr>
                            <w:r w:rsidRPr="006B1A58">
                              <w:rPr>
                                <w:rFonts w:ascii="Garamond" w:hAnsi="Garamond"/>
                              </w:rPr>
                              <w:t>(AT-TARĀ</w:t>
                            </w:r>
                            <w:r w:rsidRPr="006B1A58">
                              <w:rPr>
                                <w:rFonts w:ascii="Cambria" w:hAnsi="Cambria" w:cs="Cambria"/>
                              </w:rPr>
                              <w:t>Ḍ</w:t>
                            </w:r>
                            <w:r w:rsidRPr="006B1A58">
                              <w:rPr>
                                <w:rFonts w:ascii="Garamond" w:hAnsi="Garamond"/>
                              </w:rPr>
                              <w:t>Ī)</w:t>
                            </w:r>
                          </w:p>
                          <w:p w:rsidR="003B4870" w:rsidRDefault="002C6FDB" w:rsidP="006351CC">
                            <w:pPr>
                              <w:spacing w:after="0" w:line="240" w:lineRule="auto"/>
                              <w:jc w:val="center"/>
                            </w:pPr>
                            <w:r>
                              <w:t xml:space="preserve">← </w:t>
                            </w:r>
                            <w:r w:rsidR="003B4870">
                              <w:t xml:space="preserve">The core of legitimacy </w:t>
                            </w:r>
                            <w:r>
                              <w:t xml:space="preserve">→    </w:t>
                            </w:r>
                          </w:p>
                          <w:p w:rsidR="002C6FDB" w:rsidRPr="006B1A58" w:rsidRDefault="002C6FDB" w:rsidP="006351CC">
                            <w:pPr>
                              <w:spacing w:after="0" w:line="240" w:lineRule="auto"/>
                              <w:jc w:val="center"/>
                              <w:rPr>
                                <w:rFonts w:ascii="Garamond" w:hAnsi="Garamond"/>
                              </w:rP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30" style="position:absolute;left:0;text-align:left;margin-left:176.5pt;margin-top:14.45pt;width:159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" fillcolor="#82a0d7 [2164]" strokecolor="#4472c4 [3204]" strokeweight=".5pt">
                <v:fill color2="#678ccf [2612]" rotate="t" colors="0 #a8b7df;.5 #9aabd9;1 #879ed7" focus="100%" type="gradient">
                  <o:fill v:ext="view" type="gradientUnscaled"/>
                </v:fill>
                <v:path arrowok="t"/>
                <v:textbox>
                  <w:txbxContent>
                    <w:p w:rsidR="002C6FDB" w:rsidRPr="006B1A58" w:rsidRDefault="003B4870" w:rsidP="006351CC">
                      <w:pPr>
                        <w:spacing w:after="0" w:line="240" w:lineRule="auto"/>
                        <w:jc w:val="center"/>
                        <w:rPr>
                          <w:rFonts w:ascii="Garamond" w:hAnsi="Garamond"/>
                        </w:rPr>
                      </w:pPr>
                      <w:r>
                        <w:t>Mutual consent</w:t>
                      </w:r>
                    </w:p>
                    <w:p w:rsidR="002C6FDB" w:rsidRDefault="002C6FDB" w:rsidP="006351CC">
                      <w:pPr>
                        <w:spacing w:after="0" w:line="240" w:lineRule="auto"/>
                        <w:jc w:val="center"/>
                        <w:rPr>
                          <w:rFonts w:ascii="Garamond" w:hAnsi="Garamond"/>
                        </w:rPr>
                      </w:pPr>
                      <w:r w:rsidRPr="006B1A58">
                        <w:rPr>
                          <w:rFonts w:ascii="Garamond" w:hAnsi="Garamond"/>
                        </w:rPr>
                        <w:t>(AT-TARĀ</w:t>
                      </w:r>
                      <w:r w:rsidRPr="006B1A58">
                        <w:rPr>
                          <w:rFonts w:ascii="Cambria" w:hAnsi="Cambria" w:cs="Cambria"/>
                        </w:rPr>
                        <w:t>Ḍ</w:t>
                      </w:r>
                      <w:r w:rsidRPr="006B1A58">
                        <w:rPr>
                          <w:rFonts w:ascii="Garamond" w:hAnsi="Garamond"/>
                        </w:rPr>
                        <w:t>Ī)</w:t>
                      </w:r>
                    </w:p>
                    <w:p w:rsidR="003B4870" w:rsidRDefault="002C6FDB" w:rsidP="006351CC">
                      <w:pPr>
                        <w:spacing w:after="0" w:line="240" w:lineRule="auto"/>
                        <w:jc w:val="center"/>
                      </w:pPr>
                      <w:r>
                        <w:t xml:space="preserve">← </w:t>
                      </w:r>
                      <w:r w:rsidR="003B4870">
                        <w:t xml:space="preserve">The core of legitimacy </w:t>
                      </w:r>
                      <w:r>
                        <w:t xml:space="preserve">→    </w:t>
                      </w:r>
                    </w:p>
                    <w:p w:rsidR="002C6FDB" w:rsidRPr="006B1A58" w:rsidRDefault="002C6FDB" w:rsidP="006351CC">
                      <w:pPr>
                        <w:spacing w:after="0" w:line="240" w:lineRule="auto"/>
                        <w:jc w:val="center"/>
                        <w:rPr>
                          <w:rFonts w:ascii="Garamond" w:hAnsi="Garamond"/>
                        </w:rPr>
                      </w:pPr>
                      <w:r>
                        <w:t xml:space="preserve">  </w:t>
                      </w:r>
                    </w:p>
                  </w:txbxContent>
                </v:textbox>
              </v:rect>
            </w:pict>
          </mc:Fallback>
        </mc:AlternateContent>
      </w:r>
    </w:p>
    <w:p w:rsidR="006351CC" w:rsidRPr="00DD05DC" w:rsidRDefault="006351CC" w:rsidP="00DE7EBC">
      <w:pPr>
        <w:pStyle w:val="NormalWeb"/>
        <w:spacing w:before="0" w:beforeAutospacing="0" w:after="0" w:afterAutospacing="0" w:line="276" w:lineRule="auto"/>
        <w:ind w:firstLine="360"/>
        <w:jc w:val="both"/>
        <w:rPr>
          <w:rFonts w:ascii="Garamond" w:hAnsi="Garamond"/>
          <w:color w:val="000000" w:themeColor="text1"/>
        </w:rPr>
      </w:pPr>
    </w:p>
    <w:p w:rsidR="006351CC" w:rsidRPr="00DD05DC" w:rsidRDefault="006351CC" w:rsidP="00DE7EBC">
      <w:pPr>
        <w:pStyle w:val="NormalWeb"/>
        <w:spacing w:before="0" w:beforeAutospacing="0" w:after="0" w:afterAutospacing="0" w:line="276" w:lineRule="auto"/>
        <w:ind w:firstLine="360"/>
        <w:jc w:val="both"/>
        <w:rPr>
          <w:rFonts w:ascii="Garamond" w:hAnsi="Garamond"/>
          <w:color w:val="000000" w:themeColor="text1"/>
        </w:rPr>
      </w:pPr>
    </w:p>
    <w:p w:rsidR="006351CC" w:rsidRPr="00DD05DC" w:rsidRDefault="006351CC" w:rsidP="00DE7EBC">
      <w:pPr>
        <w:pStyle w:val="NormalWeb"/>
        <w:spacing w:before="0" w:beforeAutospacing="0" w:after="0" w:afterAutospacing="0" w:line="276" w:lineRule="auto"/>
        <w:ind w:firstLine="360"/>
        <w:jc w:val="both"/>
        <w:rPr>
          <w:rFonts w:ascii="Garamond" w:hAnsi="Garamond"/>
          <w:color w:val="000000" w:themeColor="text1"/>
        </w:rPr>
      </w:pPr>
    </w:p>
    <w:p w:rsidR="006351CC" w:rsidRPr="00DD05DC" w:rsidRDefault="006351CC" w:rsidP="00DE7EBC">
      <w:pPr>
        <w:pStyle w:val="NormalWeb"/>
        <w:spacing w:before="0" w:beforeAutospacing="0" w:after="0" w:afterAutospacing="0" w:line="276" w:lineRule="auto"/>
        <w:ind w:firstLine="360"/>
        <w:jc w:val="both"/>
        <w:rPr>
          <w:rFonts w:ascii="Garamond" w:hAnsi="Garamond"/>
          <w:color w:val="000000" w:themeColor="text1"/>
        </w:rPr>
      </w:pPr>
    </w:p>
    <w:p w:rsidR="006351CC" w:rsidRPr="00DD05DC" w:rsidRDefault="006351CC" w:rsidP="00DE7EBC">
      <w:pPr>
        <w:pStyle w:val="NormalWeb"/>
        <w:spacing w:before="0" w:beforeAutospacing="0" w:after="0" w:afterAutospacing="0" w:line="276" w:lineRule="auto"/>
        <w:ind w:firstLine="360"/>
        <w:jc w:val="both"/>
        <w:rPr>
          <w:rFonts w:ascii="Garamond" w:hAnsi="Garamond"/>
          <w:color w:val="000000" w:themeColor="text1"/>
        </w:rPr>
      </w:pPr>
    </w:p>
    <w:p w:rsidR="006351CC" w:rsidRPr="00DD05DC" w:rsidRDefault="006351CC" w:rsidP="00DE7EBC">
      <w:pPr>
        <w:pStyle w:val="NormalWeb"/>
        <w:spacing w:before="0" w:beforeAutospacing="0" w:after="0" w:afterAutospacing="0" w:line="276" w:lineRule="auto"/>
        <w:ind w:firstLine="360"/>
        <w:jc w:val="both"/>
        <w:rPr>
          <w:rFonts w:ascii="Garamond" w:hAnsi="Garamond"/>
          <w:color w:val="000000" w:themeColor="text1"/>
        </w:rPr>
      </w:pPr>
    </w:p>
    <w:p w:rsidR="006351CC" w:rsidRPr="00DD05DC" w:rsidRDefault="006351CC" w:rsidP="00DE7EBC">
      <w:pPr>
        <w:pStyle w:val="NormalWeb"/>
        <w:spacing w:before="0" w:beforeAutospacing="0" w:after="0" w:afterAutospacing="0" w:line="276" w:lineRule="auto"/>
        <w:ind w:firstLine="360"/>
        <w:jc w:val="both"/>
        <w:rPr>
          <w:rFonts w:ascii="Garamond" w:hAnsi="Garamond"/>
          <w:color w:val="000000" w:themeColor="text1"/>
        </w:rPr>
      </w:pPr>
    </w:p>
    <w:p w:rsidR="006351CC" w:rsidRPr="00DD05DC" w:rsidRDefault="006351CC" w:rsidP="00DE7EBC">
      <w:pPr>
        <w:pStyle w:val="NormalWeb"/>
        <w:spacing w:before="0" w:beforeAutospacing="0" w:after="0" w:afterAutospacing="0" w:line="276" w:lineRule="auto"/>
        <w:ind w:firstLine="360"/>
        <w:jc w:val="both"/>
        <w:rPr>
          <w:rFonts w:ascii="Garamond" w:hAnsi="Garamond"/>
          <w:color w:val="000000" w:themeColor="text1"/>
        </w:rPr>
      </w:pPr>
    </w:p>
    <w:p w:rsidR="006351CC" w:rsidRPr="00DD05DC" w:rsidRDefault="006351CC" w:rsidP="00DE7EBC">
      <w:pPr>
        <w:pStyle w:val="NormalWeb"/>
        <w:spacing w:before="0" w:beforeAutospacing="0" w:after="0" w:afterAutospacing="0" w:line="276" w:lineRule="auto"/>
        <w:ind w:firstLine="360"/>
        <w:jc w:val="both"/>
        <w:rPr>
          <w:rFonts w:ascii="Garamond" w:hAnsi="Garamond"/>
          <w:color w:val="000000" w:themeColor="text1"/>
        </w:rPr>
      </w:pPr>
    </w:p>
    <w:p w:rsidR="006351CC" w:rsidRPr="00DD05DC" w:rsidRDefault="006351CC" w:rsidP="00DE7EBC">
      <w:pPr>
        <w:pStyle w:val="NormalWeb"/>
        <w:spacing w:before="0" w:beforeAutospacing="0" w:after="0" w:afterAutospacing="0" w:line="276" w:lineRule="auto"/>
        <w:ind w:firstLine="360"/>
        <w:jc w:val="both"/>
        <w:rPr>
          <w:rFonts w:ascii="Garamond" w:hAnsi="Garamond"/>
          <w:color w:val="000000" w:themeColor="text1"/>
        </w:rPr>
      </w:pPr>
    </w:p>
    <w:p w:rsidR="006351CC" w:rsidRPr="00DD05DC" w:rsidRDefault="00D45EF1" w:rsidP="00DE7EBC">
      <w:pPr>
        <w:pStyle w:val="NormalWeb"/>
        <w:spacing w:before="0" w:beforeAutospacing="0" w:after="0" w:afterAutospacing="0" w:line="276" w:lineRule="auto"/>
        <w:ind w:firstLine="360"/>
        <w:jc w:val="both"/>
        <w:rPr>
          <w:rFonts w:ascii="Garamond" w:hAnsi="Garamond"/>
          <w:color w:val="000000" w:themeColor="text1"/>
        </w:rPr>
      </w:pPr>
      <w:r>
        <w:rPr>
          <w:noProof/>
          <w:lang w:val="en-US"/>
        </w:rPr>
        <mc:AlternateContent>
          <mc:Choice Requires="wps">
            <w:drawing>
              <wp:anchor distT="0" distB="0" distL="114300" distR="114300" simplePos="0" relativeHeight="251670528" behindDoc="0" locked="0" layoutInCell="1" allowOverlap="1">
                <wp:simplePos x="0" y="0"/>
                <wp:positionH relativeFrom="column">
                  <wp:posOffset>1866900</wp:posOffset>
                </wp:positionH>
                <wp:positionV relativeFrom="paragraph">
                  <wp:posOffset>53340</wp:posOffset>
                </wp:positionV>
                <wp:extent cx="2730500" cy="508000"/>
                <wp:effectExtent l="0" t="0" r="0" b="63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0500" cy="508000"/>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C70100" w:rsidRPr="00C70100" w:rsidRDefault="00C70100" w:rsidP="00C70100">
                            <w:pPr>
                              <w:spacing w:before="100" w:beforeAutospacing="1" w:after="100" w:afterAutospacing="1" w:line="240" w:lineRule="auto"/>
                              <w:jc w:val="center"/>
                              <w:rPr>
                                <w:rFonts w:ascii="Times New Roman" w:hAnsi="Times New Roman"/>
                                <w:kern w:val="0"/>
                                <w:lang w:val="en-US"/>
                              </w:rPr>
                            </w:pPr>
                            <w:r w:rsidRPr="00C70100">
                              <w:rPr>
                                <w:b/>
                                <w:bCs/>
                                <w:lang w:val="en-US"/>
                              </w:rPr>
                              <w:t>VALIDITY OF MEDICAL ACTION</w:t>
                            </w:r>
                            <w:r w:rsidRPr="00C70100">
                              <w:rPr>
                                <w:rFonts w:ascii="Times New Roman" w:hAnsi="Times New Roman"/>
                                <w:kern w:val="0"/>
                                <w:lang w:val="en-US"/>
                              </w:rPr>
                              <w:t xml:space="preserve"> (legal</w:t>
                            </w:r>
                            <w:r>
                              <w:rPr>
                                <w:rFonts w:ascii="Times New Roman" w:hAnsi="Times New Roman"/>
                                <w:kern w:val="0"/>
                                <w:lang w:val="en-US"/>
                              </w:rPr>
                              <w:t xml:space="preserve"> +</w:t>
                            </w:r>
                            <w:r w:rsidRPr="00C70100">
                              <w:rPr>
                                <w:rFonts w:ascii="Times New Roman" w:hAnsi="Times New Roman"/>
                                <w:kern w:val="0"/>
                                <w:lang w:val="en-US"/>
                              </w:rPr>
                              <w:t>ethical + Shar'i)</w:t>
                            </w:r>
                          </w:p>
                          <w:p w:rsidR="002C6FDB" w:rsidRDefault="002C6FDB" w:rsidP="006351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31" style="position:absolute;left:0;text-align:left;margin-left:147pt;margin-top:4.2pt;width:215pt;height:4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" fillcolor="#f3a875 [2165]" strokecolor="#ed7d31 [3205]" strokeweight=".5pt">
                <v:fill color2="#f09558 [2613]" rotate="t" colors="0 #f7bda4;.5 #f5b195;1 #f8a581" focus="100%" type="gradient">
                  <o:fill v:ext="view" type="gradientUnscaled"/>
                </v:fill>
                <v:path arrowok="t"/>
                <v:textbox>
                  <w:txbxContent>
                    <w:p w:rsidR="00C70100" w:rsidRPr="00C70100" w:rsidRDefault="00C70100" w:rsidP="00C70100">
                      <w:pPr>
                        <w:spacing w:before="100" w:beforeAutospacing="1" w:after="100" w:afterAutospacing="1" w:line="240" w:lineRule="auto"/>
                        <w:jc w:val="center"/>
                        <w:rPr>
                          <w:rFonts w:ascii="Times New Roman" w:hAnsi="Times New Roman"/>
                          <w:kern w:val="0"/>
                          <w:lang w:val="en-US"/>
                        </w:rPr>
                      </w:pPr>
                      <w:r w:rsidRPr="00C70100">
                        <w:rPr>
                          <w:b/>
                          <w:bCs/>
                          <w:lang w:val="en-US"/>
                        </w:rPr>
                        <w:t>VALIDITY OF MEDICAL ACTION</w:t>
                      </w:r>
                      <w:r w:rsidRPr="00C70100">
                        <w:rPr>
                          <w:rFonts w:ascii="Times New Roman" w:hAnsi="Times New Roman"/>
                          <w:kern w:val="0"/>
                          <w:lang w:val="en-US"/>
                        </w:rPr>
                        <w:t xml:space="preserve"> (legal</w:t>
                      </w:r>
                      <w:r>
                        <w:rPr>
                          <w:rFonts w:ascii="Times New Roman" w:hAnsi="Times New Roman"/>
                          <w:kern w:val="0"/>
                          <w:lang w:val="en-US"/>
                        </w:rPr>
                        <w:t xml:space="preserve"> +</w:t>
                      </w:r>
                      <w:r w:rsidRPr="00C70100">
                        <w:rPr>
                          <w:rFonts w:ascii="Times New Roman" w:hAnsi="Times New Roman"/>
                          <w:kern w:val="0"/>
                          <w:lang w:val="en-US"/>
                        </w:rPr>
                        <w:t>ethical + Shar'i)</w:t>
                      </w:r>
                    </w:p>
                    <w:p w:rsidR="002C6FDB" w:rsidRDefault="002C6FDB" w:rsidP="006351CC">
                      <w:pPr>
                        <w:jc w:val="center"/>
                      </w:pPr>
                    </w:p>
                  </w:txbxContent>
                </v:textbox>
              </v:rect>
            </w:pict>
          </mc:Fallback>
        </mc:AlternateContent>
      </w:r>
    </w:p>
    <w:p w:rsidR="006351CC" w:rsidRPr="00DD05DC" w:rsidRDefault="006351CC" w:rsidP="00DE7EBC">
      <w:pPr>
        <w:pStyle w:val="NormalWeb"/>
        <w:spacing w:before="0" w:beforeAutospacing="0" w:after="0" w:afterAutospacing="0" w:line="276" w:lineRule="auto"/>
        <w:ind w:firstLine="360"/>
        <w:jc w:val="both"/>
        <w:rPr>
          <w:rFonts w:ascii="Garamond" w:hAnsi="Garamond"/>
          <w:color w:val="000000" w:themeColor="text1"/>
        </w:rPr>
      </w:pPr>
    </w:p>
    <w:p w:rsidR="006351CC" w:rsidRPr="00DD05DC" w:rsidRDefault="00D45EF1">
      <w:pPr>
        <w:rPr>
          <w:rFonts w:ascii="Garamond" w:hAnsi="Garamond"/>
          <w:color w:val="000000" w:themeColor="text1"/>
          <w:kern w:val="0"/>
        </w:rPr>
      </w:pPr>
      <w:r>
        <w:rPr>
          <w:noProof/>
          <w:lang w:val="en-US"/>
        </w:rPr>
        <mc:AlternateContent>
          <mc:Choice Requires="wps">
            <w:drawing>
              <wp:anchor distT="0" distB="0" distL="114300" distR="114300" simplePos="0" relativeHeight="251664384" behindDoc="0" locked="0" layoutInCell="1" allowOverlap="1">
                <wp:simplePos x="0" y="0"/>
                <wp:positionH relativeFrom="column">
                  <wp:posOffset>2203450</wp:posOffset>
                </wp:positionH>
                <wp:positionV relativeFrom="paragraph">
                  <wp:posOffset>998855</wp:posOffset>
                </wp:positionV>
                <wp:extent cx="2457450" cy="85725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7450" cy="857250"/>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C70100" w:rsidRDefault="00C70100" w:rsidP="00C70100">
                            <w:pPr>
                              <w:jc w:val="center"/>
                            </w:pPr>
                            <w:r>
                              <w:rPr>
                                <w:b/>
                                <w:bCs/>
                              </w:rPr>
                              <w:t>TRUSTWORTHINESS RESPONSIBILITY (AMĀNAH)</w:t>
                            </w:r>
                          </w:p>
                          <w:p w:rsidR="002C6FDB" w:rsidRDefault="00C70100" w:rsidP="00C70100">
                            <w:pPr>
                              <w:jc w:val="center"/>
                            </w:pPr>
                            <w:r>
                              <w:t>(not nullified by consent)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32" style="position:absolute;margin-left:173.5pt;margin-top:78.65pt;width:193.5pt;height: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" fillcolor="#91bce3 [2168]" strokecolor="#5b9bd5 [3208]" strokeweight=".5pt">
                <v:fill color2="#7aaddd [2616]" rotate="t" colors="0 #b1cbe9;.5 #a3c1e5;1 #92b9e4" focus="100%" type="gradient">
                  <o:fill v:ext="view" type="gradientUnscaled"/>
                </v:fill>
                <v:path arrowok="t"/>
                <v:textbox>
                  <w:txbxContent>
                    <w:p w:rsidR="00C70100" w:rsidRDefault="00C70100" w:rsidP="00C70100">
                      <w:pPr>
                        <w:jc w:val="center"/>
                      </w:pPr>
                      <w:r>
                        <w:rPr>
                          <w:b/>
                          <w:bCs/>
                        </w:rPr>
                        <w:t>TRUSTWORTHINESS RESPONSIBILITY (AMĀNAH)</w:t>
                      </w:r>
                    </w:p>
                    <w:p w:rsidR="002C6FDB" w:rsidRDefault="00C70100" w:rsidP="00C70100">
                      <w:pPr>
                        <w:jc w:val="center"/>
                      </w:pPr>
                      <w:r>
                        <w:t>(not nullified by consent)</w:t>
                      </w:r>
                    </w:p>
                  </w:txbxContent>
                </v:textbox>
              </v:rect>
            </w:pict>
          </mc:Fallback>
        </mc:AlternateContent>
      </w:r>
      <w:r w:rsidR="006351CC" w:rsidRPr="00DD05DC">
        <w:rPr>
          <w:rFonts w:ascii="Garamond" w:hAnsi="Garamond"/>
          <w:color w:val="000000" w:themeColor="text1"/>
        </w:rPr>
        <w:br w:type="page"/>
      </w:r>
    </w:p>
    <w:p w:rsidR="002B6B8E" w:rsidRPr="00DD05DC" w:rsidRDefault="002B6B8E" w:rsidP="00DE7EBC">
      <w:pPr>
        <w:pStyle w:val="NormalWeb"/>
        <w:spacing w:before="0" w:beforeAutospacing="0" w:after="0" w:afterAutospacing="0" w:line="276" w:lineRule="auto"/>
        <w:ind w:firstLine="360"/>
        <w:jc w:val="both"/>
        <w:rPr>
          <w:rFonts w:ascii="Garamond" w:hAnsi="Garamond"/>
          <w:color w:val="000000" w:themeColor="text1"/>
        </w:rPr>
      </w:pPr>
      <w:r w:rsidRPr="00DD05DC">
        <w:rPr>
          <w:rFonts w:ascii="Garamond" w:hAnsi="Garamond"/>
          <w:color w:val="000000" w:themeColor="text1"/>
        </w:rPr>
        <w:lastRenderedPageBreak/>
        <w:t>Image Explanation</w:t>
      </w:r>
    </w:p>
    <w:p w:rsidR="006351CC" w:rsidRPr="00DD05DC" w:rsidRDefault="00100618" w:rsidP="00DE7EBC">
      <w:pPr>
        <w:pStyle w:val="NormalWeb"/>
        <w:spacing w:before="0" w:beforeAutospacing="0" w:after="0" w:afterAutospacing="0" w:line="276" w:lineRule="auto"/>
        <w:ind w:firstLine="360"/>
        <w:jc w:val="both"/>
        <w:rPr>
          <w:rFonts w:ascii="Garamond" w:hAnsi="Garamond"/>
          <w:color w:val="000000" w:themeColor="text1"/>
        </w:rPr>
      </w:pPr>
      <w:r w:rsidRPr="00DD05DC">
        <w:rPr>
          <w:rFonts w:ascii="Garamond" w:hAnsi="Garamond"/>
          <w:color w:val="000000" w:themeColor="text1"/>
        </w:rPr>
        <w:t>Figure 1. shows the informed consent model ba</w:t>
      </w:r>
      <w:r w:rsidR="003B4870" w:rsidRPr="00DD05DC">
        <w:rPr>
          <w:rFonts w:ascii="Garamond" w:hAnsi="Garamond"/>
          <w:color w:val="000000" w:themeColor="text1"/>
        </w:rPr>
        <w:t>sed on the principle of at-tarā</w:t>
      </w:r>
      <w:r w:rsidR="003B4870" w:rsidRPr="00DD05DC">
        <w:rPr>
          <w:rFonts w:ascii="Cambria" w:hAnsi="Cambria" w:cs="Cambria"/>
          <w:color w:val="000000" w:themeColor="text1"/>
        </w:rPr>
        <w:t>ḍ</w:t>
      </w:r>
      <w:r w:rsidR="006351CC" w:rsidRPr="00DD05DC">
        <w:rPr>
          <w:rFonts w:ascii="Garamond" w:hAnsi="Garamond" w:cs="Garamond"/>
          <w:color w:val="000000" w:themeColor="text1"/>
        </w:rPr>
        <w:t xml:space="preserve">ī </w:t>
      </w:r>
      <w:r w:rsidR="006351CC" w:rsidRPr="00DD05DC">
        <w:rPr>
          <w:rFonts w:ascii="Garamond" w:hAnsi="Garamond"/>
          <w:color w:val="000000" w:themeColor="text1"/>
        </w:rPr>
        <w:t>which places legal protection for patients not on the administrative fulfillment of consent, but on ensuring true willingness born from understanding, free will, and honest information, so that the law functions as an instrument of substantive justice, not merely a formal legitimation of medical actions.</w:t>
      </w:r>
    </w:p>
    <w:p w:rsidR="00094DB3" w:rsidRPr="00DD05DC" w:rsidRDefault="00094DB3" w:rsidP="00DE7EBC">
      <w:pPr>
        <w:pStyle w:val="NormalWeb"/>
        <w:spacing w:before="0" w:beforeAutospacing="0" w:after="0" w:afterAutospacing="0" w:line="276" w:lineRule="auto"/>
        <w:ind w:firstLine="360"/>
        <w:jc w:val="both"/>
        <w:rPr>
          <w:rFonts w:ascii="Garamond" w:hAnsi="Garamond"/>
          <w:color w:val="000000" w:themeColor="text1"/>
        </w:rPr>
      </w:pPr>
      <w:r w:rsidRPr="00DD05DC">
        <w:rPr>
          <w:rFonts w:ascii="Garamond" w:hAnsi="Garamond"/>
          <w:color w:val="000000" w:themeColor="text1"/>
        </w:rPr>
        <w:t>The diagram shows that the doctor's responsibility for trust is inherent and continuous, beginning with the delivery of medical information, continuing throughout the procedure, and not ending with the granting of informed co</w:t>
      </w:r>
      <w:r w:rsidR="003B4870" w:rsidRPr="00DD05DC">
        <w:rPr>
          <w:rFonts w:ascii="Garamond" w:hAnsi="Garamond"/>
          <w:color w:val="000000" w:themeColor="text1"/>
        </w:rPr>
        <w:t>nsent. The principle of at-tarā</w:t>
      </w:r>
      <w:r w:rsidR="003B4870" w:rsidRPr="00DD05DC">
        <w:rPr>
          <w:rFonts w:ascii="Cambria" w:hAnsi="Cambria" w:cs="Cambria"/>
          <w:color w:val="000000" w:themeColor="text1"/>
        </w:rPr>
        <w:t>ḍ</w:t>
      </w:r>
      <w:r w:rsidRPr="00DD05DC">
        <w:rPr>
          <w:rFonts w:ascii="Garamond" w:hAnsi="Garamond" w:cs="Garamond"/>
          <w:color w:val="000000" w:themeColor="text1"/>
        </w:rPr>
        <w:t xml:space="preserve">ī </w:t>
      </w:r>
      <w:r w:rsidRPr="00DD05DC">
        <w:rPr>
          <w:rFonts w:ascii="Garamond" w:hAnsi="Garamond"/>
          <w:color w:val="000000" w:themeColor="text1"/>
        </w:rPr>
        <w:t>serves as the core of legitimizing patient consent, while trust affirms the legal, ethical, and spiritual responsibilities of medical personnel.</w:t>
      </w:r>
    </w:p>
    <w:p w:rsidR="005A66EC" w:rsidRPr="00DD05DC" w:rsidRDefault="005A66EC" w:rsidP="00772C78">
      <w:pPr>
        <w:pStyle w:val="NormalWeb"/>
        <w:spacing w:before="0" w:beforeAutospacing="0" w:line="276" w:lineRule="auto"/>
        <w:ind w:firstLine="360"/>
        <w:jc w:val="both"/>
        <w:rPr>
          <w:rFonts w:ascii="Garamond" w:hAnsi="Garamond"/>
          <w:color w:val="000000" w:themeColor="text1"/>
        </w:rPr>
      </w:pPr>
      <w:r w:rsidRPr="00DD05DC">
        <w:rPr>
          <w:rStyle w:val="Emphasis"/>
          <w:rFonts w:ascii="Garamond" w:hAnsi="Garamond" w:cs="Garamond"/>
          <w:color w:val="000000" w:themeColor="text1"/>
        </w:rPr>
        <w:t xml:space="preserve">The </w:t>
      </w:r>
      <w:r w:rsidRPr="00DD05DC">
        <w:rPr>
          <w:rFonts w:ascii="Garamond" w:hAnsi="Garamond"/>
          <w:color w:val="000000" w:themeColor="text1"/>
        </w:rPr>
        <w:t xml:space="preserve">conceptual reconstruction </w:t>
      </w:r>
      <w:r w:rsidRPr="00DD05DC">
        <w:rPr>
          <w:rStyle w:val="Emphasis"/>
          <w:rFonts w:ascii="Garamond" w:hAnsi="Garamond"/>
          <w:color w:val="000000" w:themeColor="text1"/>
        </w:rPr>
        <w:t xml:space="preserve">of informed consent </w:t>
      </w:r>
      <w:r w:rsidRPr="00DD05DC">
        <w:rPr>
          <w:rFonts w:ascii="Garamond" w:hAnsi="Garamond"/>
          <w:color w:val="000000" w:themeColor="text1"/>
        </w:rPr>
        <w:t xml:space="preserve">is carried out by positioning </w:t>
      </w:r>
      <w:r w:rsidRPr="00DD05DC">
        <w:rPr>
          <w:rStyle w:val="Emphasis"/>
          <w:rFonts w:ascii="Garamond" w:hAnsi="Garamond"/>
          <w:color w:val="000000" w:themeColor="text1"/>
        </w:rPr>
        <w:t xml:space="preserve">informed consent </w:t>
      </w:r>
      <w:r w:rsidRPr="00DD05DC">
        <w:rPr>
          <w:rFonts w:ascii="Garamond" w:hAnsi="Garamond"/>
          <w:color w:val="000000" w:themeColor="text1"/>
        </w:rPr>
        <w:t xml:space="preserve">not merely as an administrative procedure, but as a </w:t>
      </w:r>
      <w:r w:rsidRPr="00DD05DC">
        <w:rPr>
          <w:rStyle w:val="Strong"/>
          <w:rFonts w:ascii="Garamond" w:hAnsi="Garamond"/>
          <w:b w:val="0"/>
          <w:color w:val="000000" w:themeColor="text1"/>
        </w:rPr>
        <w:t xml:space="preserve">medical contractual relationship ( </w:t>
      </w:r>
      <w:r w:rsidRPr="00DD05DC">
        <w:rPr>
          <w:rStyle w:val="Emphasis"/>
          <w:rFonts w:ascii="Garamond" w:hAnsi="Garamond"/>
          <w:bCs/>
          <w:color w:val="000000" w:themeColor="text1"/>
        </w:rPr>
        <w:t xml:space="preserve">medical contract </w:t>
      </w:r>
      <w:r w:rsidRPr="00DD05DC">
        <w:rPr>
          <w:rStyle w:val="Strong"/>
          <w:rFonts w:ascii="Garamond" w:hAnsi="Garamond"/>
          <w:b w:val="0"/>
          <w:color w:val="000000" w:themeColor="text1"/>
        </w:rPr>
        <w:t xml:space="preserve">) </w:t>
      </w:r>
      <w:r w:rsidRPr="00DD05DC">
        <w:rPr>
          <w:rFonts w:ascii="Garamond" w:hAnsi="Garamond"/>
          <w:color w:val="000000" w:themeColor="text1"/>
        </w:rPr>
        <w:t xml:space="preserve">based on the principle </w:t>
      </w:r>
      <w:r w:rsidRPr="00DD05DC">
        <w:rPr>
          <w:rStyle w:val="Emphasis"/>
          <w:rFonts w:ascii="Garamond" w:hAnsi="Garamond"/>
          <w:color w:val="000000" w:themeColor="text1"/>
        </w:rPr>
        <w:t>of At-Tarā</w:t>
      </w:r>
      <w:r w:rsidRPr="00DD05DC">
        <w:rPr>
          <w:rStyle w:val="Emphasis"/>
          <w:rFonts w:ascii="Cambria" w:hAnsi="Cambria" w:cs="Cambria"/>
          <w:color w:val="000000" w:themeColor="text1"/>
        </w:rPr>
        <w:t>ḍ</w:t>
      </w:r>
      <w:r w:rsidRPr="00DD05DC">
        <w:rPr>
          <w:rStyle w:val="Emphasis"/>
          <w:rFonts w:ascii="Garamond" w:hAnsi="Garamond" w:cs="Garamond"/>
          <w:color w:val="000000" w:themeColor="text1"/>
        </w:rPr>
        <w:t>ī</w:t>
      </w:r>
      <w:r w:rsidRPr="00DD05DC">
        <w:rPr>
          <w:rStyle w:val="Emphasis"/>
          <w:rFonts w:ascii="Garamond" w:hAnsi="Garamond"/>
          <w:color w:val="000000" w:themeColor="text1"/>
        </w:rPr>
        <w:t xml:space="preserve"> </w:t>
      </w:r>
      <w:r w:rsidRPr="00DD05DC">
        <w:rPr>
          <w:rStyle w:val="Emphasis"/>
          <w:rFonts w:ascii="Garamond" w:hAnsi="Garamond" w:cs="Cambria"/>
          <w:color w:val="000000" w:themeColor="text1"/>
        </w:rPr>
        <w:t xml:space="preserve">, </w:t>
      </w:r>
      <w:r w:rsidRPr="00DD05DC">
        <w:rPr>
          <w:rFonts w:ascii="Garamond" w:hAnsi="Garamond"/>
          <w:color w:val="000000" w:themeColor="text1"/>
        </w:rPr>
        <w:t xml:space="preserve">namely willingness and agreement born of free will, adequate understanding, and justice for the parties. This reconstruction is not intended to replace positive health law, but rather to enrich and deepen the meaning of consent to medical actions. This process is visualized in </w:t>
      </w:r>
      <w:r w:rsidR="00DD05DC">
        <w:rPr>
          <w:rStyle w:val="Strong"/>
          <w:rFonts w:ascii="Garamond" w:hAnsi="Garamond"/>
          <w:b w:val="0"/>
          <w:color w:val="000000" w:themeColor="text1"/>
        </w:rPr>
        <w:t>Diagram 1</w:t>
      </w:r>
      <w:r w:rsidRPr="00DD05DC">
        <w:rPr>
          <w:rFonts w:ascii="Garamond" w:hAnsi="Garamond"/>
          <w:color w:val="000000" w:themeColor="text1"/>
        </w:rPr>
        <w:t>, which shows the transformation flow from procedural consent to substantive consent based on contractual justice.</w:t>
      </w:r>
    </w:p>
    <w:p w:rsidR="00F551BE" w:rsidRPr="00DD05DC" w:rsidRDefault="00736FEA">
      <w:pPr>
        <w:rPr>
          <w:rFonts w:ascii="Garamond" w:hAnsi="Garamond"/>
          <w:b/>
          <w:color w:val="000000" w:themeColor="text1"/>
        </w:rPr>
      </w:pPr>
      <w:r w:rsidRPr="00DD05DC">
        <w:rPr>
          <w:rFonts w:ascii="Garamond" w:hAnsi="Garamond"/>
          <w:b/>
          <w:color w:val="000000" w:themeColor="text1"/>
        </w:rPr>
        <w:t>CONCLUSION</w:t>
      </w:r>
    </w:p>
    <w:p w:rsidR="000D54C7" w:rsidRPr="00DD05DC" w:rsidRDefault="000D54C7" w:rsidP="000D54C7">
      <w:pPr>
        <w:spacing w:after="0" w:line="360" w:lineRule="auto"/>
        <w:ind w:firstLine="720"/>
        <w:jc w:val="both"/>
        <w:rPr>
          <w:rFonts w:ascii="Garamond" w:hAnsi="Garamond"/>
          <w:kern w:val="0"/>
          <w:lang w:val="en-US"/>
        </w:rPr>
      </w:pPr>
      <w:r w:rsidRPr="000D54C7">
        <w:rPr>
          <w:rFonts w:ascii="Garamond" w:hAnsi="Garamond"/>
          <w:kern w:val="0"/>
          <w:lang w:val="en-US"/>
        </w:rPr>
        <w:t xml:space="preserve">The concept of informed consent within healthcare services exhibits a substantial normative alignment with the Islamic contractual principle of </w:t>
      </w:r>
      <w:r w:rsidRPr="000D54C7">
        <w:rPr>
          <w:rFonts w:ascii="Garamond" w:hAnsi="Garamond"/>
          <w:i/>
          <w:iCs/>
          <w:kern w:val="0"/>
          <w:lang w:val="en-US"/>
        </w:rPr>
        <w:t>at-tarā</w:t>
      </w:r>
      <w:r w:rsidRPr="000D54C7">
        <w:rPr>
          <w:rFonts w:ascii="Cambria" w:hAnsi="Cambria" w:cs="Cambria"/>
          <w:i/>
          <w:iCs/>
          <w:kern w:val="0"/>
          <w:lang w:val="en-US"/>
        </w:rPr>
        <w:t>ḍ</w:t>
      </w:r>
      <w:r w:rsidRPr="000D54C7">
        <w:rPr>
          <w:rFonts w:ascii="Garamond" w:hAnsi="Garamond" w:cs="Garamond"/>
          <w:i/>
          <w:iCs/>
          <w:kern w:val="0"/>
          <w:lang w:val="en-US"/>
        </w:rPr>
        <w:t>ī</w:t>
      </w:r>
      <w:r w:rsidRPr="000D54C7">
        <w:rPr>
          <w:rFonts w:ascii="Garamond" w:hAnsi="Garamond"/>
          <w:kern w:val="0"/>
          <w:lang w:val="en-US"/>
        </w:rPr>
        <w:t xml:space="preserve"> (mutual consent). This congruence is particularly evident concerning the protection of patient willingness, mutual agreement, and the preservation of free will among the contracting parties. However, the operationalization of informed consent within Indonesia’s current positive legal framework often leans toward a procedural and administrative formality, which potentially compromises the substantive quality of the patient’s underlying acquiescence.</w:t>
      </w:r>
    </w:p>
    <w:p w:rsidR="000D54C7" w:rsidRPr="00DD05DC" w:rsidRDefault="000D54C7" w:rsidP="000D54C7">
      <w:pPr>
        <w:spacing w:after="0" w:line="360" w:lineRule="auto"/>
        <w:ind w:firstLine="720"/>
        <w:jc w:val="both"/>
        <w:rPr>
          <w:rFonts w:ascii="Garamond" w:hAnsi="Garamond"/>
          <w:kern w:val="0"/>
          <w:lang w:val="en-US"/>
        </w:rPr>
      </w:pPr>
      <w:r w:rsidRPr="000D54C7">
        <w:rPr>
          <w:rFonts w:ascii="Garamond" w:hAnsi="Garamond"/>
          <w:kern w:val="0"/>
          <w:lang w:val="en-US"/>
        </w:rPr>
        <w:t xml:space="preserve">From the perspective of Islamic contract law, consent to medical procedures can be analytically reconstructed as a </w:t>
      </w:r>
      <w:r w:rsidRPr="000D54C7">
        <w:rPr>
          <w:rFonts w:ascii="Garamond" w:hAnsi="Garamond"/>
          <w:i/>
          <w:iCs/>
          <w:kern w:val="0"/>
          <w:lang w:val="en-US"/>
        </w:rPr>
        <w:t>medical contract</w:t>
      </w:r>
      <w:r w:rsidRPr="000D54C7">
        <w:rPr>
          <w:rFonts w:ascii="Garamond" w:hAnsi="Garamond"/>
          <w:kern w:val="0"/>
          <w:lang w:val="en-US"/>
        </w:rPr>
        <w:t xml:space="preserve"> that establishes a reciprocal legal relationship between the patient and the healthcare professional. The principle of </w:t>
      </w:r>
      <w:r w:rsidRPr="000D54C7">
        <w:rPr>
          <w:rFonts w:ascii="Garamond" w:hAnsi="Garamond"/>
          <w:i/>
          <w:iCs/>
          <w:kern w:val="0"/>
          <w:lang w:val="en-US"/>
        </w:rPr>
        <w:t>at-tarā</w:t>
      </w:r>
      <w:r w:rsidRPr="000D54C7">
        <w:rPr>
          <w:rFonts w:ascii="Cambria" w:hAnsi="Cambria" w:cs="Cambria"/>
          <w:i/>
          <w:iCs/>
          <w:kern w:val="0"/>
          <w:lang w:val="en-US"/>
        </w:rPr>
        <w:t>ḍ</w:t>
      </w:r>
      <w:r w:rsidRPr="000D54C7">
        <w:rPr>
          <w:rFonts w:ascii="Garamond" w:hAnsi="Garamond" w:cs="Garamond"/>
          <w:i/>
          <w:iCs/>
          <w:kern w:val="0"/>
          <w:lang w:val="en-US"/>
        </w:rPr>
        <w:t>ī</w:t>
      </w:r>
      <w:r w:rsidRPr="000D54C7">
        <w:rPr>
          <w:rFonts w:ascii="Garamond" w:hAnsi="Garamond"/>
          <w:kern w:val="0"/>
          <w:lang w:val="en-US"/>
        </w:rPr>
        <w:t xml:space="preserve"> rigorously asserts that the validity of consent is not merely contingent upon the existence of a formal documentation, but must be fundamentally predicated upon adequate patient comprehension, unconstrained freedom of choice, and the definitive absence of coercion or misdirection. This approach offers a highly relevant and constructive framework for complementing the existing provisions on Informed Consent in Indonesian regulations, which, while acknowledging the necessity of patient agreement, typically do not articulate explicit substantive standards for consent validation.</w:t>
      </w:r>
    </w:p>
    <w:p w:rsidR="000D54C7" w:rsidRPr="00DD05DC" w:rsidRDefault="000D54C7" w:rsidP="000D54C7">
      <w:pPr>
        <w:spacing w:after="0" w:line="360" w:lineRule="auto"/>
        <w:ind w:firstLine="720"/>
        <w:jc w:val="both"/>
        <w:rPr>
          <w:rFonts w:ascii="Garamond" w:hAnsi="Garamond"/>
          <w:kern w:val="0"/>
          <w:lang w:val="en-US"/>
        </w:rPr>
      </w:pPr>
      <w:r w:rsidRPr="000D54C7">
        <w:rPr>
          <w:rFonts w:ascii="Garamond" w:hAnsi="Garamond"/>
          <w:kern w:val="0"/>
          <w:lang w:val="en-US"/>
        </w:rPr>
        <w:lastRenderedPageBreak/>
        <w:t xml:space="preserve">Informed consent, when integrated with the principle of </w:t>
      </w:r>
      <w:r w:rsidRPr="000D54C7">
        <w:rPr>
          <w:rFonts w:ascii="Garamond" w:hAnsi="Garamond"/>
          <w:i/>
          <w:iCs/>
          <w:kern w:val="0"/>
          <w:lang w:val="en-US"/>
        </w:rPr>
        <w:t>at-tarā</w:t>
      </w:r>
      <w:r w:rsidRPr="000D54C7">
        <w:rPr>
          <w:rFonts w:ascii="Cambria" w:hAnsi="Cambria" w:cs="Cambria"/>
          <w:i/>
          <w:iCs/>
          <w:kern w:val="0"/>
          <w:lang w:val="en-US"/>
        </w:rPr>
        <w:t>ḍ</w:t>
      </w:r>
      <w:r w:rsidRPr="000D54C7">
        <w:rPr>
          <w:rFonts w:ascii="Garamond" w:hAnsi="Garamond" w:cs="Garamond"/>
          <w:i/>
          <w:iCs/>
          <w:kern w:val="0"/>
          <w:lang w:val="en-US"/>
        </w:rPr>
        <w:t>ī</w:t>
      </w:r>
      <w:r w:rsidRPr="000D54C7">
        <w:rPr>
          <w:rFonts w:ascii="Garamond" w:hAnsi="Garamond"/>
          <w:kern w:val="0"/>
          <w:lang w:val="en-US"/>
        </w:rPr>
        <w:t>, commences with the provision of comprehensive information and proceeds to ensure subsequent patient understanding, thereby empowering patients to exercise their autonomous free will in making medical decisions unencumbered by coercion, pressure, or manipulation. The integration of accurate information, complete comprehension, and volitional autonomy subsequently engenders legitimate consent (</w:t>
      </w:r>
      <w:r w:rsidRPr="000D54C7">
        <w:rPr>
          <w:rFonts w:ascii="Garamond" w:hAnsi="Garamond"/>
          <w:i/>
          <w:iCs/>
          <w:kern w:val="0"/>
          <w:lang w:val="en-US"/>
        </w:rPr>
        <w:t>at-tarā</w:t>
      </w:r>
      <w:r w:rsidRPr="000D54C7">
        <w:rPr>
          <w:rFonts w:ascii="Cambria" w:hAnsi="Cambria" w:cs="Cambria"/>
          <w:i/>
          <w:iCs/>
          <w:kern w:val="0"/>
          <w:lang w:val="en-US"/>
        </w:rPr>
        <w:t>ḍ</w:t>
      </w:r>
      <w:r w:rsidRPr="000D54C7">
        <w:rPr>
          <w:rFonts w:ascii="Garamond" w:hAnsi="Garamond" w:cs="Garamond"/>
          <w:i/>
          <w:iCs/>
          <w:kern w:val="0"/>
          <w:lang w:val="en-US"/>
        </w:rPr>
        <w:t>ī</w:t>
      </w:r>
      <w:r w:rsidRPr="000D54C7">
        <w:rPr>
          <w:rFonts w:ascii="Garamond" w:hAnsi="Garamond"/>
          <w:kern w:val="0"/>
          <w:lang w:val="en-US"/>
        </w:rPr>
        <w:t xml:space="preserve">), which serves as the core of the consent’s normative legitimacy. Medical consent is thus positioned as the ultimate manifestation of this legitimate consensus, ensuring that its validity is determined not solely by its formal expression, but critically by the substantial quality of the deliberative process that precedes it. To further elucidate the conceptual framework of this Reconceptualization of Informed Consent based on </w:t>
      </w:r>
      <w:r w:rsidRPr="000D54C7">
        <w:rPr>
          <w:rFonts w:ascii="Garamond" w:hAnsi="Garamond"/>
          <w:i/>
          <w:iCs/>
          <w:kern w:val="0"/>
          <w:lang w:val="en-US"/>
        </w:rPr>
        <w:t>at-tarā</w:t>
      </w:r>
      <w:r w:rsidRPr="000D54C7">
        <w:rPr>
          <w:rFonts w:ascii="Cambria" w:hAnsi="Cambria" w:cs="Cambria"/>
          <w:i/>
          <w:iCs/>
          <w:kern w:val="0"/>
          <w:lang w:val="en-US"/>
        </w:rPr>
        <w:t>ḍ</w:t>
      </w:r>
      <w:r w:rsidRPr="000D54C7">
        <w:rPr>
          <w:rFonts w:ascii="Garamond" w:hAnsi="Garamond" w:cs="Garamond"/>
          <w:i/>
          <w:iCs/>
          <w:kern w:val="0"/>
          <w:lang w:val="en-US"/>
        </w:rPr>
        <w:t>ī</w:t>
      </w:r>
      <w:r w:rsidRPr="000D54C7">
        <w:rPr>
          <w:rFonts w:ascii="Garamond" w:hAnsi="Garamond"/>
          <w:kern w:val="0"/>
          <w:lang w:val="en-US"/>
        </w:rPr>
        <w:t>, a corresponding Flowchart will be presented.</w:t>
      </w:r>
    </w:p>
    <w:p w:rsidR="000D54C7" w:rsidRPr="000D54C7" w:rsidRDefault="000D54C7" w:rsidP="000D54C7">
      <w:pPr>
        <w:spacing w:after="0" w:line="360" w:lineRule="auto"/>
        <w:ind w:firstLine="720"/>
        <w:jc w:val="both"/>
        <w:rPr>
          <w:rFonts w:ascii="Garamond" w:hAnsi="Garamond"/>
          <w:kern w:val="0"/>
          <w:lang w:val="en-US"/>
        </w:rPr>
      </w:pPr>
      <w:r w:rsidRPr="000D54C7">
        <w:rPr>
          <w:rFonts w:ascii="Garamond" w:hAnsi="Garamond"/>
          <w:kern w:val="0"/>
          <w:lang w:val="en-US"/>
        </w:rPr>
        <w:t xml:space="preserve">The reconstruction of informed consent based on </w:t>
      </w:r>
      <w:r w:rsidRPr="000D54C7">
        <w:rPr>
          <w:rFonts w:ascii="Garamond" w:hAnsi="Garamond"/>
          <w:i/>
          <w:iCs/>
          <w:kern w:val="0"/>
          <w:lang w:val="en-US"/>
        </w:rPr>
        <w:t>at-tarā</w:t>
      </w:r>
      <w:r w:rsidRPr="000D54C7">
        <w:rPr>
          <w:rFonts w:ascii="Cambria" w:hAnsi="Cambria" w:cs="Cambria"/>
          <w:i/>
          <w:iCs/>
          <w:kern w:val="0"/>
          <w:lang w:val="en-US"/>
        </w:rPr>
        <w:t>ḍ</w:t>
      </w:r>
      <w:r w:rsidRPr="000D54C7">
        <w:rPr>
          <w:rFonts w:ascii="Garamond" w:hAnsi="Garamond" w:cs="Garamond"/>
          <w:i/>
          <w:iCs/>
          <w:kern w:val="0"/>
          <w:lang w:val="en-US"/>
        </w:rPr>
        <w:t>ī</w:t>
      </w:r>
      <w:r w:rsidRPr="000D54C7">
        <w:rPr>
          <w:rFonts w:ascii="Garamond" w:hAnsi="Garamond"/>
          <w:kern w:val="0"/>
          <w:lang w:val="en-US"/>
        </w:rPr>
        <w:t xml:space="preserve"> as proposed in this study offers a normative model that seamlessly integrates legal mandate, ethical imperatives, and contractual justice. This integrated model not only robustly reinforces the legal legitimacy of consent for medical procedures but also provides a more equitable and humane foundation for healthcare relationships, especially in the context of informed consent. Future scholarly inquiry is recommended to empirically validate the implementation of </w:t>
      </w:r>
      <w:r w:rsidRPr="000D54C7">
        <w:rPr>
          <w:rFonts w:ascii="Garamond" w:hAnsi="Garamond"/>
          <w:i/>
          <w:iCs/>
          <w:kern w:val="0"/>
          <w:lang w:val="en-US"/>
        </w:rPr>
        <w:t>At-Tarā</w:t>
      </w:r>
      <w:r w:rsidRPr="000D54C7">
        <w:rPr>
          <w:rFonts w:ascii="Cambria" w:hAnsi="Cambria" w:cs="Cambria"/>
          <w:i/>
          <w:iCs/>
          <w:kern w:val="0"/>
          <w:lang w:val="en-US"/>
        </w:rPr>
        <w:t>ḍ</w:t>
      </w:r>
      <w:r w:rsidRPr="000D54C7">
        <w:rPr>
          <w:rFonts w:ascii="Garamond" w:hAnsi="Garamond" w:cs="Garamond"/>
          <w:i/>
          <w:iCs/>
          <w:kern w:val="0"/>
          <w:lang w:val="en-US"/>
        </w:rPr>
        <w:t>ī</w:t>
      </w:r>
      <w:r w:rsidRPr="000D54C7">
        <w:rPr>
          <w:rFonts w:ascii="Garamond" w:hAnsi="Garamond"/>
          <w:kern w:val="0"/>
          <w:lang w:val="en-US"/>
        </w:rPr>
        <w:t>-based informed consent within diverse clinical settings and digital healthcare services to comprehensively assess its practical effectiveness.</w:t>
      </w:r>
    </w:p>
    <w:p w:rsidR="00127167" w:rsidRPr="00DD05DC" w:rsidRDefault="00127167">
      <w:pPr>
        <w:rPr>
          <w:rFonts w:ascii="Garamond" w:hAnsi="Garamond"/>
          <w:b/>
          <w:color w:val="000000" w:themeColor="text1"/>
        </w:rPr>
      </w:pPr>
      <w:r w:rsidRPr="00DD05DC">
        <w:rPr>
          <w:rFonts w:ascii="Garamond" w:hAnsi="Garamond"/>
          <w:b/>
          <w:color w:val="000000" w:themeColor="text1"/>
        </w:rPr>
        <w:t>COMPETING INTERESTS</w:t>
      </w:r>
    </w:p>
    <w:p w:rsidR="00306D44" w:rsidRPr="00DD05DC" w:rsidRDefault="00306D44">
      <w:pPr>
        <w:rPr>
          <w:rFonts w:ascii="Garamond" w:hAnsi="Garamond"/>
          <w:color w:val="000000" w:themeColor="text1"/>
        </w:rPr>
      </w:pPr>
      <w:r w:rsidRPr="00DD05DC">
        <w:rPr>
          <w:rFonts w:ascii="Garamond" w:hAnsi="Garamond"/>
          <w:color w:val="000000" w:themeColor="text1"/>
        </w:rPr>
        <w:t>All authors hereby declare that no conflicts of interest influenced the writing or publication of this article. The research and findings presented are based solely on academic integrity and objective analysis.</w:t>
      </w:r>
    </w:p>
    <w:p w:rsidR="00127167" w:rsidRPr="00DD05DC" w:rsidRDefault="00127167" w:rsidP="00127167">
      <w:pPr>
        <w:spacing w:line="360" w:lineRule="auto"/>
        <w:rPr>
          <w:rFonts w:ascii="Garamond" w:hAnsi="Garamond"/>
          <w:b/>
          <w:bCs/>
          <w:color w:val="000000" w:themeColor="text1"/>
          <w:lang w:val="it-IT"/>
        </w:rPr>
      </w:pPr>
      <w:r w:rsidRPr="00DD05DC">
        <w:rPr>
          <w:rFonts w:ascii="Garamond" w:hAnsi="Garamond"/>
          <w:b/>
          <w:bCs/>
          <w:color w:val="000000" w:themeColor="text1"/>
          <w:lang w:val="it-IT"/>
        </w:rPr>
        <w:t>ACKNOWLEDGEMENTS</w:t>
      </w:r>
    </w:p>
    <w:p w:rsidR="00127167" w:rsidRPr="00DD05DC" w:rsidRDefault="00127167" w:rsidP="00127167">
      <w:pPr>
        <w:spacing w:line="360" w:lineRule="auto"/>
        <w:jc w:val="both"/>
        <w:rPr>
          <w:rFonts w:ascii="Garamond" w:hAnsi="Garamond"/>
          <w:color w:val="000000" w:themeColor="text1"/>
          <w:lang w:val="it-IT"/>
        </w:rPr>
      </w:pPr>
      <w:r w:rsidRPr="00DD05DC">
        <w:rPr>
          <w:rFonts w:ascii="Garamond" w:hAnsi="Garamond"/>
          <w:color w:val="000000" w:themeColor="text1"/>
          <w:lang w:val="it-IT"/>
        </w:rPr>
        <w:t xml:space="preserve">The authors would like to express their gratitude to the Ministry of Education, Culture, Research, and Technology, the Indonesian Education Scholarship (BPI), and </w:t>
      </w:r>
      <w:r w:rsidR="002B6B8E" w:rsidRPr="00DD05DC">
        <w:rPr>
          <w:rFonts w:ascii="Garamond" w:hAnsi="Garamond" w:cs="Arial"/>
          <w:color w:val="000000" w:themeColor="text1"/>
          <w:shd w:val="clear" w:color="auto" w:fill="FFFFFF"/>
        </w:rPr>
        <w:t xml:space="preserve">the Education Fund Management Institute ( </w:t>
      </w:r>
      <w:r w:rsidRPr="00DD05DC">
        <w:rPr>
          <w:rFonts w:ascii="Garamond" w:hAnsi="Garamond"/>
          <w:color w:val="000000" w:themeColor="text1"/>
          <w:lang w:val="it-IT"/>
        </w:rPr>
        <w:t>LPDP) for providing us with the opportunity to receive a Doctoral Legal Studies scholarship. We also extend our appreciation to the academics, legal practitioners, healthcare professionals, and other stakeholders who provided valuable input and references for the development of this article.</w:t>
      </w:r>
    </w:p>
    <w:p w:rsidR="000E29E2" w:rsidRPr="00DD05DC" w:rsidRDefault="000E29E2">
      <w:pPr>
        <w:rPr>
          <w:rFonts w:ascii="Garamond" w:hAnsi="Garamond"/>
          <w:color w:val="000000" w:themeColor="text1"/>
        </w:rPr>
      </w:pPr>
      <w:r w:rsidRPr="00DD05DC">
        <w:rPr>
          <w:rFonts w:ascii="Garamond" w:hAnsi="Garamond"/>
          <w:color w:val="000000" w:themeColor="text1"/>
        </w:rPr>
        <w:br w:type="page"/>
      </w:r>
    </w:p>
    <w:p w:rsidR="00474068" w:rsidRPr="00DD05DC" w:rsidRDefault="00474068" w:rsidP="00F756D9">
      <w:pPr>
        <w:widowControl w:val="0"/>
        <w:autoSpaceDE w:val="0"/>
        <w:autoSpaceDN w:val="0"/>
        <w:adjustRightInd w:val="0"/>
        <w:spacing w:before="100" w:after="0" w:line="240" w:lineRule="auto"/>
        <w:ind w:left="480" w:hanging="480"/>
        <w:rPr>
          <w:rFonts w:ascii="Garamond" w:hAnsi="Garamond"/>
          <w:color w:val="000000" w:themeColor="text1"/>
        </w:rPr>
      </w:pPr>
      <w:r w:rsidRPr="00DD05DC">
        <w:rPr>
          <w:rFonts w:ascii="Garamond" w:hAnsi="Garamond"/>
          <w:color w:val="000000" w:themeColor="text1"/>
        </w:rPr>
        <w:lastRenderedPageBreak/>
        <w:t>BIBLIOGRAPHY</w:t>
      </w:r>
    </w:p>
    <w:p w:rsidR="00736FEA" w:rsidRPr="00DD05DC" w:rsidRDefault="003C148E"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color w:val="000000" w:themeColor="text1"/>
        </w:rPr>
        <w:fldChar w:fldCharType="begin" w:fldLock="1"/>
      </w:r>
      <w:r w:rsidRPr="00DD05DC">
        <w:rPr>
          <w:rFonts w:ascii="Garamond" w:hAnsi="Garamond"/>
          <w:color w:val="000000" w:themeColor="text1"/>
        </w:rPr>
        <w:instrText xml:space="preserve">ADDIN Mendeley Bibliography CSL_BIBLIOGRAPHY </w:instrText>
      </w:r>
      <w:r w:rsidRPr="00DD05DC">
        <w:rPr>
          <w:rFonts w:ascii="Garamond" w:hAnsi="Garamond"/>
          <w:color w:val="000000" w:themeColor="text1"/>
        </w:rPr>
        <w:fldChar w:fldCharType="separate"/>
      </w:r>
      <w:r w:rsidR="00736FEA" w:rsidRPr="00DD05DC">
        <w:rPr>
          <w:rFonts w:ascii="Garamond" w:hAnsi="Garamond"/>
          <w:noProof/>
        </w:rPr>
        <w:t xml:space="preserve">Abdul Rachman, Atiqi Chollisni, Muklis, Dewi Reni, Aisyah Defy R. Simatupang, ‘Dasar Hukum Kontrak (Akad) Dan Implementasinya Pada Perbankan Syariah Di Indonesia’, </w:t>
      </w:r>
      <w:r w:rsidR="00736FEA" w:rsidRPr="00DD05DC">
        <w:rPr>
          <w:rFonts w:ascii="Garamond" w:hAnsi="Garamond"/>
          <w:i/>
          <w:iCs/>
          <w:noProof/>
        </w:rPr>
        <w:t>Kontrak ( Akad ) Dan Implementasinya Pada Perbankan Syariah Di Indonesia</w:t>
      </w:r>
      <w:r w:rsidR="00736FEA" w:rsidRPr="00DD05DC">
        <w:rPr>
          <w:rFonts w:ascii="Garamond" w:hAnsi="Garamond"/>
          <w:noProof/>
        </w:rPr>
        <w:t>, 8 (2022), 47–58 &lt;https://jurnal.stie-aas.ac.id/index.php/jie&gt;</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 xml:space="preserve">Abdurroziq, Ali, ‘Maqashid Al-Shariah Implementation and Islamic Economics Industry in Indonesia Maqashid Al-Shariah Implementation and Islamic Economics Industry in Indonesia Faraid &amp; Wealth Management 2.2. Maqashid Al-Shariah Implementation and Islamic Economics Industry’, </w:t>
      </w:r>
      <w:r w:rsidRPr="00DD05DC">
        <w:rPr>
          <w:rFonts w:ascii="Garamond" w:hAnsi="Garamond"/>
          <w:i/>
          <w:iCs/>
          <w:noProof/>
        </w:rPr>
        <w:t>Fara’id and Wealth Management |</w:t>
      </w:r>
      <w:r w:rsidRPr="00DD05DC">
        <w:rPr>
          <w:rFonts w:ascii="Garamond" w:hAnsi="Garamond"/>
          <w:noProof/>
        </w:rPr>
        <w:t>, 2 (2022) &lt;http://journals.smartinsight.id/index.php/FWM&gt;</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Alwan, Faiq Fatih, Fakultas Hukum, Universitas Negeri, Fakultas Hukum, and Universitas Negeri, ‘KEABSAHAN KONTRAK DALAM EKONOMI SYARIAH</w:t>
      </w:r>
      <w:r w:rsidRPr="00DD05DC">
        <w:rPr>
          <w:rFonts w:ascii="Times New Roman" w:hAnsi="Times New Roman"/>
          <w:noProof/>
        </w:rPr>
        <w:t> </w:t>
      </w:r>
      <w:r w:rsidRPr="00DD05DC">
        <w:rPr>
          <w:rFonts w:ascii="Garamond" w:hAnsi="Garamond"/>
          <w:noProof/>
        </w:rPr>
        <w:t>: Pendahuluan’, 2 (2025), 293–305</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 xml:space="preserve">Ansori, Muhammad Latifil, Murni Aisah, Nur Fitriah, Muhammad Aji Purwanto, Al-fadilah Islamic Economics Journal, Muhammad Latifil Ansori, and others, ‘Akad Dalam Konteks Syariah’, </w:t>
      </w:r>
      <w:r w:rsidRPr="00DD05DC">
        <w:rPr>
          <w:rFonts w:ascii="Garamond" w:hAnsi="Garamond"/>
          <w:i/>
          <w:iCs/>
          <w:noProof/>
        </w:rPr>
        <w:t>Al-Fadilah: Islamic Economics Journal</w:t>
      </w:r>
      <w:r w:rsidRPr="00DD05DC">
        <w:rPr>
          <w:rFonts w:ascii="Garamond" w:hAnsi="Garamond"/>
          <w:noProof/>
        </w:rPr>
        <w:t>, 2 (2024), 70–79</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Arthanti, Widyana Beta, Universitas Pembangunan, Nasional Veteran, and Jawa Timur, ‘PRINSIP OTONOMI DALAM PRAKTIK KEDOKTERAN DI INDONESIA</w:t>
      </w:r>
      <w:r w:rsidRPr="00DD05DC">
        <w:rPr>
          <w:rFonts w:ascii="Times New Roman" w:hAnsi="Times New Roman"/>
          <w:noProof/>
        </w:rPr>
        <w:t> </w:t>
      </w:r>
      <w:r w:rsidRPr="00DD05DC">
        <w:rPr>
          <w:rFonts w:ascii="Garamond" w:hAnsi="Garamond" w:cs="Garamond"/>
          <w:noProof/>
        </w:rPr>
        <w:t>’</w:t>
      </w:r>
      <w:r w:rsidRPr="00DD05DC">
        <w:rPr>
          <w:rFonts w:ascii="Garamond" w:hAnsi="Garamond"/>
          <w:noProof/>
        </w:rPr>
        <w:t>:, 5 (2025), 174–87</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Azam, Muhammad, Anis Mashdurohatun, and Tajudeen Sanni, ‘Harmonizing Environmental Norms in International Trade</w:t>
      </w:r>
      <w:r w:rsidRPr="00DD05DC">
        <w:rPr>
          <w:rFonts w:ascii="Times New Roman" w:hAnsi="Times New Roman"/>
          <w:noProof/>
        </w:rPr>
        <w:t> </w:t>
      </w:r>
      <w:r w:rsidRPr="00DD05DC">
        <w:rPr>
          <w:rFonts w:ascii="Garamond" w:hAnsi="Garamond"/>
          <w:noProof/>
        </w:rPr>
        <w:t>: Reconciling WTO Rules with Biodiversity Protection in OIC Countries’, 2025, 141–54 &lt;https://doi.org/10.18502/kss.v10i26.19986&gt;</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 xml:space="preserve">Burkhardt, Gary, Frederic Boy, Daniele Doneddu, and Nick Hajli, ‘Privacy Behaviour: A Model for Online Informed Consent’, </w:t>
      </w:r>
      <w:r w:rsidRPr="00DD05DC">
        <w:rPr>
          <w:rFonts w:ascii="Garamond" w:hAnsi="Garamond"/>
          <w:i/>
          <w:iCs/>
          <w:noProof/>
        </w:rPr>
        <w:t>Journal of Business Ethics</w:t>
      </w:r>
      <w:r w:rsidRPr="00DD05DC">
        <w:rPr>
          <w:rFonts w:ascii="Garamond" w:hAnsi="Garamond"/>
          <w:noProof/>
        </w:rPr>
        <w:t>, 186 (2023) &lt;https://doi.org/10.1007/s10551-022-05202-1&gt;</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 xml:space="preserve">Dewi, Sartika, Lia Amaliya, Farhan Asyhadi, and Zarisnov Arafat, ‘Sosialisasi Hukum Kesehatan: Memahami Pentingnya Informed Consent Dalam Pelayanan Medik’, </w:t>
      </w:r>
      <w:r w:rsidRPr="00DD05DC">
        <w:rPr>
          <w:rFonts w:ascii="Garamond" w:hAnsi="Garamond"/>
          <w:i/>
          <w:iCs/>
          <w:noProof/>
        </w:rPr>
        <w:t>QOSIM: Jurnal Pendidikan Sosial &amp; Humaniora</w:t>
      </w:r>
      <w:r w:rsidRPr="00DD05DC">
        <w:rPr>
          <w:rFonts w:ascii="Garamond" w:hAnsi="Garamond"/>
          <w:noProof/>
        </w:rPr>
        <w:t>, 3 (2025), 1430–36</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 xml:space="preserve">Febrina, Dea, Dinda Agus Tantri, and Fakultas Kesehatan Masyarakat, ‘Pentingnya Informed Consent Dalam Perspektif Hukum Islam’, </w:t>
      </w:r>
      <w:r w:rsidRPr="00DD05DC">
        <w:rPr>
          <w:rFonts w:ascii="Garamond" w:hAnsi="Garamond"/>
          <w:i/>
          <w:iCs/>
          <w:noProof/>
        </w:rPr>
        <w:t>Jurnal Ilmiah Wahana Pendidikan</w:t>
      </w:r>
      <w:r w:rsidRPr="00DD05DC">
        <w:rPr>
          <w:rFonts w:ascii="Garamond" w:hAnsi="Garamond"/>
          <w:noProof/>
        </w:rPr>
        <w:t>, 2024 (2024), 178–83 &lt;https://doi.org/10.5281/zenodo.14273203&gt;</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 xml:space="preserve">Fitriana, Dian, ‘The Role of Informed Consent as Legal Protection for Doctors in Conducting Medical Procedures’, </w:t>
      </w:r>
      <w:r w:rsidRPr="00DD05DC">
        <w:rPr>
          <w:rFonts w:ascii="Garamond" w:hAnsi="Garamond"/>
          <w:i/>
          <w:iCs/>
          <w:noProof/>
        </w:rPr>
        <w:t>Sinergi International Journal of Law</w:t>
      </w:r>
      <w:r w:rsidRPr="00DD05DC">
        <w:rPr>
          <w:rFonts w:ascii="Garamond" w:hAnsi="Garamond"/>
          <w:noProof/>
        </w:rPr>
        <w:t>, 2023, 115–23 &lt;https://www.academia.edu/download/107852094/10.pdf&gt;</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 xml:space="preserve">Gesualdo, Francesco, Margherita Daverio, Laura Palazzani, Dimitris Dimitriou, Javier Diez-Domingo, Jaime Fons-Martinez, and others, ‘Digital Tools in the Informed Consent Process: A Systematic Review’, </w:t>
      </w:r>
      <w:r w:rsidRPr="00DD05DC">
        <w:rPr>
          <w:rFonts w:ascii="Garamond" w:hAnsi="Garamond"/>
          <w:i/>
          <w:iCs/>
          <w:noProof/>
        </w:rPr>
        <w:t>BMC Medical Ethics</w:t>
      </w:r>
      <w:r w:rsidRPr="00DD05DC">
        <w:rPr>
          <w:rFonts w:ascii="Garamond" w:hAnsi="Garamond"/>
          <w:noProof/>
        </w:rPr>
        <w:t>, 22 (2021), 18 &lt;https://doi.org/10.1186/s12910-021-00585-8&gt;</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 xml:space="preserve">Gunardi, </w:t>
      </w:r>
      <w:r w:rsidRPr="00DD05DC">
        <w:rPr>
          <w:rFonts w:ascii="Garamond" w:hAnsi="Garamond"/>
          <w:i/>
          <w:iCs/>
          <w:noProof/>
        </w:rPr>
        <w:t>Buku Ajar Metodologi Penelitian Hukum</w:t>
      </w:r>
      <w:r w:rsidRPr="00DD05DC">
        <w:rPr>
          <w:rFonts w:ascii="Garamond" w:hAnsi="Garamond"/>
          <w:noProof/>
        </w:rPr>
        <w:t>, Edisi Pert (Jl. Pagujaten Raya No. 9, Pasar Minggu, Pejaten Timur, Jakarta Selatan: Damera Press, 2022) &lt;https://damerapress.co.id/&gt;</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 xml:space="preserve">Indonesia, Negara Republik, ‘Peraturan Pemerintah (PP) Nomor 28 Tahun 2024 Tentang Peraturan Pelaksanaan Undang-Undang Nomor 17 Tahun 2023 Tentang Kesehatan’, </w:t>
      </w:r>
      <w:r w:rsidRPr="00DD05DC">
        <w:rPr>
          <w:rFonts w:ascii="Garamond" w:hAnsi="Garamond"/>
          <w:i/>
          <w:iCs/>
          <w:noProof/>
        </w:rPr>
        <w:t>Peraturan Perundang-Undangan</w:t>
      </w:r>
      <w:r w:rsidRPr="00DD05DC">
        <w:rPr>
          <w:rFonts w:ascii="Garamond" w:hAnsi="Garamond"/>
          <w:noProof/>
        </w:rPr>
        <w:t>, 2024, 656 &lt;https://peraturan.bpk.go.id/Details/294077/pp-no-28-tahun-2024&gt;</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lastRenderedPageBreak/>
        <w:t xml:space="preserve">———, ‘Undang-Undang Nomor 17 Tahun 2023’, </w:t>
      </w:r>
      <w:r w:rsidRPr="00DD05DC">
        <w:rPr>
          <w:rFonts w:ascii="Garamond" w:hAnsi="Garamond"/>
          <w:i/>
          <w:iCs/>
          <w:noProof/>
        </w:rPr>
        <w:t>Peraturan Perundang-Undangan</w:t>
      </w:r>
      <w:r w:rsidRPr="00DD05DC">
        <w:rPr>
          <w:rFonts w:ascii="Garamond" w:hAnsi="Garamond"/>
          <w:noProof/>
        </w:rPr>
        <w:t>, 2023, 1–300</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 xml:space="preserve">Khuluq, M. Khusnul, and Asmuni Asmuni, ‘Hifz Al-Bi’ah as Part of Maqashid Al-Shari’ah and Its Relevance in the Context of Global Climate Change’, </w:t>
      </w:r>
      <w:r w:rsidRPr="00DD05DC">
        <w:rPr>
          <w:rFonts w:ascii="Garamond" w:hAnsi="Garamond"/>
          <w:i/>
          <w:iCs/>
          <w:noProof/>
        </w:rPr>
        <w:t>Indonesian Journal of Interdisciplinary Islamic Studies</w:t>
      </w:r>
      <w:r w:rsidRPr="00DD05DC">
        <w:rPr>
          <w:rFonts w:ascii="Garamond" w:hAnsi="Garamond"/>
          <w:noProof/>
        </w:rPr>
        <w:t>, 7 (2025) &lt;https://doi.org/10.20885/ijiis.vol7.iss2.art3&gt;</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 xml:space="preserve">Mardiaton, Mardiaton, Mukhsin Nyak Umar, and Nevi Hasnita, ‘TINJAUAN HUKUM ISLAM TERHADAP ASAS KEBEBASAN BERKONTRAK DALAM AKAD MURABAHAH (Analisis Kontrak Perjanjian Murabahah Pada PT. Bank Aceh Syariah Cabang Pembantu UIN Ar-Raniry Banda Aceh’, </w:t>
      </w:r>
      <w:r w:rsidRPr="00DD05DC">
        <w:rPr>
          <w:rFonts w:ascii="Garamond" w:hAnsi="Garamond"/>
          <w:i/>
          <w:iCs/>
          <w:noProof/>
        </w:rPr>
        <w:t>E-Mabis: Jurnal Ekonomi Manajemen Dan Bisnis</w:t>
      </w:r>
      <w:r w:rsidRPr="00DD05DC">
        <w:rPr>
          <w:rFonts w:ascii="Garamond" w:hAnsi="Garamond"/>
          <w:noProof/>
        </w:rPr>
        <w:t>, 25 (2024), 147–61 &lt;https://doi.org/10.29103/e-mabis.v25i2.1412&gt;</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 xml:space="preserve">Muhaimin, </w:t>
      </w:r>
      <w:r w:rsidRPr="00DD05DC">
        <w:rPr>
          <w:rFonts w:ascii="Garamond" w:hAnsi="Garamond"/>
          <w:i/>
          <w:iCs/>
          <w:noProof/>
        </w:rPr>
        <w:t>Metode Penelitian Hukum</w:t>
      </w:r>
      <w:r w:rsidRPr="00DD05DC">
        <w:rPr>
          <w:rFonts w:ascii="Garamond" w:hAnsi="Garamond"/>
          <w:noProof/>
        </w:rPr>
        <w:t xml:space="preserve">, </w:t>
      </w:r>
      <w:r w:rsidRPr="00DD05DC">
        <w:rPr>
          <w:rFonts w:ascii="Garamond" w:hAnsi="Garamond"/>
          <w:i/>
          <w:iCs/>
          <w:noProof/>
        </w:rPr>
        <w:t>Mataram University Press</w:t>
      </w:r>
      <w:r w:rsidRPr="00DD05DC">
        <w:rPr>
          <w:rFonts w:ascii="Garamond" w:hAnsi="Garamond"/>
          <w:noProof/>
        </w:rPr>
        <w:t>, Cetakan Pe (Jln. Majapahit No. 62 Mataram-NTB, 2020) &lt;e-mail: upt.mataramuniversitypress@gmail.com %0Awebsite: www.uptpress.unram.ac.id.&gt;</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Nouval, Muhammad, and Hasan Simatupang, ‘Transplantasi Organ Tubuh Dalam Perspektif Al- Qur ’ an</w:t>
      </w:r>
      <w:r w:rsidRPr="00DD05DC">
        <w:rPr>
          <w:rFonts w:ascii="Times New Roman" w:hAnsi="Times New Roman"/>
          <w:noProof/>
        </w:rPr>
        <w:t> </w:t>
      </w:r>
      <w:r w:rsidRPr="00DD05DC">
        <w:rPr>
          <w:rFonts w:ascii="Garamond" w:hAnsi="Garamond"/>
          <w:noProof/>
        </w:rPr>
        <w:t xml:space="preserve">: Analisis Tafsir Tematik ( Maw </w:t>
      </w:r>
      <w:r w:rsidRPr="00DD05DC">
        <w:rPr>
          <w:rFonts w:ascii="Cambria" w:hAnsi="Cambria" w:cs="Cambria"/>
          <w:noProof/>
        </w:rPr>
        <w:t>Ḍ</w:t>
      </w:r>
      <w:r w:rsidRPr="00DD05DC">
        <w:rPr>
          <w:rFonts w:ascii="Garamond" w:hAnsi="Garamond"/>
          <w:noProof/>
        </w:rPr>
        <w:t>ū ‘ ī ) Dan Maqā</w:t>
      </w:r>
      <w:r w:rsidRPr="00DD05DC">
        <w:rPr>
          <w:rFonts w:ascii="Cambria" w:hAnsi="Cambria" w:cs="Cambria"/>
          <w:noProof/>
        </w:rPr>
        <w:t>ṣ</w:t>
      </w:r>
      <w:r w:rsidRPr="00DD05DC">
        <w:rPr>
          <w:rFonts w:ascii="Garamond" w:hAnsi="Garamond"/>
          <w:noProof/>
        </w:rPr>
        <w:t xml:space="preserve"> Id Al- Syarī ‘ Ah’, 6 (2025)</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 xml:space="preserve">Rezki Pebrina, Anggun, Johni Najwan, and Evalina Alissa, ‘Fungsi Penerapan Informed Consent Sebagai Persetujuan Pada Perjanjian Terapeutik’, </w:t>
      </w:r>
      <w:r w:rsidRPr="00DD05DC">
        <w:rPr>
          <w:rFonts w:ascii="Garamond" w:hAnsi="Garamond"/>
          <w:i/>
          <w:iCs/>
          <w:noProof/>
        </w:rPr>
        <w:t>Zaaken: Journal of Civil and Business Law</w:t>
      </w:r>
      <w:r w:rsidRPr="00DD05DC">
        <w:rPr>
          <w:rFonts w:ascii="Garamond" w:hAnsi="Garamond"/>
          <w:noProof/>
        </w:rPr>
        <w:t>, 3 (2022), 468–86 &lt;https://doi.org/10.22437/zaaken.v3i3.18966&gt;</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 xml:space="preserve">Rianda, Rodia Rotani, Bella Anggraini, Sarah Dalila Fitri, and Wismanto Wismanto, ‘Prinsip Muamalah Dalam Ekonomi Syariah: Tinjauan Dan Implementasi’, </w:t>
      </w:r>
      <w:r w:rsidRPr="00DD05DC">
        <w:rPr>
          <w:rFonts w:ascii="Garamond" w:hAnsi="Garamond"/>
          <w:i/>
          <w:iCs/>
          <w:noProof/>
        </w:rPr>
        <w:t>Hikmah: Jurnal Studi Pendidikan Agama Islam</w:t>
      </w:r>
      <w:r w:rsidRPr="00DD05DC">
        <w:rPr>
          <w:rFonts w:ascii="Garamond" w:hAnsi="Garamond"/>
          <w:noProof/>
        </w:rPr>
        <w:t>, 1 (2024), 122–36</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 xml:space="preserve">Shlobin, Nathan A., Mark Sheldon, and Sandi Lam, ‘Informed Consent in Neurosurgery: A Systematic Review’, </w:t>
      </w:r>
      <w:r w:rsidRPr="00DD05DC">
        <w:rPr>
          <w:rFonts w:ascii="Garamond" w:hAnsi="Garamond"/>
          <w:i/>
          <w:iCs/>
          <w:noProof/>
        </w:rPr>
        <w:t>Neurosurgical Focus</w:t>
      </w:r>
      <w:r w:rsidRPr="00DD05DC">
        <w:rPr>
          <w:rFonts w:ascii="Garamond" w:hAnsi="Garamond"/>
          <w:noProof/>
        </w:rPr>
        <w:t>, 49 (2020) &lt;https://doi.org/10.3171/2020.8.FOCUS20611&gt;</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 xml:space="preserve">Wada, Fauziah Hamid, YosebFerdinan Pertiwi, AnnaHasiolan, Mara Imbang SatriawanLestari, SriSudipa, I Gede IwanPatalatu, Jonherz StenllyBoari, and ErlinAbd. Rahman Puspitaningrum, JayantiIfadah, </w:t>
      </w:r>
      <w:r w:rsidRPr="00DD05DC">
        <w:rPr>
          <w:rFonts w:ascii="Garamond" w:hAnsi="Garamond"/>
          <w:i/>
          <w:iCs/>
          <w:noProof/>
        </w:rPr>
        <w:t>Buku Ajar Metodologi Penelitian</w:t>
      </w:r>
      <w:r w:rsidRPr="00DD05DC">
        <w:rPr>
          <w:rFonts w:ascii="Garamond" w:hAnsi="Garamond"/>
          <w:noProof/>
        </w:rPr>
        <w:t xml:space="preserve">, </w:t>
      </w:r>
      <w:r w:rsidRPr="00DD05DC">
        <w:rPr>
          <w:rFonts w:ascii="Garamond" w:hAnsi="Garamond"/>
          <w:i/>
          <w:iCs/>
          <w:noProof/>
        </w:rPr>
        <w:t>Cv Science Techno Direct</w:t>
      </w:r>
      <w:r w:rsidRPr="00DD05DC">
        <w:rPr>
          <w:rFonts w:ascii="Garamond" w:hAnsi="Garamond"/>
          <w:noProof/>
        </w:rPr>
        <w:t>, 2024</w:t>
      </w:r>
    </w:p>
    <w:p w:rsidR="00736FEA" w:rsidRPr="00DD05DC" w:rsidRDefault="00736FEA" w:rsidP="000E29E2">
      <w:pPr>
        <w:widowControl w:val="0"/>
        <w:autoSpaceDE w:val="0"/>
        <w:autoSpaceDN w:val="0"/>
        <w:adjustRightInd w:val="0"/>
        <w:spacing w:before="100" w:after="0" w:line="240" w:lineRule="auto"/>
        <w:ind w:left="480" w:hanging="480"/>
        <w:rPr>
          <w:rFonts w:ascii="Garamond" w:hAnsi="Garamond"/>
          <w:noProof/>
        </w:rPr>
      </w:pPr>
      <w:r w:rsidRPr="00DD05DC">
        <w:rPr>
          <w:rFonts w:ascii="Garamond" w:hAnsi="Garamond"/>
          <w:noProof/>
        </w:rPr>
        <w:t xml:space="preserve">Yohanes, Argo Sudarga, Dola Ramalinda, Laras Eka Pertiwi, Amalia Putri Kumalawijaya, Fedryan Syach Rahmawan, Sukmawati Nurdin, and others, ‘Competency of Legal Subjects in Informed Consent as a Standard Agreement’, </w:t>
      </w:r>
      <w:r w:rsidRPr="00DD05DC">
        <w:rPr>
          <w:rFonts w:ascii="Garamond" w:hAnsi="Garamond"/>
          <w:i/>
          <w:iCs/>
          <w:noProof/>
        </w:rPr>
        <w:t>International Journal of Health Sciences</w:t>
      </w:r>
      <w:r w:rsidRPr="00DD05DC">
        <w:rPr>
          <w:rFonts w:ascii="Garamond" w:hAnsi="Garamond"/>
          <w:noProof/>
        </w:rPr>
        <w:t>, 6 (2022), 1535–43 &lt;https://doi.org/10.53730/ijhs.v6n3.13185&gt;</w:t>
      </w:r>
    </w:p>
    <w:p w:rsidR="00736FEA" w:rsidRPr="00DD05DC" w:rsidRDefault="003C148E" w:rsidP="00736FEA">
      <w:pPr>
        <w:widowControl w:val="0"/>
        <w:autoSpaceDE w:val="0"/>
        <w:autoSpaceDN w:val="0"/>
        <w:adjustRightInd w:val="0"/>
        <w:spacing w:before="100" w:after="0" w:line="240" w:lineRule="auto"/>
        <w:ind w:left="480" w:hanging="480"/>
        <w:rPr>
          <w:rFonts w:ascii="Garamond" w:hAnsi="Garamond"/>
          <w:color w:val="000000" w:themeColor="text1"/>
        </w:rPr>
      </w:pPr>
      <w:r w:rsidRPr="00DD05DC">
        <w:rPr>
          <w:rFonts w:ascii="Garamond" w:hAnsi="Garamond"/>
          <w:color w:val="000000" w:themeColor="text1"/>
        </w:rPr>
        <w:fldChar w:fldCharType="end"/>
      </w:r>
      <w:r w:rsidR="00736FEA" w:rsidRPr="00DD05DC">
        <w:rPr>
          <w:rStyle w:val="Emphasis"/>
          <w:rFonts w:ascii="Garamond" w:hAnsi="Garamond"/>
          <w:color w:val="000000" w:themeColor="text1"/>
        </w:rPr>
        <w:t xml:space="preserve"> </w:t>
      </w:r>
      <w:r w:rsidR="00736FEA" w:rsidRPr="00DD05DC">
        <w:rPr>
          <w:rStyle w:val="Strong"/>
          <w:rFonts w:ascii="Garamond" w:hAnsi="Garamond"/>
          <w:b w:val="0"/>
          <w:color w:val="000000" w:themeColor="text1"/>
        </w:rPr>
        <w:t>Beauchamp, Tom L. &amp; Childress, James F.</w:t>
      </w:r>
      <w:r w:rsidR="00736FEA" w:rsidRPr="00DD05DC">
        <w:rPr>
          <w:rFonts w:ascii="Garamond" w:hAnsi="Garamond"/>
          <w:color w:val="000000" w:themeColor="text1"/>
        </w:rPr>
        <w:t xml:space="preserve"> </w:t>
      </w:r>
      <w:r w:rsidR="00736FEA" w:rsidRPr="00DD05DC">
        <w:rPr>
          <w:rStyle w:val="Emphasis"/>
          <w:rFonts w:ascii="Garamond" w:hAnsi="Garamond"/>
          <w:color w:val="000000" w:themeColor="text1"/>
        </w:rPr>
        <w:t>Principles of Biomedical Ethics</w:t>
      </w:r>
      <w:r w:rsidR="00736FEA" w:rsidRPr="00DD05DC">
        <w:rPr>
          <w:rFonts w:ascii="Garamond" w:hAnsi="Garamond"/>
          <w:color w:val="000000" w:themeColor="text1"/>
        </w:rPr>
        <w:t>, 9th ed. New York: Oxford University Press, 2022, hlm. 104–109.</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color w:val="000000" w:themeColor="text1"/>
        </w:rPr>
      </w:pPr>
      <w:r w:rsidRPr="00DD05DC">
        <w:rPr>
          <w:rFonts w:ascii="Garamond" w:hAnsi="Garamond"/>
          <w:color w:val="000000" w:themeColor="text1"/>
        </w:rPr>
        <w:t>Chaudhry Ghafran and Sofia Yasmin, "Ethical Governance: Insights from the Islamic Perspective and an Empirical Enquiry," Journal of Business Ethics 167, no. 3 (2020): 513–33, https://doi.org/10.1007/s10551-019-04170 3.</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color w:val="000000" w:themeColor="text1"/>
        </w:rPr>
      </w:pPr>
      <w:r w:rsidRPr="00DD05DC">
        <w:rPr>
          <w:rFonts w:ascii="Garamond" w:hAnsi="Garamond"/>
          <w:color w:val="000000" w:themeColor="text1"/>
        </w:rPr>
        <w:t>Desi Syamsiah, Riki Martin Bala Bao, and Nur Fatihah Yuliana, “Dasar Penerapan Asas Pacta Sunt Servanda Dalam Perjanjian,” JURNAL HUKUM DAS SOLLEN 9, no. 2 (December 25, 2023): 841–48, https://doi.org/10.32520/das sollen.v9i2.2988; Yoga Tri Cahyo and Marisa Kurnianingsih, “Pacta Sunt Servanda: Legal Dynamics in Indonesian Context,” Walisongo Law Review (Walrev) 5, no. 1 (April https://doi.org/10.21580/walrev.2023.5.1.14585.</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color w:val="000000" w:themeColor="text1"/>
        </w:rPr>
      </w:pPr>
      <w:r w:rsidRPr="00DD05DC">
        <w:rPr>
          <w:rFonts w:ascii="Garamond" w:hAnsi="Garamond"/>
          <w:color w:val="000000" w:themeColor="text1"/>
        </w:rPr>
        <w:t xml:space="preserve">Frank E. Vogel &amp; Samuel L. Hayes, </w:t>
      </w:r>
      <w:r w:rsidRPr="00DD05DC">
        <w:rPr>
          <w:rStyle w:val="Emphasis"/>
          <w:rFonts w:ascii="Garamond" w:hAnsi="Garamond"/>
          <w:color w:val="000000" w:themeColor="text1"/>
        </w:rPr>
        <w:t>Islamic Law and Finance: Religion, Risk and Return</w:t>
      </w:r>
      <w:r w:rsidRPr="00DD05DC">
        <w:rPr>
          <w:rFonts w:ascii="Garamond" w:hAnsi="Garamond"/>
          <w:color w:val="000000" w:themeColor="text1"/>
        </w:rPr>
        <w:t>, The Hague: Kluwer Law International, 1998.</w:t>
      </w:r>
    </w:p>
    <w:p w:rsidR="00736FEA" w:rsidRPr="00DD05DC" w:rsidRDefault="00736FEA" w:rsidP="00736FEA">
      <w:pPr>
        <w:pStyle w:val="FootnoteText"/>
        <w:ind w:left="567" w:hanging="567"/>
        <w:jc w:val="both"/>
        <w:rPr>
          <w:rFonts w:ascii="Garamond" w:hAnsi="Garamond" w:cs="Calibri"/>
          <w:color w:val="000000" w:themeColor="text1"/>
          <w:sz w:val="24"/>
          <w:szCs w:val="24"/>
        </w:rPr>
      </w:pPr>
      <w:r w:rsidRPr="00DD05DC">
        <w:rPr>
          <w:rFonts w:ascii="Garamond" w:hAnsi="Garamond" w:cs="Calibri"/>
          <w:color w:val="000000" w:themeColor="text1"/>
          <w:sz w:val="24"/>
          <w:szCs w:val="24"/>
        </w:rPr>
        <w:t xml:space="preserve">Kamus Besar Bahasa Indonesia. </w:t>
      </w:r>
      <w:hyperlink r:id="rId9" w:history="1">
        <w:r w:rsidRPr="00DD05DC">
          <w:rPr>
            <w:rStyle w:val="Hyperlink"/>
            <w:rFonts w:ascii="Garamond" w:hAnsi="Garamond" w:cs="Calibri"/>
            <w:color w:val="000000" w:themeColor="text1"/>
            <w:sz w:val="24"/>
            <w:szCs w:val="24"/>
          </w:rPr>
          <w:t>https://kbbi.web.id/</w:t>
        </w:r>
      </w:hyperlink>
      <w:r w:rsidRPr="00DD05DC">
        <w:rPr>
          <w:rStyle w:val="Hyperlink"/>
          <w:rFonts w:ascii="Garamond" w:hAnsi="Garamond" w:cs="Calibri"/>
          <w:color w:val="000000" w:themeColor="text1"/>
          <w:sz w:val="24"/>
          <w:szCs w:val="24"/>
        </w:rPr>
        <w:t>perlindungan</w:t>
      </w:r>
      <w:r w:rsidRPr="00DD05DC">
        <w:rPr>
          <w:rFonts w:ascii="Garamond" w:hAnsi="Garamond" w:cs="Calibri"/>
          <w:color w:val="000000" w:themeColor="text1"/>
          <w:sz w:val="24"/>
          <w:szCs w:val="24"/>
        </w:rPr>
        <w:t>. Diakses tanggal 02 Maret 2025.</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color w:val="000000" w:themeColor="text1"/>
        </w:rPr>
      </w:pP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color w:val="000000" w:themeColor="text1"/>
        </w:rPr>
      </w:pPr>
      <w:r w:rsidRPr="00DD05DC">
        <w:rPr>
          <w:rFonts w:ascii="Garamond" w:hAnsi="Garamond"/>
          <w:color w:val="000000" w:themeColor="text1"/>
          <w:shd w:val="clear" w:color="auto" w:fill="EEEEEE"/>
        </w:rPr>
        <w:t xml:space="preserve">Kurniawan, I.G., &amp; </w:t>
      </w:r>
      <w:r w:rsidRPr="00DD05DC">
        <w:rPr>
          <w:rFonts w:ascii="Garamond" w:hAnsi="Garamond"/>
          <w:color w:val="000000" w:themeColor="text1"/>
        </w:rPr>
        <w:t>Chandra</w:t>
      </w:r>
      <w:r w:rsidRPr="00DD05DC">
        <w:rPr>
          <w:rFonts w:ascii="Garamond" w:hAnsi="Garamond"/>
          <w:color w:val="000000" w:themeColor="text1"/>
          <w:shd w:val="clear" w:color="auto" w:fill="EEEEEE"/>
        </w:rPr>
        <w:t>, A. (2024). The Civil Law Aspects of Informed Consent to Medical Procedures. </w:t>
      </w:r>
      <w:r w:rsidRPr="00DD05DC">
        <w:rPr>
          <w:rStyle w:val="Emphasis"/>
          <w:rFonts w:ascii="Garamond" w:hAnsi="Garamond"/>
          <w:color w:val="000000" w:themeColor="text1"/>
        </w:rPr>
        <w:t>SASI, 30</w:t>
      </w:r>
      <w:r w:rsidRPr="00DD05DC">
        <w:rPr>
          <w:rFonts w:ascii="Garamond" w:hAnsi="Garamond"/>
          <w:color w:val="000000" w:themeColor="text1"/>
          <w:shd w:val="clear" w:color="auto" w:fill="EEEEEE"/>
        </w:rPr>
        <w:t>(3), 326 - 338. DOI: </w:t>
      </w:r>
      <w:hyperlink r:id="rId10" w:history="1">
        <w:r w:rsidRPr="00DD05DC">
          <w:rPr>
            <w:rStyle w:val="Hyperlink"/>
            <w:rFonts w:ascii="Garamond" w:hAnsi="Garamond"/>
            <w:color w:val="000000" w:themeColor="text1"/>
          </w:rPr>
          <w:t>https://doi.org/10.47268/sasi.v30i3.2277</w:t>
        </w:r>
      </w:hyperlink>
      <w:r w:rsidRPr="00DD05DC">
        <w:rPr>
          <w:rFonts w:ascii="Garamond" w:hAnsi="Garamond"/>
          <w:color w:val="000000" w:themeColor="text1"/>
          <w:shd w:val="clear" w:color="auto" w:fill="EEEEEE"/>
        </w:rPr>
        <w:t>.</w:t>
      </w:r>
    </w:p>
    <w:p w:rsidR="00736FEA" w:rsidRPr="00DD05DC" w:rsidRDefault="00736FEA" w:rsidP="00736FEA">
      <w:pPr>
        <w:pStyle w:val="FootnoteText"/>
        <w:rPr>
          <w:rFonts w:ascii="Garamond" w:hAnsi="Garamond"/>
          <w:color w:val="000000" w:themeColor="text1"/>
          <w:sz w:val="24"/>
          <w:szCs w:val="24"/>
        </w:rPr>
      </w:pPr>
      <w:r w:rsidRPr="00DD05DC">
        <w:rPr>
          <w:rFonts w:ascii="Garamond" w:hAnsi="Garamond"/>
          <w:color w:val="000000" w:themeColor="text1"/>
          <w:sz w:val="24"/>
          <w:szCs w:val="24"/>
        </w:rPr>
        <w:t xml:space="preserve">Mohammad Hashim Kamali, </w:t>
      </w:r>
      <w:r w:rsidRPr="00DD05DC">
        <w:rPr>
          <w:rStyle w:val="Emphasis"/>
          <w:rFonts w:ascii="Garamond" w:hAnsi="Garamond"/>
          <w:color w:val="000000" w:themeColor="text1"/>
          <w:sz w:val="24"/>
          <w:szCs w:val="24"/>
        </w:rPr>
        <w:t>Shari'ah Law: An Introduction</w:t>
      </w:r>
      <w:r w:rsidRPr="00DD05DC">
        <w:rPr>
          <w:rFonts w:ascii="Garamond" w:hAnsi="Garamond"/>
          <w:color w:val="000000" w:themeColor="text1"/>
          <w:sz w:val="24"/>
          <w:szCs w:val="24"/>
        </w:rPr>
        <w:t>, Oxford: Oneworld Publications, 2008.</w:t>
      </w:r>
    </w:p>
    <w:p w:rsidR="00736FEA" w:rsidRPr="00DD05DC" w:rsidRDefault="00736FEA" w:rsidP="00736FEA">
      <w:pPr>
        <w:widowControl w:val="0"/>
        <w:autoSpaceDE w:val="0"/>
        <w:autoSpaceDN w:val="0"/>
        <w:adjustRightInd w:val="0"/>
        <w:spacing w:before="100" w:after="0" w:line="240" w:lineRule="auto"/>
        <w:ind w:left="480" w:hanging="480"/>
        <w:rPr>
          <w:rFonts w:ascii="Garamond" w:hAnsi="Garamond"/>
          <w:color w:val="000000" w:themeColor="text1"/>
        </w:rPr>
      </w:pPr>
      <w:r w:rsidRPr="00DD05DC">
        <w:rPr>
          <w:rFonts w:ascii="Garamond" w:hAnsi="Garamond"/>
          <w:color w:val="000000" w:themeColor="text1"/>
        </w:rPr>
        <w:t xml:space="preserve">Mohammad Hashim Kamali, </w:t>
      </w:r>
      <w:r w:rsidRPr="00DD05DC">
        <w:rPr>
          <w:rStyle w:val="Emphasis"/>
          <w:rFonts w:ascii="Garamond" w:hAnsi="Garamond"/>
          <w:color w:val="000000" w:themeColor="text1"/>
        </w:rPr>
        <w:t>Equity and Fairness in Islamic Contract Law</w:t>
      </w:r>
      <w:r w:rsidRPr="00DD05DC">
        <w:rPr>
          <w:rFonts w:ascii="Garamond" w:hAnsi="Garamond"/>
          <w:color w:val="000000" w:themeColor="text1"/>
        </w:rPr>
        <w:t>, Oxford University Press, Oxford, 2021.</w:t>
      </w:r>
    </w:p>
    <w:p w:rsidR="00736FEA" w:rsidRPr="00DD05DC" w:rsidRDefault="00736FEA" w:rsidP="00736FEA">
      <w:pPr>
        <w:pStyle w:val="FootnoteText"/>
        <w:ind w:left="567" w:hanging="567"/>
        <w:jc w:val="both"/>
        <w:rPr>
          <w:rFonts w:ascii="Garamond" w:hAnsi="Garamond" w:cs="Calibri"/>
          <w:color w:val="000000" w:themeColor="text1"/>
          <w:sz w:val="24"/>
          <w:szCs w:val="24"/>
        </w:rPr>
      </w:pPr>
      <w:r w:rsidRPr="00DD05DC">
        <w:rPr>
          <w:rFonts w:ascii="Garamond" w:hAnsi="Garamond" w:cs="Calibri"/>
          <w:color w:val="000000" w:themeColor="text1"/>
          <w:sz w:val="24"/>
          <w:szCs w:val="24"/>
        </w:rPr>
        <w:t>Muhhamad Ziril Amin dan Lalu Husni. 2023. Perlindungan Hukum dan Tanggung Jawab Perusahaan Alfamart yang beroperasi Terhadap Karyawan Alfamart yang Berkerja Malam Hari (Studi Kota Mataram). Jurnal Private Law, Volume 3, Issue 1, Februari 2023. hal 174.</w:t>
      </w:r>
    </w:p>
    <w:p w:rsidR="00736FEA" w:rsidRPr="00DD05DC" w:rsidRDefault="00736FEA" w:rsidP="00736FEA">
      <w:pPr>
        <w:pStyle w:val="FootnoteText"/>
        <w:ind w:left="567" w:hanging="567"/>
        <w:jc w:val="both"/>
        <w:rPr>
          <w:rFonts w:ascii="Garamond" w:hAnsi="Garamond" w:cs="Calibri"/>
          <w:color w:val="000000" w:themeColor="text1"/>
          <w:sz w:val="24"/>
          <w:szCs w:val="24"/>
        </w:rPr>
      </w:pPr>
      <w:r w:rsidRPr="00DD05DC">
        <w:rPr>
          <w:rFonts w:ascii="Garamond" w:hAnsi="Garamond"/>
          <w:color w:val="000000" w:themeColor="text1"/>
          <w:sz w:val="24"/>
          <w:szCs w:val="24"/>
        </w:rPr>
        <w:t xml:space="preserve">Muhammad Sulaiman Al-Ashqar, </w:t>
      </w:r>
      <w:r w:rsidRPr="00DD05DC">
        <w:rPr>
          <w:rFonts w:ascii="Garamond" w:hAnsi="Garamond"/>
          <w:i/>
          <w:iCs/>
          <w:color w:val="000000" w:themeColor="text1"/>
          <w:sz w:val="24"/>
          <w:szCs w:val="24"/>
        </w:rPr>
        <w:t>Fiqh al-Mu’amalat al-Maliyyah al-Mu’ashirah</w:t>
      </w:r>
      <w:r w:rsidRPr="00DD05DC">
        <w:rPr>
          <w:rFonts w:ascii="Garamond" w:hAnsi="Garamond"/>
          <w:color w:val="000000" w:themeColor="text1"/>
          <w:sz w:val="24"/>
          <w:szCs w:val="24"/>
        </w:rPr>
        <w:t>, Juz 3 (Kuwait: Maktabah al-Manar al-Islamiyah, 2004), hlm. 120-125. (Mengklasifikasikan hubungan jasa profesional sebagai akad)</w:t>
      </w:r>
    </w:p>
    <w:p w:rsidR="00736FEA" w:rsidRPr="00DD05DC" w:rsidRDefault="00736FEA" w:rsidP="00736FEA">
      <w:pPr>
        <w:pStyle w:val="FootnoteText"/>
        <w:rPr>
          <w:rFonts w:ascii="Garamond" w:hAnsi="Garamond"/>
          <w:color w:val="000000" w:themeColor="text1"/>
          <w:sz w:val="24"/>
          <w:szCs w:val="24"/>
        </w:rPr>
      </w:pPr>
      <w:r w:rsidRPr="00DD05DC">
        <w:rPr>
          <w:rFonts w:ascii="Garamond" w:hAnsi="Garamond"/>
          <w:color w:val="000000" w:themeColor="text1"/>
          <w:sz w:val="24"/>
          <w:szCs w:val="24"/>
        </w:rPr>
        <w:t>Wahbah al-Zu</w:t>
      </w:r>
      <w:r w:rsidRPr="00DD05DC">
        <w:rPr>
          <w:rFonts w:ascii="Cambria" w:hAnsi="Cambria" w:cs="Cambria"/>
          <w:color w:val="000000" w:themeColor="text1"/>
          <w:sz w:val="24"/>
          <w:szCs w:val="24"/>
        </w:rPr>
        <w:t>ḥ</w:t>
      </w:r>
      <w:r w:rsidRPr="00DD05DC">
        <w:rPr>
          <w:rFonts w:ascii="Garamond" w:hAnsi="Garamond"/>
          <w:color w:val="000000" w:themeColor="text1"/>
          <w:sz w:val="24"/>
          <w:szCs w:val="24"/>
        </w:rPr>
        <w:t xml:space="preserve">aylī, </w:t>
      </w:r>
      <w:r w:rsidRPr="00DD05DC">
        <w:rPr>
          <w:rStyle w:val="Emphasis"/>
          <w:rFonts w:ascii="Garamond" w:hAnsi="Garamond"/>
          <w:color w:val="000000" w:themeColor="text1"/>
          <w:sz w:val="24"/>
          <w:szCs w:val="24"/>
        </w:rPr>
        <w:t>al-Fiqh al-Islāmī wa Adillatuh</w:t>
      </w:r>
      <w:r w:rsidRPr="00DD05DC">
        <w:rPr>
          <w:rFonts w:ascii="Garamond" w:hAnsi="Garamond"/>
          <w:color w:val="000000" w:themeColor="text1"/>
          <w:sz w:val="24"/>
          <w:szCs w:val="24"/>
        </w:rPr>
        <w:t>, jilid 4.</w:t>
      </w:r>
    </w:p>
    <w:p w:rsidR="00736FEA" w:rsidRPr="00DD05DC" w:rsidRDefault="00736FEA" w:rsidP="00736FEA">
      <w:pPr>
        <w:rPr>
          <w:rFonts w:ascii="Garamond" w:hAnsi="Garamond"/>
          <w:color w:val="000000" w:themeColor="text1"/>
        </w:rPr>
      </w:pPr>
    </w:p>
    <w:p w:rsidR="00E74505" w:rsidRPr="00DD05DC" w:rsidRDefault="00E74505" w:rsidP="000E29E2">
      <w:pPr>
        <w:widowControl w:val="0"/>
        <w:autoSpaceDE w:val="0"/>
        <w:autoSpaceDN w:val="0"/>
        <w:adjustRightInd w:val="0"/>
        <w:spacing w:before="100" w:after="0" w:line="240" w:lineRule="auto"/>
        <w:ind w:left="480" w:hanging="480"/>
        <w:rPr>
          <w:rFonts w:ascii="Garamond" w:hAnsi="Garamond"/>
          <w:color w:val="000000" w:themeColor="text1"/>
        </w:rPr>
      </w:pPr>
    </w:p>
    <w:p w:rsidR="00772C78" w:rsidRPr="00DD05DC" w:rsidRDefault="00772C78" w:rsidP="002C6FDB">
      <w:pPr>
        <w:tabs>
          <w:tab w:val="left" w:pos="5660"/>
        </w:tabs>
        <w:rPr>
          <w:rFonts w:ascii="Garamond" w:hAnsi="Garamond"/>
          <w:color w:val="000000" w:themeColor="text1"/>
        </w:rPr>
      </w:pPr>
    </w:p>
    <w:sectPr w:rsidR="00772C78" w:rsidRPr="00DD05DC" w:rsidSect="005D2F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AEF" w:rsidRDefault="005A1AEF" w:rsidP="00572B15">
      <w:pPr>
        <w:spacing w:after="0" w:line="240" w:lineRule="auto"/>
      </w:pPr>
      <w:r>
        <w:separator/>
      </w:r>
    </w:p>
  </w:endnote>
  <w:endnote w:type="continuationSeparator" w:id="0">
    <w:p w:rsidR="005A1AEF" w:rsidRDefault="005A1AEF" w:rsidP="00572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regula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AEF" w:rsidRDefault="005A1AEF" w:rsidP="00572B15">
      <w:pPr>
        <w:spacing w:after="0" w:line="240" w:lineRule="auto"/>
      </w:pPr>
      <w:r>
        <w:separator/>
      </w:r>
    </w:p>
  </w:footnote>
  <w:footnote w:type="continuationSeparator" w:id="0">
    <w:p w:rsidR="005A1AEF" w:rsidRDefault="005A1AEF" w:rsidP="00572B15">
      <w:pPr>
        <w:spacing w:after="0" w:line="240" w:lineRule="auto"/>
      </w:pPr>
      <w:r>
        <w:continuationSeparator/>
      </w:r>
    </w:p>
  </w:footnote>
  <w:footnote w:id="1">
    <w:p w:rsidR="009B3560" w:rsidRDefault="00736FEA">
      <w:pPr>
        <w:pStyle w:val="FootnoteText"/>
      </w:pPr>
      <w:r>
        <w:rPr>
          <w:rStyle w:val="FootnoteReference"/>
        </w:rPr>
        <w:footnoteRef/>
      </w:r>
      <w:r>
        <w:t xml:space="preserve"> </w:t>
      </w:r>
      <w:r>
        <w:fldChar w:fldCharType="begin" w:fldLock="1"/>
      </w:r>
      <w:r>
        <w:instrText>ADDIN CSL_CITATION {"citationItems":[{"id":"ITEM-1","itemData":{"DOI":"10.3171/2020.8.FOCUS20611","ISSN":"10920684","abstract":"OBJECTIVE Informed consent has served as a main principle of medical ethics and laws in the United States. The 1986 American Association of Neurological Surgeons Code of Ethics implied medicolegal liability for the failure to obtain informed consent without providing practical guidance regarding the application of informed consent to individual patient encounters in a medicolegal environment. Here, the authors aimed to identify baseline patient recall after discussions with neurosurgeons and their capacity to provide informed consent, describe the effects of interventions to improve patient comprehension, and elucidate the role of informed consent in malpractice litigation in neurosurgery. Their findings may guide neurosurgeons in discussions to properly inform patients and reduce the risk of litigation. METHODS A systematic review was conducted to explore informed consent within neurosurgery and its application to medicolegal liability using the PubMed, Embase, and Scopus databases. Titles and abstracts from articles identified in the search were read and selected for full-text review. Studies meeting prespecified inclusion criteria were reviewed in full and analyzed for study design, aim, population, interventions, and outcomes. RESULTS Of 1428 resultant articles, 21 were included in the review. Baseline patient recall was low, particularly for risks and alternatives of treatments, and even decreased over time. Cognitive impairment was noted as a factor limiting the ability to provide informed consent. Interventions incorporating a combination of modalities in informed consent discussions, a specialized consent form with points for neurosurgeons to check off upon discussion, interactive websites, question prompt lists, and illustrations were found to be effective in improving patient knowledge. Lack of informed consent was a common factor for malpractice litigation. Spine surgery was particularly prone to costly lawsuits. Payments were generally greater for plaintiff verdicts than for settlements. CONCLUSIONS The application of informed consent to patient encounters is an important facet of clinical practice. Neurosurgeons have a duty to provide patients with all pertinent information to allow them to make decisions about their care. The authors examined baseline patient comprehension and capacity, interventions to improve informed consent, and malpractice litigation; it appears that determining the proper capacity to provide informed consent and cons…","author":[{"dropping-particle":"","family":"Shlobin","given":"Nathan A.","non-dropping-particle":"","parse-names":false,"suffix":""},{"dropping-particle":"","family":"Sheldon","given":"Mark","non-dropping-particle":"","parse-names":false,"suffix":""},{"dropping-particle":"","family":"Lam","given":"Sandi","non-dropping-particle":"","parse-names":false,"suffix":""}],"container-title":"Neurosurgical Focus","id":"ITEM-1","issue":"5","issued":{"date-parts":[["2020"]]},"title":"Informed consent in neurosurgery: a systematic review","type":"article-journal","volume":"49"},"uris":["http://www.mendeley.com/documents/?uuid=f8d491ea-74e8-33d1-8747-35bc68f89ba2"]}],"mendeley":{"formattedCitation":"Nathan A. Shlobin, Mark Sheldon, and Sandi Lam, ‘Informed Consent in Neurosurgery: A Systematic Review’, &lt;i&gt;Neurosurgical Focus&lt;/i&gt;, 49.5 (2020) &lt;https://doi.org/10.3171/2020.8.FOCUS20611&gt;.","manualFormatting":"Nathan A. Shlobin, Mark Sheldon, and Sandi Lam, 'Informed Consent in Neurosurgery: A Systematic Review', Neurosurgical Focus , 49.5 (2020) .","plainTextFormattedCitation":"Nathan A. Shlobin, Mark Sheldon, and Sandi Lam, ‘Informed Consent in Neurosurgery: A Systematic Review’, Neurosurgical Focus, 49.5 (2020) .","previouslyFormattedCitation":"(Shlobin et al.)"},"properties":{"noteIndex":1},"schema":"https://github.com/citation-style-language/schema/raw/master/csl-citation.json"}</w:instrText>
      </w:r>
      <w:r>
        <w:fldChar w:fldCharType="separate"/>
      </w:r>
      <w:r>
        <w:rPr>
          <w:b/>
          <w:bCs/>
          <w:noProof/>
          <w:lang w:val="en-US"/>
        </w:rPr>
        <w:t>Nathan A. Shlobin, Mark Sheldon, and Sandi Lam, 'Informed Consent in Neurosurgery: A Systematic Review', Neurosurgical Focus , 49.5 (2020) &lt;https://doi.org/10.3171/2020.8.FOCUS20611&gt;.</w:t>
      </w:r>
      <w:r>
        <w:fldChar w:fldCharType="end"/>
      </w:r>
    </w:p>
  </w:footnote>
  <w:footnote w:id="2">
    <w:p w:rsidR="009B3560" w:rsidRDefault="00736FEA">
      <w:pPr>
        <w:pStyle w:val="FootnoteText"/>
      </w:pPr>
      <w:r>
        <w:rPr>
          <w:rStyle w:val="FootnoteReference"/>
        </w:rPr>
        <w:footnoteRef/>
      </w:r>
      <w:r>
        <w:t xml:space="preserve"> </w:t>
      </w:r>
      <w:r>
        <w:fldChar w:fldCharType="begin" w:fldLock="1"/>
      </w:r>
      <w:r>
        <w:instrText>ADDIN CSL_CITATION {"citationItems":[{"id":"ITEM-1","itemData":{"ISSN":"2987-713X","abstract":"Informed consent is a fundamental patient right that reflects respect for human rights in healthcare services. This study aims to enhance public understanding of the legal and ethical aspects of informed consent in medical practice. The method employed was a juridical-empirical approach through lectures, interactive discussions, and observations of the Karangpawitan community. The results indicate that participants gained new insights into the basic concept of informed consent, the national and international legal foundations underlying it, and its implementation procedures in medical practice. Participants also understood the legal consequences of failing to conduct informed consent properly, including the potential for disputes between patients and healthcare providers. This activity demonstrated an increase in legal awareness and medical ethics among the community, which implies the strengthening of a healthcare culture based on patient rights and legal compliance.","author":[{"dropping-particle":"","family":"Dewi","given":"Sartika","non-dropping-particle":"","parse-names":false,"suffix":""},{"dropping-particle":"","family":"Amaliya","given":"Lia","non-dropping-particle":"","parse-names":false,"suffix":""},{"dropping-particle":"","family":"Asyhadi","given":"Farhan","non-dropping-particle":"","parse-names":false,"suffix":""},{"dropping-particle":"","family":"Arafat","given":"Zarisnov","non-dropping-particle":"","parse-names":false,"suffix":""}],"container-title":"QOSIM: Jurnal Pendidikan Sosial &amp; Humaniora","id":"ITEM-1","issue":"3","issued":{"date-parts":[["2025"]]},"page":"1430-1436","title":"Sosialisasi hukum kesehatan: Memahami pentingnya informed consent dalam pelayanan medik","type":"article-journal","volume":"3"},"uris":["http://www.mendeley.com/documents/?uuid=6ff29c3c-d9ef-4b0b-b38c-709e4abbb040"]}],"mendeley":{"formattedCitation":"Sartika Dewi and others, ‘Sosialisasi Hukum Kesehatan: Memahami Pentingnya Informed Consent Dalam Pelayanan Medik’, &lt;i&gt;QOSIM: Jurnal Pendidikan Sosial &amp; Humaniora&lt;/i&gt;, 3.3 (2025), 1430–36.","manualFormatting":"Sartika Dewi and others, 'Socialization of Health Law: Understanding the Importance of Informed Consent in Medical Services', QOSIM: Journal of Social Education &amp; Humanities , 3.3 (2025), 1430–36.","plainTextFormattedCitation":"Sartika Dewi and others, ‘Sosialisasi Hukum Kesehatan: Memahami Pentingnya Informed Consent Dalam Pelayanan Medik’, QOSIM: Jurnal Pendidikan Sosial &amp; Humaniora, 3.3 (2025), 1430–36.","previouslyFormattedCitation":"(Dewi et al.)"},"properties":{"noteIndex":2},"schema":"https://github.com/citation-style-language/schema/raw/master/csl-citation.json"}</w:instrText>
      </w:r>
      <w:r>
        <w:fldChar w:fldCharType="separate"/>
      </w:r>
      <w:r>
        <w:rPr>
          <w:b/>
          <w:bCs/>
          <w:noProof/>
          <w:lang w:val="en-US"/>
        </w:rPr>
        <w:t>Sartika Dewi and others, 'Socialization of Health Law: Understanding the Importance of Informed Consent in Medical Services', QOSIM: Journal of Social Education &amp; Humanities , 3.3 (2025), 1430–36.</w:t>
      </w:r>
      <w:r>
        <w:fldChar w:fldCharType="end"/>
      </w:r>
    </w:p>
  </w:footnote>
  <w:footnote w:id="3">
    <w:p w:rsidR="009B3560" w:rsidRDefault="00736FEA">
      <w:pPr>
        <w:pStyle w:val="FootnoteText"/>
      </w:pPr>
      <w:r>
        <w:rPr>
          <w:rStyle w:val="FootnoteReference"/>
        </w:rPr>
        <w:footnoteRef/>
      </w:r>
      <w:r>
        <w:t xml:space="preserve"> </w:t>
      </w:r>
      <w:r>
        <w:fldChar w:fldCharType="begin" w:fldLock="1"/>
      </w:r>
      <w:r>
        <w:instrText>ADDIN CSL_CITATION {"citationItems":[{"id":"ITEM-1","itemData":{"abstract":"… factors causing the mismatch of logistics warehouse inventory at PT Dai Nippon Printing Indonesia. … Inventory is one of the largest capital investments in current assets, making it a major …","author":[{"dropping-particle":"","family":"Fitriana","given":"Dian","non-dropping-particle":"","parse-names":false,"suffix":""}],"container-title":"Sinergi International Journal of Law","id":"ITEM-1","issue":"2","issued":{"date-parts":[["2023"]]},"page":"115-123","title":"The Role of Informed Consent as Legal Protection for Doctors in Conducting Medical Procedures","type":"article-journal"},"uris":["http://www.mendeley.com/documents/?uuid=c868355f-6207-42e3-821b-804c199dc5b8"]}],"mendeley":{"formattedCitation":"Dian Fitriana, ‘The Role of Informed Consent as Legal Protection for Doctors in Conducting Medical Procedures’, &lt;i&gt;Sinergi International Journal of Law&lt;/i&gt;, 2023, 115–23 &lt;https://www.academia.edu/download/107852094/10.pdf&gt;.","manualFormatting":"Dian Fitriana, 'The Role of Informed Consent as Legal Protection for Doctors in Conducting Medical Procedures', Sinergi International Journal of Law , 2023, 115–23 .","plainTextFormattedCitation":"Dian Fitriana, ‘The Role of Informed Consent as Legal Protection for Doctors in Conducting Medical Procedures’, Sinergi International Journal of Law, 2023, 115–23 .","previouslyFormattedCitation":"(Fitriana)"},"properties":{"noteIndex":3},"schema":"https://github.com/citation-style-language/schema/raw/master/csl-citation.json"}</w:instrText>
      </w:r>
      <w:r>
        <w:fldChar w:fldCharType="separate"/>
      </w:r>
      <w:r>
        <w:rPr>
          <w:noProof/>
        </w:rPr>
        <w:t>Dian Fitriana, 'The Role of Informed Consent as Legal Protection for Doctors in Conducting Medical Procedures', Sinergi International Journal of Law , 2023, 115–23 &lt;https://www.academia.edu/download/107852094/10.pdf&gt;.</w:t>
      </w:r>
      <w:r>
        <w:fldChar w:fldCharType="end"/>
      </w:r>
    </w:p>
  </w:footnote>
  <w:footnote w:id="4">
    <w:p w:rsidR="009B3560" w:rsidRDefault="00736FEA">
      <w:pPr>
        <w:pStyle w:val="FootnoteText"/>
      </w:pPr>
      <w:r>
        <w:rPr>
          <w:rStyle w:val="FootnoteReference"/>
        </w:rPr>
        <w:footnoteRef/>
      </w:r>
      <w:r>
        <w:t xml:space="preserve"> </w:t>
      </w:r>
      <w:r>
        <w:fldChar w:fldCharType="begin" w:fldLock="1"/>
      </w:r>
      <w:r>
        <w:instrText>ADDIN CSL_CITATION {"citationItems":[{"id":"ITEM-1","itemData":{"author":[{"dropping-particle":"","family":"Arthanti","given":"Widyana Beta","non-dropping-particle":"","parse-names":false,"suffix":""},{"dropping-particle":"","family":"Pembangunan","given":"Universitas","non-dropping-particle":"","parse-names":false,"suffix":""},{"dropping-particle":"","family":"Veteran","given":"Nasional","non-dropping-particle":"","parse-names":false,"suffix":""},{"dropping-particle":"","family":"Timur","given":"Jawa","non-dropping-particle":"","parse-names":false,"suffix":""}],"id":"ITEM-1","issue":"September","issued":{"date-parts":[["2025"]]},"page":"174-187","title":"PRINSIP OTONOMI DALAM PRAKTIK KEDOKTERAN DI INDONESIA :","type":"article-journal","volume":"5"},"uris":["http://www.mendeley.com/documents/?uuid=fc66a8bd-38c9-47b8-bb4b-f1c8440b54a0"]}],"mendeley":{"formattedCitation":"Widyana Beta Arthanti and others, ‘PRINSIP OTONOMI DALAM PRAKTIK KEDOKTERAN DI INDONESIA ’:, 5.September (2025), 174–87.","manualFormatting":"Widyana Beta Arthanti and others, 'THE PRINCIPLE OF AUTONOMY IN MEDICAL PRACTICE IN INDONESIA':, 5.September (2025), 174–87.","plainTextFormattedCitation":"Widyana Beta Arthanti and others, ‘PRINSIP OTONOMI DALAM PRAKTIK KEDOKTERAN DI INDONESIA ’:, 5.September (2025), 174–87.","previouslyFormattedCitation":"(Arthanti et al.)"},"properties":{"noteIndex":4},"schema":"https://github.com/citation-style-language/schema/raw/master/csl-citation.json"}</w:instrText>
      </w:r>
      <w:r>
        <w:fldChar w:fldCharType="separate"/>
      </w:r>
      <w:r>
        <w:rPr>
          <w:b/>
          <w:bCs/>
          <w:noProof/>
          <w:lang w:val="en-US"/>
        </w:rPr>
        <w:t>Widyana Beta Arthanti and others, 'THE PRINCIPLE OF AUTONOMY IN MEDICAL PRACTICE IN INDONESIA':, 5.September (2025), 174–87.</w:t>
      </w:r>
      <w:r>
        <w:fldChar w:fldCharType="end"/>
      </w:r>
    </w:p>
  </w:footnote>
  <w:footnote w:id="5">
    <w:p w:rsidR="009B3560" w:rsidRDefault="002C6FDB">
      <w:pPr>
        <w:pStyle w:val="FootnoteText"/>
      </w:pPr>
      <w:r w:rsidRPr="003457B2">
        <w:rPr>
          <w:rStyle w:val="FootnoteReference"/>
        </w:rPr>
        <w:footnoteRef/>
      </w:r>
      <w:r>
        <w:t xml:space="preserve"> </w:t>
      </w:r>
      <w:r>
        <w:rPr>
          <w:rFonts w:ascii="latoregular" w:hAnsi="latoregular"/>
          <w:color w:val="000000"/>
          <w:shd w:val="clear" w:color="auto" w:fill="EEEEEE"/>
        </w:rPr>
        <w:t xml:space="preserve">Kurniawan, IG, &amp; Chandra, A. (2024). The Civil Law Aspects of Informed Consent to Medical Procedures. </w:t>
      </w:r>
      <w:r>
        <w:rPr>
          <w:rStyle w:val="Emphasis"/>
          <w:rFonts w:ascii="latoregular" w:hAnsi="latoregular"/>
          <w:color w:val="000000"/>
        </w:rPr>
        <w:t xml:space="preserve">SASI, 30 </w:t>
      </w:r>
      <w:r>
        <w:rPr>
          <w:rFonts w:ascii="latoregular" w:hAnsi="latoregular"/>
          <w:color w:val="000000"/>
          <w:shd w:val="clear" w:color="auto" w:fill="EEEEEE"/>
        </w:rPr>
        <w:t xml:space="preserve">(3), 326 - 338. DOI: </w:t>
      </w:r>
      <w:hyperlink r:id="rId1" w:history="1">
        <w:r>
          <w:rPr>
            <w:rStyle w:val="Hyperlink"/>
            <w:rFonts w:ascii="latoregular" w:hAnsi="latoregular"/>
            <w:color w:val="4F81BD"/>
          </w:rPr>
          <w:t xml:space="preserve">https://doi.org/10.47268/sasi.v30i3.2277 </w:t>
        </w:r>
      </w:hyperlink>
      <w:r>
        <w:rPr>
          <w:rFonts w:ascii="latoregular" w:hAnsi="latoregular"/>
          <w:color w:val="000000"/>
          <w:shd w:val="clear" w:color="auto" w:fill="EEEEEE"/>
        </w:rPr>
        <w:t>.</w:t>
      </w:r>
    </w:p>
  </w:footnote>
  <w:footnote w:id="6">
    <w:p w:rsidR="009B3560" w:rsidRDefault="00736FEA">
      <w:pPr>
        <w:pStyle w:val="FootnoteText"/>
      </w:pPr>
      <w:r>
        <w:rPr>
          <w:rStyle w:val="FootnoteReference"/>
        </w:rPr>
        <w:footnoteRef/>
      </w:r>
      <w:r>
        <w:t xml:space="preserve"> </w:t>
      </w:r>
      <w:r>
        <w:fldChar w:fldCharType="begin" w:fldLock="1"/>
      </w:r>
      <w: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Kata","author":[{"dropping-particle":"","family":"Wada","given":"Fauziah Hamid","non-dropping-particle":"","parse-names":false,"suffix":""},{"dropping-particle":"","family":"Pertiwi, AnnaHasiolan, Mara Imbang SatriawanLestari, SriSudipa, I Gede IwanPatalatu, Jonherz StenllyBoari","given":"YosebFerdinan","non-dropping-particle":"","parse-names":false,"suffix":""},{"dropping-particle":"","family":"Puspitaningrum, JayantiIfadah","given":"ErlinAbd. Rahman","non-dropping-particle":"","parse-names":false,"suffix":""}],"container-title":"Cv Science Techno Direct","id":"ITEM-1","issued":{"date-parts":[["2024"]]},"number-of-pages":"1-195","title":"Buku Ajar Metodologi Penelitian","type":"book"},"uris":["http://www.mendeley.com/documents/?uuid=92e833a3-3115-43fa-ba01-e87f78a3b5ca"]}],"mendeley":{"formattedCitation":"Fauziah Hamid Wada, YosebFerdinan Pertiwi, AnnaHasiolan, Mara Imbang SatriawanLestari, SriSudipa, I Gede IwanPatalatu, Jonherz StenllyBoari, and ErlinAbd. Rahman Puspitaningrum, JayantiIfadah, &lt;i&gt;Buku Ajar Metodologi Penelitian&lt;/i&gt;, &lt;i&gt;Cv Science Techno Direct&lt;/i&gt;, 2024.","manualFormatting":"Fauziah Hamid Wada, Yoseb Ferdinand Pertiwi, Anna Hasiolan, Mara Imbang Satriawan Lestari, Sri Sudipa, I Gede Iwan Patalatu, Jonherz Stenlly Boari, and Erlin Abd. Rahman Puspitaningrum, Jayanti Ifadah, Textbook of Research Methodology , Cv Science Techno Direct , 2024.","plainTextFormattedCitation":"Fauziah Hamid Wada, YosebFerdinan Pertiwi, AnnaHasiolan, Mara Imbang SatriawanLestari, SriSudipa, I Gede IwanPatalatu, Jonherz StenllyBoari, and ErlinAbd. Rahman Puspitaningrum, JayantiIfadah, Buku Ajar Metodologi Penelitian, Cv Science Techno Direct, 2024.","previouslyFormattedCitation":"(Wada et al.)"},"properties":{"noteIndex":6},"schema":"https://github.com/citation-style-language/schema/raw/master/csl-citation.json"}</w:instrText>
      </w:r>
      <w:r>
        <w:fldChar w:fldCharType="separate"/>
      </w:r>
      <w:r>
        <w:rPr>
          <w:noProof/>
        </w:rPr>
        <w:t>Fauziah Hamid Wada, Yoseb Ferdinand Pertiwi, Anna Hasiolan, Mara Imbang Satriawan Lestari, Sri Sudipa, I Gede Iwan Patalatu, Jonherz Stenlly Boari, and Erlin Abd. Rahman Puspitaningrum, Jayanti Ifadah, Textbook of Research Methodology , Cv Science Techno Direct , 2024.</w:t>
      </w:r>
      <w:r>
        <w:fldChar w:fldCharType="end"/>
      </w:r>
    </w:p>
  </w:footnote>
  <w:footnote w:id="7">
    <w:p w:rsidR="009B3560" w:rsidRDefault="002C6FDB">
      <w:pPr>
        <w:pStyle w:val="FootnoteText"/>
      </w:pPr>
      <w:r>
        <w:rPr>
          <w:rStyle w:val="FootnoteReference"/>
        </w:rPr>
        <w:footnoteRef/>
      </w:r>
      <w:r>
        <w:t xml:space="preserve"> </w:t>
      </w:r>
      <w:r w:rsidR="00736FEA">
        <w:fldChar w:fldCharType="begin" w:fldLock="1"/>
      </w:r>
      <w:r w:rsidR="00736FEA">
        <w:instrText>ADDIN CSL_CITATION {"citationItems":[{"id":"ITEM-1","itemData":{"ISBN":"6281917431789","author":[{"dropping-particle":"","family":"Muhaimin","given":"","non-dropping-particle":"","parse-names":false,"suffix":""}],"container-title":"Mataram University Press","edition":"Cetakan Pe","id":"ITEM-1","issued":{"date-parts":[["2020"]]},"number-of-pages":"1-162","publisher-place":"Jln. Majapahit No. 62 Mataram-NTB","title":"Metode Penelitian Hukum","type":"book"},"uris":["http://www.mendeley.com/documents/?uuid=f8bedd03-72f6-4f58-8fc1-690982694fc5"]}],"mendeley":{"formattedCitation":"Muhaimin, &lt;i&gt;Metode Penelitian Hukum&lt;/i&gt;, &lt;i&gt;Mataram University Press&lt;/i&gt;, Cetakan Pe (Jln. Majapahit No. 62 Mataram-NTB, 2020) &lt;e-mail: upt.mataramuniversitypress@gmail.com %0Awebsite: www.uptpress.unram.ac.id.&gt;.","manualFormatting":"Muhaimin, Legal Research Methods , Mataram University Press , Print Pe (Jln. Majapahit No. 62 Mataram-NTB, 2020) . ","plainTextFormattedCitation":"Muhaimin, Metode Penelitian Hukum, Mataram University Press, Cetakan Pe (Jln. Majapahit No. 62 Mataram-NTB, 2020) .","previouslyFormattedCitation":"(Muhaimin)"},"properties":{"noteIndex":7},"schema":"https://github.com/citation-style-language/schema/raw/master/csl-citation.json"}</w:instrText>
      </w:r>
      <w:r w:rsidR="00736FEA">
        <w:fldChar w:fldCharType="separate"/>
      </w:r>
      <w:r w:rsidRPr="002B6B8E">
        <w:rPr>
          <w:noProof/>
        </w:rPr>
        <w:t xml:space="preserve">Muhaimin, </w:t>
      </w:r>
      <w:r w:rsidRPr="002B6B8E">
        <w:rPr>
          <w:i/>
          <w:noProof/>
        </w:rPr>
        <w:t xml:space="preserve">Legal Research Methods </w:t>
      </w:r>
      <w:r w:rsidRPr="002B6B8E">
        <w:rPr>
          <w:noProof/>
        </w:rPr>
        <w:t xml:space="preserve">, </w:t>
      </w:r>
      <w:r w:rsidRPr="002B6B8E">
        <w:rPr>
          <w:i/>
          <w:noProof/>
        </w:rPr>
        <w:t xml:space="preserve">Mataram University Press </w:t>
      </w:r>
      <w:r w:rsidRPr="002B6B8E">
        <w:rPr>
          <w:noProof/>
        </w:rPr>
        <w:t xml:space="preserve">, Print Pe (Jln. Majapahit No. 62 Mataram-NTB, 2020) &lt;e-mail: upt.mataramuniversitypress@gmail.com %0Awebsite: www.uptpress.unram.ac.id. &gt;. </w:t>
      </w:r>
      <w:r w:rsidR="00736FEA">
        <w:fldChar w:fldCharType="end"/>
      </w:r>
      <w:r>
        <w:t>Page-64.</w:t>
      </w:r>
    </w:p>
  </w:footnote>
  <w:footnote w:id="8">
    <w:p w:rsidR="009B3560" w:rsidRDefault="00736FEA">
      <w:pPr>
        <w:pStyle w:val="FootnoteText"/>
      </w:pPr>
      <w:r>
        <w:rPr>
          <w:rStyle w:val="FootnoteReference"/>
        </w:rPr>
        <w:footnoteRef/>
      </w:r>
      <w:r>
        <w:t xml:space="preserve"> </w:t>
      </w:r>
      <w:r>
        <w:fldChar w:fldCharType="begin" w:fldLock="1"/>
      </w:r>
      <w:r>
        <w:instrText>ADDIN CSL_CITATION {"citationItems":[{"id":"ITEM-1","itemData":{"DOI":"10.18502/kss.v10i26.19986","author":[{"dropping-particle":"","family":"Azam","given":"Muhammad","non-dropping-particle":"","parse-names":false,"suffix":""},{"dropping-particle":"","family":"Mashdurohatun","given":"Anis","non-dropping-particle":"","parse-names":false,"suffix":""},{"dropping-particle":"","family":"Sanni","given":"Tajudeen","non-dropping-particle":"","parse-names":false,"suffix":""}],"id":"ITEM-1","issued":{"date-parts":[["2025"]]},"page":"141-154","title":"Harmonizing Environmental Norms in International Trade : Reconciling WTO Rules with Biodiversity Protection in OIC Countries","type":"article-journal"},"uris":["http://www.mendeley.com/documents/?uuid=cdf68d34-072b-4bc5-a8b8-e205a7747160"]}],"mendeley":{"formattedCitation":"Muhammad Azam, Anis Mashdurohatun, and Tajudeen Sanni, ‘Harmonizing Environmental Norms in International Trade : Reconciling WTO Rules with Biodiversity Protection in OIC Countries’, 2025, 141–54 &lt;https://doi.org/10.18502/kss.v10i26.19986&gt;.","manualFormatting":"Muhammad Azam, Anis Mashdurohatun, and Tajudeen Sanni, 'Harmonizing Environmental Norms in International Trade : Reconciling WTO Rules with Biodiversity Protection in OIC Countries', 2025, 141–54 .","plainTextFormattedCitation":"Muhammad Azam, Anis Mashdurohatun, and Tajudeen Sanni, ‘Harmonizing Environmental Norms in International Trade : Reconciling WTO Rules with Biodiversity Protection in OIC Countries’, 2025, 141–54 .","previouslyFormattedCitation":"(Azam et al.)"},"properties":{"noteIndex":8},"schema":"https://github.com/citation-style-language/schema/raw/master/csl-citation.json"}</w:instrText>
      </w:r>
      <w:r>
        <w:fldChar w:fldCharType="separate"/>
      </w:r>
      <w:r>
        <w:rPr>
          <w:noProof/>
        </w:rPr>
        <w:t>Muhammad Azam, Anis Mashdurohatun, and Tajudeen Sanni, 'Harmonizing Environmental Norms in International Trade : Reconciling WTO Rules with Biodiversity Protection in OIC Countries', 2025, 141–54 &lt;https://doi.org/10.18502/kss.v10i26.19986&gt;.</w:t>
      </w:r>
      <w:r>
        <w:fldChar w:fldCharType="end"/>
      </w:r>
    </w:p>
  </w:footnote>
  <w:footnote w:id="9">
    <w:p w:rsidR="00306E4F" w:rsidRPr="002C6FDB" w:rsidRDefault="00306E4F" w:rsidP="00306E4F">
      <w:pPr>
        <w:pStyle w:val="NormalWeb"/>
        <w:spacing w:before="0" w:beforeAutospacing="0" w:after="0" w:afterAutospacing="0"/>
        <w:rPr>
          <w:rFonts w:asciiTheme="minorHAnsi" w:hAnsiTheme="minorHAnsi" w:cs="Calibri"/>
        </w:rPr>
      </w:pPr>
      <w:r>
        <w:rPr>
          <w:rStyle w:val="FootnoteReference"/>
        </w:rPr>
        <w:footnoteRef/>
      </w:r>
      <w:r>
        <w:t xml:space="preserve"> </w:t>
      </w:r>
      <w:r w:rsidR="00736FEA">
        <w:rPr>
          <w:rFonts w:asciiTheme="minorHAnsi" w:hAnsiTheme="minorHAnsi" w:cs="Calibri"/>
        </w:rPr>
        <w:fldChar w:fldCharType="begin" w:fldLock="1"/>
      </w:r>
      <w:r w:rsidR="00736FEA">
        <w:rPr>
          <w:rFonts w:asciiTheme="minorHAnsi" w:hAnsiTheme="minorHAnsi" w:cs="Calibri"/>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Kata","author":[{"dropping-particle":"","family":"Gunardi","given":"","non-dropping-particle":"","parse-names":false,"suffix":""}],"edition":"Edisi Pert","id":"ITEM-1","issued":{"date-parts":[["2022"]]},"number-of-pages":"115-129","publisher":"Damera Press","publisher-place":"Jl. Pagujaten Raya No. 9, Pasar Minggu, Pejaten Timur, Jakarta Selatan","title":"Buku Ajar Metodologi Penelitian Hukum","type":"book"},"uris":["http://www.mendeley.com/documents/?uuid=0c32b035-a429-4cd9-8fc1-1f930478d84f"]}],"mendeley":{"formattedCitation":"Gunardi, &lt;i&gt;Buku Ajar Metodologi Penelitian Hukum&lt;/i&gt;, Edisi Pert (Jl. Pagujaten Raya No. 9, Pasar Minggu, Pejaten Timur, Jakarta Selatan: Damera Press, 2022) &lt;https://damerapress.co.id/&gt;.","manualFormatting":"Gunardi, Textbook of Legal Research Methodology , First Edition (Jl. Pagujaten Raya No. 9, Pasar Minggu, Pejaten Timur, South Jakarta: Damera Press, 2022) . ","plainTextFormattedCitation":"Gunardi, Buku Ajar Metodologi Penelitian Hukum, Edisi Pert (Jl. Pagujaten Raya No. 9, Pasar Minggu, Pejaten Timur, Jakarta Selatan: Damera Press, 2022) .","previouslyFormattedCitation":"(Gunardi)"},"properties":{"noteIndex":9},"schema":"https://github.com/citation-style-language/schema/raw/master/csl-citation.json"}</w:instrText>
      </w:r>
      <w:r w:rsidR="00736FEA">
        <w:rPr>
          <w:rFonts w:asciiTheme="minorHAnsi" w:hAnsiTheme="minorHAnsi" w:cs="Calibri"/>
        </w:rPr>
        <w:fldChar w:fldCharType="separate"/>
      </w:r>
      <w:r w:rsidRPr="002C6FDB">
        <w:rPr>
          <w:rFonts w:asciiTheme="minorHAnsi" w:hAnsiTheme="minorHAnsi" w:cs="Calibri"/>
          <w:noProof/>
        </w:rPr>
        <w:t xml:space="preserve">Gunardi, </w:t>
      </w:r>
      <w:r w:rsidRPr="002C6FDB">
        <w:rPr>
          <w:rFonts w:asciiTheme="minorHAnsi" w:hAnsiTheme="minorHAnsi" w:cs="Calibri"/>
          <w:i/>
          <w:noProof/>
        </w:rPr>
        <w:t xml:space="preserve">Textbook of Legal Research Methodology </w:t>
      </w:r>
      <w:r w:rsidRPr="002C6FDB">
        <w:rPr>
          <w:rFonts w:asciiTheme="minorHAnsi" w:hAnsiTheme="minorHAnsi" w:cs="Calibri"/>
          <w:noProof/>
        </w:rPr>
        <w:t xml:space="preserve">, First Edition (Jl. Pagujaten Raya No. 9, Pasar Minggu, Pejaten Timur, South Jakarta: Damera Press, 2022) &lt;https://damerapress.co.id/&gt;. </w:t>
      </w:r>
      <w:r w:rsidR="00736FEA">
        <w:rPr>
          <w:rFonts w:asciiTheme="minorHAnsi" w:hAnsiTheme="minorHAnsi" w:cs="Calibri"/>
        </w:rPr>
        <w:fldChar w:fldCharType="end"/>
      </w:r>
      <w:r w:rsidRPr="002C6FDB">
        <w:rPr>
          <w:rFonts w:asciiTheme="minorHAnsi" w:hAnsiTheme="minorHAnsi" w:cs="Calibri"/>
        </w:rPr>
        <w:t>Reconstruction is one of the methods of legal discovery besides interpretation.</w:t>
      </w:r>
    </w:p>
    <w:p w:rsidR="009B3560" w:rsidRDefault="00306E4F" w:rsidP="00306E4F">
      <w:pPr>
        <w:pStyle w:val="FootnoteText"/>
      </w:pPr>
      <w:r w:rsidRPr="002C6FDB">
        <w:rPr>
          <w:rFonts w:cs="Calibri"/>
          <w:kern w:val="0"/>
          <w:sz w:val="24"/>
          <w:szCs w:val="24"/>
        </w:rPr>
        <w:t>or interpretation.</w:t>
      </w:r>
    </w:p>
  </w:footnote>
  <w:footnote w:id="10">
    <w:p w:rsidR="009B3560" w:rsidRDefault="002C6FDB">
      <w:pPr>
        <w:pStyle w:val="FootnoteText"/>
      </w:pPr>
      <w:r>
        <w:rPr>
          <w:rStyle w:val="FootnoteReference"/>
        </w:rPr>
        <w:footnoteRef/>
      </w:r>
      <w:r>
        <w:t>Desi Syamsiah, Riki Martin Bala Bao, and Nur Fatihah Yuliana, “Basis for Applying the Pacta Sunt Servanda Principle in Agreements,” DAS SOLLEN LAW JOURNAL 9, no. 2 (December 25, 2023): 841–48, https://doi.org/10.32520/das sollen.v9i2.2988; Yoga Tri Cahyo and Marisa Kurnianingsih, “Pacta Sunt Servanda: Legal Dynamics in Indonesian Context,” Walisongo Law Review (Walrev) 5, no. 1 (April https://doi.org/10.21580/walrev.2023.5.1.14585.</w:t>
      </w:r>
    </w:p>
  </w:footnote>
  <w:footnote w:id="11">
    <w:p w:rsidR="009B3560" w:rsidRDefault="002C6FDB" w:rsidP="00B44A82">
      <w:pPr>
        <w:pStyle w:val="FootnoteText"/>
      </w:pPr>
      <w:r>
        <w:rPr>
          <w:rStyle w:val="FootnoteReference"/>
        </w:rPr>
        <w:footnoteRef/>
      </w:r>
      <w:r>
        <w:t xml:space="preserve"> </w:t>
      </w:r>
      <w:r w:rsidRPr="002C6FDB">
        <w:rPr>
          <w:rStyle w:val="Strong"/>
        </w:rPr>
        <w:t>Beauchamp, Tom L. &amp; Childress, James F.</w:t>
      </w:r>
      <w:r w:rsidRPr="002C6FDB">
        <w:t xml:space="preserve"> </w:t>
      </w:r>
      <w:r w:rsidRPr="002C6FDB">
        <w:rPr>
          <w:rStyle w:val="Emphasis"/>
        </w:rPr>
        <w:t xml:space="preserve">Principles of Biomedical Ethics </w:t>
      </w:r>
      <w:r w:rsidRPr="002C6FDB">
        <w:t xml:space="preserve">, 9th ed. New York: Oxford University Press, 2022, p. 104–109 </w:t>
      </w:r>
      <w:r w:rsidRPr="000E29E2">
        <w:rPr>
          <w:color w:val="4472C4" w:themeColor="accent1"/>
        </w:rPr>
        <w:t>.</w:t>
      </w:r>
    </w:p>
  </w:footnote>
  <w:footnote w:id="12">
    <w:p w:rsidR="009B3560" w:rsidRDefault="00736FEA">
      <w:pPr>
        <w:pStyle w:val="FootnoteText"/>
      </w:pPr>
      <w:r>
        <w:rPr>
          <w:rStyle w:val="FootnoteReference"/>
        </w:rPr>
        <w:footnoteRef/>
      </w:r>
      <w:r>
        <w:t xml:space="preserve"> </w:t>
      </w:r>
      <w:r>
        <w:fldChar w:fldCharType="begin" w:fldLock="1"/>
      </w:r>
      <w:r>
        <w:instrText>ADDIN CSL_CITATION {"citationItems":[{"id":"ITEM-1","itemData":{"ISSN":"2089-5364","abstract":"Dari sudut pandang hukum Islam, penelitian ini mengkaji pentingnya pemberian persetujuan sadar dalam praktik medis. Persetujuan yang diberikan secara sukarela dan sadar oleh pasien terhadap prosedur medis atau intervensi kesehatan yang akan dilakukan padanya dikenal sebagai informed consent. Konsep persetujuan ini dalam hukum Islam diatur oleh prinsip-prinsip etika dan hukum yang berkaitan dengan hak dan kewajiban setiap orang terhadap dokter. Analisis literatur dan pendekatan normatif terhadap sumber hukumIslam, seperti Al-Qur'an, Hadis, dan fatwa ulama, digunakan sebagai metodologi penelitian. Hasil penelitian menunjukkan bahwa prinsip-prinsip informed consent dapat ditemukan dalam ajaran Islam, yang menggarisbawahi pentingnya menghormati kehendak dan hak-hak pasien. Prinsip-prinsip ini termasuk kejujuran, transparansi, dan pertimbangan etika ketika memberikan informasi kepada pasien. Ketidakpatuhan terhadap informed consent dapat dianggap sebagai pelanggaran terhadap hak-hak individu pasien dari sudut pandang hukum Islam. Oleh karena itu, penelitian ini menemukan bahwa praktik medis yang didasarkan pada prinsip informed consent sesuai dengan etika dan hukum Islam. Studi ini juga menekankan bahwa praktisi medis dan masyarakat Muslim harus dididik tentang pentingnya informed consent","author":[{"dropping-particle":"","family":"Febrina","given":"Dea","non-dropping-particle":"","parse-names":false,"suffix":""},{"dropping-particle":"","family":"Agus Tantri","given":"Dinda","non-dropping-particle":"","parse-names":false,"suffix":""},{"dropping-particle":"","family":"Kesehatan Masyarakat","given":"Fakultas","non-dropping-particle":"","parse-names":false,"suffix":""}],"container-title":"Jurnal Ilmiah Wahana Pendidikan","id":"ITEM-1","issue":"20","issued":{"date-parts":[["2024"]]},"page":"178-183","title":"Pentingnya Informed Consent Dalam Perspektif Hukum Islam","type":"article-journal","volume":"2024"},"uris":["http://www.mendeley.com/documents/?uuid=c062c7f5-34c2-4d40-a221-6c0c433c8110"]}],"mendeley":{"formattedCitation":"Dea Febrina, Dinda Agus Tantri, and Fakultas Kesehatan Masyarakat, ‘Pentingnya Informed Consent Dalam Perspektif Hukum Islam’, &lt;i&gt;Jurnal Ilmiah Wahana Pendidikan&lt;/i&gt;, 2024.20 (2024), 178–83 &lt;https://doi.org/10.5281/zenodo.14273203&gt;.","manualFormatting":"Dea Febrina, Dinda Agus Tantri, and Faculty of Public Health, 'The Importance of Informed Consent in the Perspective of Islamic Law', Wahana Pendidikan Scientific Journal , 2024.20 (2024), 178–83 .","plainTextFormattedCitation":"Dea Febrina, Dinda Agus Tantri, and Fakultas Kesehatan Masyarakat, ‘Pentingnya Informed Consent Dalam Perspektif Hukum Islam’, Jurnal Ilmiah Wahana Pendidikan, 2024.20 (2024), 178–83 .","previouslyFormattedCitation":"(Febrina et al.)"},"properties":{"noteIndex":12},"schema":"https://github.com/citation-style-language/schema/raw/master/csl-citation.json"}</w:instrText>
      </w:r>
      <w:r>
        <w:fldChar w:fldCharType="separate"/>
      </w:r>
      <w:r>
        <w:rPr>
          <w:noProof/>
        </w:rPr>
        <w:t>Dea Febrina, Dinda Agus Tantri, and Faculty of Public Health, 'The Importance of Informed Consent in the Perspective of Islamic Law', Wahana Pendidikan Scientific Journal , 2024.20 (2024), 178–83 &lt;https://doi.org/10.5281/zenodo.14273203&gt;.</w:t>
      </w:r>
      <w:r>
        <w:fldChar w:fldCharType="end"/>
      </w:r>
    </w:p>
  </w:footnote>
  <w:footnote w:id="13">
    <w:p w:rsidR="009B3560" w:rsidRDefault="00736FEA">
      <w:pPr>
        <w:pStyle w:val="FootnoteText"/>
      </w:pPr>
      <w:r>
        <w:rPr>
          <w:rStyle w:val="FootnoteReference"/>
        </w:rPr>
        <w:footnoteRef/>
      </w:r>
      <w:r>
        <w:t xml:space="preserve"> </w:t>
      </w:r>
      <w:r>
        <w:fldChar w:fldCharType="begin" w:fldLock="1"/>
      </w:r>
      <w:r>
        <w:instrText>ADDIN CSL_CITATION {"citationItems":[{"id":"ITEM-1","itemData":{"DOI":"10.53730/ijhs.v6n3.13185","ISSN":"2550-6978","abstract":"The purpose of this study is to describe the process of health care that involves a triad of legal subjects, namely doctors, patients, and hospitals. The relationship between the three legal subjects is placed in a standard contract called informed consent. This research method uses a quantitative approach, which is measured by statistics. Necessary to carry out medical actions, legal subjects are doctors or hospitals, as drafters of agreements that contain the rights and obligations of all parties. The results of the analysis in practice in hospitals indicate an indication of competency gaps between legal subjects. The doctor or hospital must explain as easily as possible to the patient or the patient's family, leading and a complete understanding. Unclear from the patient or the patient's family, on the explanation of the hospital doctor. That informed consent is the legal basis for the rights and obligations of each.","author":[{"dropping-particle":"","family":"Yohanes","given":"Argo Sudarga","non-dropping-particle":"","parse-names":false,"suffix":""},{"dropping-particle":"","family":"Ramalinda","given":"Dola","non-dropping-particle":"","parse-names":false,"suffix":""},{"dropping-particle":"","family":"Pertiwi","given":"Laras Eka","non-dropping-particle":"","parse-names":false,"suffix":""},{"dropping-particle":"","family":"Kumalawijaya","given":"Amalia Putri","non-dropping-particle":"","parse-names":false,"suffix":""},{"dropping-particle":"","family":"Rahmawan","given":"Fedryan Syach","non-dropping-particle":"","parse-names":false,"suffix":""},{"dropping-particle":"","family":"Nurdin","given":"Sukmawati","non-dropping-particle":"","parse-names":false,"suffix":""},{"dropping-particle":"","family":"Ilyasa","given":"Mohamad Febrinur","non-dropping-particle":"","parse-names":false,"suffix":""},{"dropping-particle":"","family":"Fauzan","given":"Harish","non-dropping-particle":"","parse-names":false,"suffix":""}],"container-title":"International journal of health sciences","id":"ITEM-1","issue":"3","issued":{"date-parts":[["2022"]]},"page":"1535-1543","title":"Competency of legal subjects in informed consent as a standard agreement","type":"article-journal","volume":"6"},"uris":["http://www.mendeley.com/documents/?uuid=e7b075db-417f-48c3-a9ef-30ae84637cba"]}],"mendeley":{"formattedCitation":"Argo Sudarga Yohanes and others, ‘Competency of Legal Subjects in Informed Consent as a Standard Agreement’, &lt;i&gt;International Journal of Health Sciences&lt;/i&gt;, 6.3 (2022), 1535–43 &lt;https://doi.org/10.53730/ijhs.v6n3.13185&gt;.","plainTextFormattedCitation":"Argo Sudarga Yohanes and others, ‘Competency of Legal Subjects in Informed Consent as a Standard Agreement’, International Journal of Health Sciences, 6.3 (2022), 1535–43 .","previouslyFormattedCitation":"(Yohanes et al.)"},"properties":{"noteIndex":13},"schema":"https://github.com/citation-style-language/schema/raw/master/csl-citation.json"}</w:instrText>
      </w:r>
      <w:r>
        <w:fldChar w:fldCharType="separate"/>
      </w:r>
      <w:r w:rsidRPr="00736FEA">
        <w:rPr>
          <w:noProof/>
        </w:rPr>
        <w:t xml:space="preserve">Argo Sudarga Yohanes and others, ‘Competency of Legal Subjects in Informed Consent as a Standard Agreement’, </w:t>
      </w:r>
      <w:r w:rsidRPr="00736FEA">
        <w:rPr>
          <w:i/>
          <w:noProof/>
        </w:rPr>
        <w:t>International Journal of Health Sciences</w:t>
      </w:r>
      <w:r w:rsidRPr="00736FEA">
        <w:rPr>
          <w:noProof/>
        </w:rPr>
        <w:t>, 6.3 (2022), 1535–43 &lt;https://doi.org/10.53730/ijhs.v6n3.13185&gt;.</w:t>
      </w:r>
      <w:r>
        <w:fldChar w:fldCharType="end"/>
      </w:r>
    </w:p>
  </w:footnote>
  <w:footnote w:id="14">
    <w:p w:rsidR="009B3560" w:rsidRDefault="00736FEA">
      <w:pPr>
        <w:pStyle w:val="FootnoteText"/>
      </w:pPr>
      <w:r>
        <w:rPr>
          <w:rStyle w:val="FootnoteReference"/>
        </w:rPr>
        <w:footnoteRef/>
      </w:r>
      <w:r>
        <w:t xml:space="preserve"> </w:t>
      </w:r>
      <w:r>
        <w:fldChar w:fldCharType="begin" w:fldLock="1"/>
      </w:r>
      <w:r>
        <w:instrText>ADDIN CSL_CITATION {"citationItems":[{"id":"ITEM-1","itemData":{"DOI":"10.22437/zaaken.v3i3.18966","ISSN":"2721-8759","abstract":"This study aims to: Determine the function and role of informed consent in a therapeutic agreement in terms of contract law. As for the formulation of the problem, namely: How is the function and role of informed consent in therapeutic agreements in terms of contract law. Using normative juridical research methods with research approaches used are statutory approaches and conceptual approaches. The results showed that: For doctors, informed consent has a function to provide a sense of security in carrying out medical actions on patients, it can also be used as a means of self-defense against the possibility of claims or lawsuits from patients or their families if the results of medical actions lead to unwanted consequences. Meanwhile, for the patient, informed consent is an embodiment of the patient's right to receive information about the disease he or she is suffering from, what medical action will be taken, the worst possible outcome of the medical action taken, other alternative treatments, and the prognosis. Informed consent also gives patients the freedom to act and make medical decisions for themselves. Abstrak Penelitian ini bertujuan untuk: Mengetahui fungsi dan peran informed consent pada perjanjian terapeutik ditinjau dari hukum perjanjian. Adapun yang menjadi rumusan masalah yaitu: Bagaimana fungsi dan peranan informed consent pada perjanjian terapeutik ditinjau dari hukum perjanjian.Menggunakan metode penelitian yuridis normatif dengan pendekatan penelitian yang digunakan adalah pendekatan perundang-undangan (statute approach) dan pendekatan konseptual (conceptual approach). Hasil penelitian menunjukkan bahwa: Bagi dokter informed consent memiliki fungsi untuk memberikan rasa aman dalam menjalankan tindakan medis pada pasien, juga bisa dijadikan sebagai alat pembelaan diri terhadap kemungkinan adanya tuntutan atau gugatan dari pasien atau keluarganya bila hasil dari tindakan medis menimbulkan akibat yang tidak diinginkan. Sementara itu, bagi pihak pasien, informed consent merupakan perwujudan dari hak pasien untuk menerima informasi penyakit yang dideritanya, tindakan medis apa yang akan dilakukan, kemungkinan terburuk akibat tindakan medis yang dilakukan, alternatif pengobatan lainnya,serta prognosisinya. Informed consent juga memberi kebebasan bagi pasien untuk bertindak dan2mengambil keputusan medis untuk dirinya sendiri.","author":[{"dropping-particle":"","family":"Rezki Pebrina","given":"Anggun","non-dropping-particle":"","parse-names":false,"suffix":""},{"dropping-particle":"","family":"Najwan","given":"Johni","non-dropping-particle":"","parse-names":false,"suffix":""},{"dropping-particle":"","family":"Alissa","given":"Evalina","non-dropping-particle":"","parse-names":false,"suffix":""}],"container-title":"Zaaken: Journal of Civil and Business Law","id":"ITEM-1","issue":"3","issued":{"date-parts":[["2022"]]},"page":"468-486","title":"Fungsi Penerapan Informed Consent sebagai Persetujuan pada Perjanjian Terapeutik","type":"article-journal","volume":"3"},"uris":["http://www.mendeley.com/documents/?uuid=010cb437-8232-424c-a707-d824301a9116"]}],"mendeley":{"formattedCitation":"Anggun Rezki Pebrina, Johni Najwan, and Evalina Alissa, ‘Fungsi Penerapan Informed Consent Sebagai Persetujuan Pada Perjanjian Terapeutik’, &lt;i&gt;Zaaken: Journal of Civil and Business Law&lt;/i&gt;, 3.3 (2022), 468–86 &lt;https://doi.org/10.22437/zaaken.v3i3.18966&gt;.","plainTextFormattedCitation":"Anggun Rezki Pebrina, Johni Najwan, and Evalina Alissa, ‘Fungsi Penerapan Informed Consent Sebagai Persetujuan Pada Perjanjian Terapeutik’, Zaaken: Journal of Civil and Business Law, 3.3 (2022), 468–86 .","previouslyFormattedCitation":"(Rezki Pebrina et al.)"},"properties":{"noteIndex":14},"schema":"https://github.com/citation-style-language/schema/raw/master/csl-citation.json"}</w:instrText>
      </w:r>
      <w:r>
        <w:fldChar w:fldCharType="separate"/>
      </w:r>
      <w:r w:rsidRPr="00736FEA">
        <w:rPr>
          <w:noProof/>
        </w:rPr>
        <w:t xml:space="preserve">Anggun Rezki Pebrina, Johni Najwan, and Evalina Alissa, ‘Fungsi Penerapan Informed Consent Sebagai Persetujuan Pada Perjanjian Terapeutik’, </w:t>
      </w:r>
      <w:r w:rsidRPr="00736FEA">
        <w:rPr>
          <w:i/>
          <w:noProof/>
        </w:rPr>
        <w:t>Zaaken: Journal of Civil and Business Law</w:t>
      </w:r>
      <w:r w:rsidRPr="00736FEA">
        <w:rPr>
          <w:noProof/>
        </w:rPr>
        <w:t>, 3.3 (2022), 468–86 &lt;https://doi.org/10.22437/zaaken.v3i3.18966&gt;.</w:t>
      </w:r>
      <w:r>
        <w:fldChar w:fldCharType="end"/>
      </w:r>
    </w:p>
  </w:footnote>
  <w:footnote w:id="15">
    <w:p w:rsidR="009B3560" w:rsidRDefault="002C6FDB">
      <w:pPr>
        <w:pStyle w:val="FootnoteText"/>
      </w:pPr>
      <w:r>
        <w:rPr>
          <w:rStyle w:val="FootnoteReference"/>
        </w:rPr>
        <w:footnoteRef/>
      </w:r>
      <w:r>
        <w:t xml:space="preserve"> </w:t>
      </w:r>
      <w:r w:rsidR="00736FEA">
        <w:fldChar w:fldCharType="begin" w:fldLock="1"/>
      </w:r>
      <w:r w:rsidR="00736FEA">
        <w:instrText>ADDIN CSL_CITATION {"citationItems":[{"id":"ITEM-1","itemData":{"abstract":"REPUBLIK INDONESIA NOMOR 17 TAHUN 2023 TENTANG KESEHATAN DENGAN RAHMATTUHAN YANG MAHA ESA PRESIDEN REPUBLIK INDONESIA, Menimbang bahwa negara menjamin hak setiap warga negara untuk mewujudkan kehidupan yang baik, sehat, serta sejahtera lahir dan batin demi tercapainya tujuan nasional dalam tumpah darah Indonesia untuk memajukan melindungi segenap bangsa Indonesia dan seluruh kesejahteraan umum sebagaimana diamanatkan dalam Undang-Undang Dasar Negara Republik Indonesia Tahun 1945; b bahwa pembangunan kesehatan masyarakat memerlukaa upaya kesehatan, sumber daya kesehatan, berdasarkan prinsip kesejahteraan, pemerataan, kesehatan masyarakat yang setinggi-tingginya dan pengelolaan kesehatan untuk meningkatkan derajat rangka pembangunan sumber daya manusia yang nondiskriminatif, partisipatif, dan berkelanjutan dalam berkualitas dan produktif, mengurangi kesenjangan, memperkuat pelayanan kesehatan bermutu, meningkatkan ketahanan kesehatan, menjamin kehidupan yang sehat, serta memajukan kesejahteraan seluruh warga negara dan daya saing bangsa bagi pencapaian tujuan pembangunan nasional; c masyarakat akan menurunkan produktivitas dan bahwa permasalahan dan gangguan kesehatan pada menimbulkan kerugian bagi negara sehingga diperlukan transformasi kesehatan untuk tercapainya peningkatan derajat kesehatan masyarakat; d. bahwa.","author":[{"dropping-particle":"","family":"Indonesia","given":"Negara Republik","non-dropping-particle":"","parse-names":false,"suffix":""}],"container-title":"Peraturan Perundang-undangan","id":"ITEM-1","issued":{"date-parts":[["2023"]]},"page":"1-300","title":"Undang-undang Nomor 17 Tahun 2023","type":"article-journal"},"uris":["http://www.mendeley.com/documents/?uuid=a27cb561-0ca3-4c63-95c9-5fc5f415db24"]}],"mendeley":{"formattedCitation":"Negara Republik Indonesia, ‘Undang-Undang Nomor 17 Tahun 2023’, &lt;i&gt;Peraturan Perundang-Undangan&lt;/i&gt;, 2023, 1–300.","manualFormatting":"Republic of Indonesia, 'Law Number 17 of 2023', Legislation , 2023, 1–300.","plainTextFormattedCitation":"Negara Republik Indonesia, ‘Undang-Undang Nomor 17 Tahun 2023’, Peraturan Perundang-Undangan, 2023, 1–300.","previouslyFormattedCitation":"(Indonesia, “Undang-Undang Nomor 17 Tahun 2023”)"},"properties":{"noteIndex":15},"schema":"https://github.com/citation-style-language/schema/raw/master/csl-citation.json"}</w:instrText>
      </w:r>
      <w:r w:rsidR="00736FEA">
        <w:fldChar w:fldCharType="separate"/>
      </w:r>
      <w:r w:rsidRPr="00FB639F">
        <w:rPr>
          <w:noProof/>
        </w:rPr>
        <w:t xml:space="preserve">Republic of Indonesia, 'Law Number 17 of 2023', </w:t>
      </w:r>
      <w:r w:rsidRPr="00FB639F">
        <w:rPr>
          <w:i/>
          <w:noProof/>
        </w:rPr>
        <w:t xml:space="preserve">Legislation </w:t>
      </w:r>
      <w:r w:rsidRPr="00FB639F">
        <w:rPr>
          <w:noProof/>
        </w:rPr>
        <w:t>, 2023, 1–300.</w:t>
      </w:r>
      <w:r w:rsidR="00736FEA">
        <w:fldChar w:fldCharType="end"/>
      </w:r>
      <w:r>
        <w:t xml:space="preserve"> </w:t>
      </w:r>
      <w:r w:rsidRPr="009F0512">
        <w:rPr>
          <w:rFonts w:ascii="Garamond" w:hAnsi="Garamond"/>
          <w:kern w:val="0"/>
        </w:rPr>
        <w:t xml:space="preserve">Article 274 letter b </w:t>
      </w:r>
      <w:r w:rsidRPr="009F0512">
        <w:rPr>
          <w:rStyle w:val="Strong"/>
          <w:rFonts w:ascii="Garamond" w:hAnsi="Garamond"/>
          <w:shd w:val="clear" w:color="auto" w:fill="FFFFFF"/>
        </w:rPr>
        <w:t xml:space="preserve">and </w:t>
      </w:r>
      <w:r>
        <w:rPr>
          <w:rFonts w:ascii="Garamond" w:hAnsi="Garamond"/>
          <w:kern w:val="0"/>
        </w:rPr>
        <w:t>Article 293. Every individual health service must receive approval.</w:t>
      </w:r>
    </w:p>
  </w:footnote>
  <w:footnote w:id="16">
    <w:p w:rsidR="009B3560" w:rsidRDefault="002C6FDB">
      <w:pPr>
        <w:pStyle w:val="FootnoteText"/>
      </w:pPr>
      <w:r>
        <w:rPr>
          <w:rStyle w:val="FootnoteReference"/>
        </w:rPr>
        <w:footnoteRef/>
      </w:r>
      <w:r>
        <w:t xml:space="preserve"> </w:t>
      </w:r>
      <w:r w:rsidRPr="00AC1F30">
        <w:rPr>
          <w:noProof/>
        </w:rPr>
        <w:t xml:space="preserve">Republic of Indonesia </w:t>
      </w:r>
      <w:r>
        <w:rPr>
          <w:rStyle w:val="Strong"/>
          <w:rFonts w:ascii="Garamond" w:hAnsi="Garamond"/>
          <w:shd w:val="clear" w:color="auto" w:fill="FFFFFF"/>
        </w:rPr>
        <w:t xml:space="preserve">. </w:t>
      </w:r>
      <w:r w:rsidRPr="00AC7185">
        <w:rPr>
          <w:rStyle w:val="Strong"/>
          <w:rFonts w:ascii="Garamond" w:hAnsi="Garamond"/>
          <w:b w:val="0"/>
          <w:shd w:val="clear" w:color="auto" w:fill="FFFFFF"/>
        </w:rPr>
        <w:t>Minister of Health Regulation No. 290/MENKES/PER/III/2008. Consent to Medical Procedures. Articles 3, 6, and 7.</w:t>
      </w:r>
    </w:p>
  </w:footnote>
  <w:footnote w:id="17">
    <w:p w:rsidR="009B3560" w:rsidRDefault="002C6FDB">
      <w:pPr>
        <w:pStyle w:val="FootnoteText"/>
      </w:pPr>
      <w:r>
        <w:rPr>
          <w:rStyle w:val="FootnoteReference"/>
        </w:rPr>
        <w:footnoteRef/>
      </w:r>
      <w:r>
        <w:t xml:space="preserve"> </w:t>
      </w:r>
      <w:r w:rsidR="00736FEA">
        <w:fldChar w:fldCharType="begin" w:fldLock="1"/>
      </w:r>
      <w:r w:rsidR="00736FEA">
        <w:instrText>ADDIN CSL_CITATION {"citationItems":[{"id":"ITEM-1","itemData":{"abstract":"REPUBLIK INDONESIA NOMOR 17 TAHUN 2023 TENTANG KESEHATAN DENGAN RAHMATTUHAN YANG MAHA ESA PRESIDEN REPUBLIK INDONESIA, Menimbang bahwa negara menjamin hak setiap warga negara untuk mewujudkan kehidupan yang baik, sehat, serta sejahtera lahir dan batin demi tercapainya tujuan nasional dalam tumpah darah Indonesia untuk memajukan melindungi segenap bangsa Indonesia dan seluruh kesejahteraan umum sebagaimana diamanatkan dalam Undang-Undang Dasar Negara Republik Indonesia Tahun 1945; b bahwa pembangunan kesehatan masyarakat memerlukaa upaya kesehatan, sumber daya kesehatan, berdasarkan prinsip kesejahteraan, pemerataan, kesehatan masyarakat yang setinggi-tingginya dan pengelolaan kesehatan untuk meningkatkan derajat rangka pembangunan sumber daya manusia yang nondiskriminatif, partisipatif, dan berkelanjutan dalam berkualitas dan produktif, mengurangi kesenjangan, memperkuat pelayanan kesehatan bermutu, meningkatkan ketahanan kesehatan, menjamin kehidupan yang sehat, serta memajukan kesejahteraan seluruh warga negara dan daya saing bangsa bagi pencapaian tujuan pembangunan nasional; c masyarakat akan menurunkan produktivitas dan bahwa permasalahan dan gangguan kesehatan pada menimbulkan kerugian bagi negara sehingga diperlukan transformasi kesehatan untuk tercapainya peningkatan derajat kesehatan masyarakat; d. bahwa.","author":[{"dropping-particle":"","family":"Indonesia","given":"Negara Republik","non-dropping-particle":"","parse-names":false,"suffix":""}],"container-title":"Peraturan Perundang-undangan","id":"ITEM-1","issued":{"date-parts":[["2023"]]},"page":"1-300","title":"Undang-undang Nomor 17 Tahun 2023","type":"article-journal"},"uris":["http://www.mendeley.com/documents/?uuid=a27cb561-0ca3-4c63-95c9-5fc5f415db24"]}],"mendeley":{"formattedCitation":"Indonesia, ‘Undang-Undang Nomor 17 Tahun 2023’.","manualFormatting":"Indonesia, 'Law Number 17 of 2023'.","plainTextFormattedCitation":"Indonesia, ‘Undang-Undang Nomor 17 Tahun 2023’.","previouslyFormattedCitation":"(Indonesia, “Undang-Undang Nomor 17 Tahun 2023”)"},"properties":{"noteIndex":17},"schema":"https://github.com/citation-style-language/schema/raw/master/csl-citation.json"}</w:instrText>
      </w:r>
      <w:r w:rsidR="00736FEA">
        <w:fldChar w:fldCharType="separate"/>
      </w:r>
      <w:r w:rsidRPr="00812824">
        <w:rPr>
          <w:noProof/>
        </w:rPr>
        <w:t>Indonesia, 'Law Number 17 of 2023'.</w:t>
      </w:r>
      <w:r w:rsidR="00736FEA">
        <w:fldChar w:fldCharType="end"/>
      </w:r>
      <w:r>
        <w:t xml:space="preserve"> </w:t>
      </w:r>
      <w:r w:rsidRPr="009F0512">
        <w:rPr>
          <w:rFonts w:ascii="Garamond" w:hAnsi="Garamond"/>
          <w:kern w:val="0"/>
        </w:rPr>
        <w:t>Article 4 paragraph (1) letter b of the Health Law affirms the right of every person to obtain balanced and responsible health information and education.</w:t>
      </w:r>
    </w:p>
  </w:footnote>
  <w:footnote w:id="18">
    <w:p w:rsidR="009B3560" w:rsidRDefault="002C6FDB" w:rsidP="00AC1F30">
      <w:pPr>
        <w:pStyle w:val="FootnoteText"/>
      </w:pPr>
      <w:r>
        <w:rPr>
          <w:rStyle w:val="FootnoteReference"/>
        </w:rPr>
        <w:footnoteRef/>
      </w:r>
      <w:r>
        <w:t xml:space="preserve"> </w:t>
      </w:r>
      <w:r w:rsidR="00736FEA">
        <w:fldChar w:fldCharType="begin" w:fldLock="1"/>
      </w:r>
      <w:r w:rsidR="00736FEA">
        <w:instrText>ADDIN CSL_CITATION {"citationItems":[{"id":"ITEM-1","itemData":{"abstract":"PP ini mengatur mengenai peraturan pelaksanaan UU Nomor 17 Tahun 2023 dengan dengan menetapkan batasan istilah yang digunakan dalam pengaturannya. Peraturan Pemerintah ini memberikan pengaturan, penegasan, dan penjelasan lebih lanjut atas pengaturan mengenai: 1) penyelenggaraan upaya kesehatan; 2) pengelolaan tenaga medis dan tenaga kesehatan; 3) fasilitas pelayanan kesehatan; 4) kefarmasian, alat kesehatan, dan perbekalan kesehatan; 5) sistem informasi kesehatan; 5) penyelenggaraan teknologi kesehatan; 6) penanggulangan KLB dan wabah; 7) pendanaan kesehatan; 8) partisipasi masyarakat; dan 9) pembinaan dan pengawasan.","author":[{"dropping-particle":"","family":"Indonesia","given":"Negara Republik","non-dropping-particle":"","parse-names":false,"suffix":""}],"container-title":"Peraturan Perundang-undangan","id":"ITEM-1","issue":"226975","issued":{"date-parts":[["2024"]]},"page":"656","title":"Peraturan Pemerintah (PP) Nomor 28 Tahun 2024 tentang Peraturan Pelaksanaan Undang-Undang Nomor 17 Tahun 2023 tentang Kesehatan","type":"article-journal"},"uris":["http://www.mendeley.com/documents/?uuid=4aec7e5a-e090-4da0-aae5-96d6311d4f1f"]}],"mendeley":{"formattedCitation":"Negara Republik Indonesia, ‘Peraturan Pemerintah (PP) Nomor 28 Tahun 2024 Tentang Peraturan Pelaksanaan Undang-Undang Nomor 17 Tahun 2023 Tentang Kesehatan’, &lt;i&gt;Peraturan Perundang-Undangan&lt;/i&gt;, 2024, 656 &lt;https://peraturan.bpk.go.id/Details/294077/pp-no-28-tahun-2024&gt;.","manualFormatting":"Republic of Indonesia, 'Government Regulation (PP) Number 28 of 2024 Concerning Implementing Regulations of Law Number 17 of 2023 Concerning Health', Legislation , 2024, 656 .","plainTextFormattedCitation":"Negara Republik Indonesia, ‘Peraturan Pemerintah (PP) Nomor 28 Tahun 2024 Tentang Peraturan Pelaksanaan Undang-Undang Nomor 17 Tahun 2023 Tentang Kesehatan’, Peraturan Perundang-Undangan, 2024, 656 .","previouslyFormattedCitation":"(Indonesia, “Peraturan Pemerintah (PP) Nomor 28 Tahun 2024 Tentang Peraturan Pelaksanaan Undang-Undang Nomor 17 Tahun 2023 Tentang Kesehatan”)"},"properties":{"noteIndex":18},"schema":"https://github.com/citation-style-language/schema/raw/master/csl-citation.json"}</w:instrText>
      </w:r>
      <w:r w:rsidR="00736FEA">
        <w:fldChar w:fldCharType="separate"/>
      </w:r>
      <w:r w:rsidRPr="002B6B8E">
        <w:rPr>
          <w:noProof/>
        </w:rPr>
        <w:t xml:space="preserve">Republic of Indonesia, 'Government Regulation (PP) Number 28 of 2024 Concerning Implementing Regulations of Law Number 17 of 2023 Concerning Health', </w:t>
      </w:r>
      <w:r w:rsidRPr="002B6B8E">
        <w:rPr>
          <w:i/>
          <w:noProof/>
        </w:rPr>
        <w:t xml:space="preserve">Legislation </w:t>
      </w:r>
      <w:r w:rsidRPr="002B6B8E">
        <w:rPr>
          <w:noProof/>
        </w:rPr>
        <w:t>, 2024, 656 &lt;https://peraturan.bpk.go.id/Details/294077/pp-no-28-tahun-2024&gt;.</w:t>
      </w:r>
      <w:r w:rsidR="00736FEA">
        <w:fldChar w:fldCharType="end"/>
      </w:r>
      <w:r>
        <w:t xml:space="preserve"> </w:t>
      </w:r>
      <w:r w:rsidRPr="009F0512">
        <w:rPr>
          <w:rFonts w:ascii="Garamond" w:hAnsi="Garamond"/>
        </w:rPr>
        <w:t>Article 727.</w:t>
      </w:r>
    </w:p>
  </w:footnote>
  <w:footnote w:id="19">
    <w:p w:rsidR="009B3560" w:rsidRDefault="002C6FDB">
      <w:pPr>
        <w:pStyle w:val="FootnoteText"/>
      </w:pPr>
      <w:r>
        <w:rPr>
          <w:rStyle w:val="FootnoteReference"/>
        </w:rPr>
        <w:footnoteRef/>
      </w:r>
      <w:r>
        <w:t xml:space="preserve"> </w:t>
      </w:r>
      <w:r w:rsidRPr="00AC1F30">
        <w:rPr>
          <w:noProof/>
        </w:rPr>
        <w:t xml:space="preserve">Republic of Indonesia </w:t>
      </w:r>
      <w:r>
        <w:rPr>
          <w:rStyle w:val="Strong"/>
          <w:rFonts w:ascii="Garamond" w:hAnsi="Garamond"/>
          <w:shd w:val="clear" w:color="auto" w:fill="FFFFFF"/>
        </w:rPr>
        <w:t xml:space="preserve">. </w:t>
      </w:r>
      <w:r w:rsidRPr="00AC7185">
        <w:rPr>
          <w:rStyle w:val="Strong"/>
          <w:rFonts w:ascii="Garamond" w:hAnsi="Garamond"/>
          <w:b w:val="0"/>
          <w:shd w:val="clear" w:color="auto" w:fill="FFFFFF"/>
        </w:rPr>
        <w:t>Regulation of the Minister of Health No. 290/MENKES/PER/III/2008. Consent to Medical Procedures.</w:t>
      </w:r>
    </w:p>
  </w:footnote>
  <w:footnote w:id="20">
    <w:p w:rsidR="009B3560" w:rsidRDefault="002C6FDB">
      <w:pPr>
        <w:pStyle w:val="FootnoteText"/>
      </w:pPr>
      <w:r>
        <w:rPr>
          <w:rStyle w:val="FootnoteReference"/>
        </w:rPr>
        <w:footnoteRef/>
      </w:r>
      <w:r>
        <w:t xml:space="preserve"> </w:t>
      </w:r>
      <w:r w:rsidRPr="00AC1F30">
        <w:rPr>
          <w:noProof/>
        </w:rPr>
        <w:t xml:space="preserve">Republic of Indonesia </w:t>
      </w:r>
      <w:r>
        <w:rPr>
          <w:rStyle w:val="Strong"/>
          <w:rFonts w:ascii="Garamond" w:hAnsi="Garamond"/>
          <w:shd w:val="clear" w:color="auto" w:fill="FFFFFF"/>
        </w:rPr>
        <w:t xml:space="preserve">. </w:t>
      </w:r>
      <w:r w:rsidRPr="00AC7185">
        <w:rPr>
          <w:rStyle w:val="Strong"/>
          <w:rFonts w:ascii="Garamond" w:hAnsi="Garamond"/>
          <w:b w:val="0"/>
          <w:shd w:val="clear" w:color="auto" w:fill="FFFFFF"/>
        </w:rPr>
        <w:t>Regulation of the Minister of Health No. 290/MENKES/PER/III/2008. Consent to Medical Procedures. Article 4.</w:t>
      </w:r>
    </w:p>
  </w:footnote>
  <w:footnote w:id="21">
    <w:p w:rsidR="009B3560" w:rsidRDefault="002C6FDB" w:rsidP="007F770B">
      <w:pPr>
        <w:pStyle w:val="FootnoteText"/>
      </w:pPr>
      <w:r>
        <w:rPr>
          <w:rStyle w:val="FootnoteReference"/>
        </w:rPr>
        <w:footnoteRef/>
      </w:r>
      <w:r>
        <w:t xml:space="preserve"> </w:t>
      </w:r>
      <w:r w:rsidRPr="00AC1F30">
        <w:rPr>
          <w:noProof/>
        </w:rPr>
        <w:t xml:space="preserve">Republic of Indonesia </w:t>
      </w:r>
      <w:r>
        <w:rPr>
          <w:rStyle w:val="Strong"/>
          <w:rFonts w:ascii="Garamond" w:hAnsi="Garamond"/>
          <w:shd w:val="clear" w:color="auto" w:fill="FFFFFF"/>
        </w:rPr>
        <w:t xml:space="preserve">. </w:t>
      </w:r>
      <w:r w:rsidRPr="00AC7185">
        <w:rPr>
          <w:rStyle w:val="Strong"/>
          <w:rFonts w:ascii="Garamond" w:hAnsi="Garamond"/>
          <w:b w:val="0"/>
          <w:shd w:val="clear" w:color="auto" w:fill="FFFFFF"/>
        </w:rPr>
        <w:t>Minister of Health Regulation No. 290/MENKES/PER/III/2008. Consent to Medical Procedures. Articles 3 and 4.</w:t>
      </w:r>
    </w:p>
  </w:footnote>
  <w:footnote w:id="22">
    <w:p w:rsidR="009B3560" w:rsidRDefault="002C6FDB">
      <w:pPr>
        <w:pStyle w:val="FootnoteText"/>
      </w:pPr>
      <w:r>
        <w:rPr>
          <w:rStyle w:val="FootnoteReference"/>
        </w:rPr>
        <w:footnoteRef/>
      </w:r>
      <w:r>
        <w:t xml:space="preserve"> </w:t>
      </w:r>
      <w:r w:rsidRPr="00AC1F30">
        <w:rPr>
          <w:noProof/>
        </w:rPr>
        <w:t xml:space="preserve">Republic of Indonesia </w:t>
      </w:r>
      <w:r>
        <w:rPr>
          <w:rStyle w:val="Strong"/>
          <w:rFonts w:ascii="Garamond" w:hAnsi="Garamond"/>
          <w:shd w:val="clear" w:color="auto" w:fill="FFFFFF"/>
        </w:rPr>
        <w:t xml:space="preserve">. </w:t>
      </w:r>
      <w:r w:rsidRPr="00AC7185">
        <w:rPr>
          <w:rStyle w:val="Strong"/>
          <w:rFonts w:ascii="Garamond" w:hAnsi="Garamond"/>
          <w:b w:val="0"/>
          <w:shd w:val="clear" w:color="auto" w:fill="FFFFFF"/>
        </w:rPr>
        <w:t>Regulation of the Minister of Health No. 290/MENKES/PER/III/2008. Consent to Medical Procedures.</w:t>
      </w:r>
    </w:p>
  </w:footnote>
  <w:footnote w:id="23">
    <w:p w:rsidR="009B3560" w:rsidRDefault="002C6FDB">
      <w:pPr>
        <w:pStyle w:val="FootnoteText"/>
      </w:pPr>
      <w:r>
        <w:rPr>
          <w:rStyle w:val="FootnoteReference"/>
        </w:rPr>
        <w:footnoteRef/>
      </w:r>
      <w:r>
        <w:t xml:space="preserve"> </w:t>
      </w:r>
      <w:r w:rsidRPr="00AC1F30">
        <w:rPr>
          <w:noProof/>
        </w:rPr>
        <w:t xml:space="preserve">Republic of Indonesia </w:t>
      </w:r>
      <w:r>
        <w:rPr>
          <w:rStyle w:val="Strong"/>
          <w:rFonts w:ascii="Garamond" w:hAnsi="Garamond"/>
          <w:shd w:val="clear" w:color="auto" w:fill="FFFFFF"/>
        </w:rPr>
        <w:t xml:space="preserve">. </w:t>
      </w:r>
      <w:r w:rsidRPr="00AC7185">
        <w:rPr>
          <w:rStyle w:val="Strong"/>
          <w:rFonts w:ascii="Garamond" w:hAnsi="Garamond"/>
          <w:b w:val="0"/>
          <w:shd w:val="clear" w:color="auto" w:fill="FFFFFF"/>
        </w:rPr>
        <w:t>Regulation of the Minister of Health No. 290/MENKES/PER/III/2008. Consent to Medical Procedures. Article 13.</w:t>
      </w:r>
    </w:p>
  </w:footnote>
  <w:footnote w:id="24">
    <w:p w:rsidR="009B3560" w:rsidRDefault="002C6FDB">
      <w:pPr>
        <w:pStyle w:val="FootnoteText"/>
      </w:pPr>
      <w:r w:rsidRPr="002C6FDB">
        <w:rPr>
          <w:rStyle w:val="FootnoteReference"/>
        </w:rPr>
        <w:footnoteRef/>
      </w:r>
      <w:r w:rsidRPr="002C6FDB">
        <w:t>Chaudhry Ghafran and Sofia Yasmin, "Ethical Governance: Insights from the Islamic Perspective and an Empirical Inquiry," Journal of Business Ethics 167, no. 3 (2020): 513–33, https://doi.org/10.1007/s10551-019-04170 3.</w:t>
      </w:r>
    </w:p>
  </w:footnote>
  <w:footnote w:id="25">
    <w:p w:rsidR="009B3560" w:rsidRDefault="00736FEA">
      <w:pPr>
        <w:pStyle w:val="FootnoteText"/>
      </w:pPr>
      <w:r>
        <w:rPr>
          <w:rStyle w:val="FootnoteReference"/>
        </w:rPr>
        <w:footnoteRef/>
      </w:r>
      <w:r>
        <w:t xml:space="preserve"> </w:t>
      </w:r>
      <w:r>
        <w:fldChar w:fldCharType="begin" w:fldLock="1"/>
      </w:r>
      <w:r>
        <w:instrText>ADDIN CSL_CITATION {"citationItems":[{"id":"ITEM-1","itemData":{"abstract":"This research focuses on the application of Maqasid al-Syariah to the principles of Islamic economics in Indonesia. It explores the extent to which these concepts are applied in Islamic economic practices in Indonesia. This study used a qualitative research method, using interviews with academics as a data collection method. The findings show that in Islamic banking, hifdzul al-maal is prioritized, because Islamic banking is very closely related to assets, by saving at Islamic banks, our assets are protected from usury, by saving at Islamic banks, our assets are protected from illegitimate transactions. This research ends by recommending further research to discuss more deeply the extent to which Islamic banking is used by Indonesian people, especially Muslims in Indonesia and what factors cause them to remain in conventional commercial banks.","author":[{"dropping-particle":"","family":"Abdurroziq","given":"Ali","non-dropping-particle":"","parse-names":false,"suffix":""}],"container-title":"Fara'id and Wealth Management |","id":"ITEM-1","issue":"2","issued":{"date-parts":[["2022"]]},"title":"Maqashid al-Shariah Implementation and Islamic Economics Industry in Indonesia Maqashid al-Shariah Implementation and Islamic Economics Industry in Indonesia Faraid &amp; Wealth Management 2.2. Maqashid al-Shariah Implementation and Islamic Economics Industry","type":"article-journal","volume":"2"},"uris":["http://www.mendeley.com/documents/?uuid=73093a3f-165a-4c9a-b62e-121ba8266c81"]}],"mendeley":{"formattedCitation":"Ali Abdurroziq, ‘Maqashid Al-Shariah Implementation and Islamic Economics Industry in Indonesia Maqashid Al-Shariah Implementation and Islamic Economics Industry in Indonesia Faraid &amp; Wealth Management 2.2. Maqashid Al-Shariah Implementation and Islamic Economics Industry’, &lt;i&gt;Fara’id and Wealth Management |&lt;/i&gt;, 2.2 (2022) &lt;http://journals.smartinsight.id/index.php/FWM&gt;.","plainTextFormattedCitation":"Ali Abdurroziq, ‘Maqashid Al-Shariah Implementation and Islamic Economics Industry in Indonesia Maqashid Al-Shariah Implementation and Islamic Economics Industry in Indonesia Faraid &amp; Wealth Management 2.2. Maqashid Al-Shariah Implementation and Islamic Economics Industry’, Fara’id and Wealth Management |, 2.2 (2022) .","previouslyFormattedCitation":"(Abdurroziq)"},"properties":{"noteIndex":25},"schema":"https://github.com/citation-style-language/schema/raw/master/csl-citation.json"}</w:instrText>
      </w:r>
      <w:r>
        <w:fldChar w:fldCharType="separate"/>
      </w:r>
      <w:r w:rsidRPr="00736FEA">
        <w:rPr>
          <w:noProof/>
        </w:rPr>
        <w:t xml:space="preserve">Ali Abdurroziq, ‘Maqashid Al-Shariah Implementation and Islamic Economics Industry in Indonesia Maqashid Al-Shariah Implementation and Islamic Economics Industry in Indonesia Faraid &amp; Wealth Management 2.2. Maqashid Al-Shariah Implementation and Islamic Economics Industry’, </w:t>
      </w:r>
      <w:r w:rsidRPr="00736FEA">
        <w:rPr>
          <w:i/>
          <w:noProof/>
        </w:rPr>
        <w:t>Fara’id and Wealth Management |</w:t>
      </w:r>
      <w:r w:rsidRPr="00736FEA">
        <w:rPr>
          <w:noProof/>
        </w:rPr>
        <w:t>, 2.2 (2022) &lt;http://journals.smartinsight.id/index.php/FWM&gt;.</w:t>
      </w:r>
      <w:r>
        <w:fldChar w:fldCharType="end"/>
      </w:r>
    </w:p>
  </w:footnote>
  <w:footnote w:id="26">
    <w:p w:rsidR="009B3560" w:rsidRDefault="00736FEA">
      <w:pPr>
        <w:pStyle w:val="FootnoteText"/>
      </w:pPr>
      <w:r>
        <w:rPr>
          <w:rStyle w:val="FootnoteReference"/>
        </w:rPr>
        <w:footnoteRef/>
      </w:r>
      <w:r>
        <w:t xml:space="preserve"> </w:t>
      </w:r>
      <w:r>
        <w:fldChar w:fldCharType="begin" w:fldLock="1"/>
      </w:r>
      <w:r>
        <w:instrText>ADDIN CSL_CITATION {"citationItems":[{"id":"ITEM-1","itemData":{"DOI":"10.20885/ijiis.vol7.iss2.art3","ISSN":"2597-9698","abstract":"The five essential principles (dharuriyyat al-khamsah) proposed by As-Syatibi, encompassing the preservation of religion, self, progeny, wealth, and intellect, were highly progressive concepts in their time. However, today we face the challenge of global climate change threatening ecosystems and humanity. Thus, the concept of hifz al-bi’ah becomes crucial as a new variable within the scope of essential principles. This research employs a qualitative approach with a literature review study. The data utilized include literature covering classical and contemporary sources, scientific research, and policy documents related to global climate change. The results of this study indicate that the concept of hifz al-bi’ah was initially developed through environmental jurisprudence (fiqh al-bi’ah) and evolved into hifz al-biah, an integral part of maqasid al-shariah. Hifz al-bi’ah serves as a foundation for the implementation of hifz al-din, hifz al-nafs, hifz al-nasl, hifz al-mal, and hifz al-'aql. Simultaneously, the aspects of essential principles are expanded, systematically placing hifz al-bi’ah in a crucial position within them. In the context of global climate change threatening ecosystems and the existence of humanity, the concept of hifz al-bi’ah as part of maqashid al-shariah is highly relevant in efforts to mitigate or even reverse global climate change.","author":[{"dropping-particle":"","family":"Khuluq","given":"M. Khusnul","non-dropping-particle":"","parse-names":false,"suffix":""},{"dropping-particle":"","family":"Asmuni","given":"Asmuni","non-dropping-particle":"","parse-names":false,"suffix":""}],"container-title":"Indonesian Journal of Interdisciplinary Islamic Studies","id":"ITEM-1","issue":"2","issued":{"date-parts":[["2025"]]},"title":"Hifz Al-Bi'ah as Part of Maqashid Al-Shari'ah and Its Relevance in the Context of Global Climate Change","type":"article-journal","volume":"7"},"uris":["http://www.mendeley.com/documents/?uuid=40088a12-3434-482c-973a-704b68faa5b1"]}],"mendeley":{"formattedCitation":"M. Khusnul Khuluq and Asmuni Asmuni, ‘Hifz Al-Bi’ah as Part of Maqashid Al-Shari’ah and Its Relevance in the Context of Global Climate Change’, &lt;i&gt;Indonesian Journal of Interdisciplinary Islamic Studies&lt;/i&gt;, 7.2 (2025) &lt;https://doi.org/10.20885/ijiis.vol7.iss2.art3&gt;.","plainTextFormattedCitation":"M. Khusnul Khuluq and Asmuni Asmuni, ‘Hifz Al-Bi’ah as Part of Maqashid Al-Shari’ah and Its Relevance in the Context of Global Climate Change’, Indonesian Journal of Interdisciplinary Islamic Studies, 7.2 (2025) .","previouslyFormattedCitation":"(Khuluq and Asmuni)"},"properties":{"noteIndex":26},"schema":"https://github.com/citation-style-language/schema/raw/master/csl-citation.json"}</w:instrText>
      </w:r>
      <w:r>
        <w:fldChar w:fldCharType="separate"/>
      </w:r>
      <w:r w:rsidRPr="00736FEA">
        <w:rPr>
          <w:noProof/>
        </w:rPr>
        <w:t xml:space="preserve">M. Khusnul Khuluq and Asmuni Asmuni, ‘Hifz Al-Bi’ah as Part of Maqashid Al-Shari’ah and Its Relevance in the Context of Global Climate Change’, </w:t>
      </w:r>
      <w:r w:rsidRPr="00736FEA">
        <w:rPr>
          <w:i/>
          <w:noProof/>
        </w:rPr>
        <w:t>Indonesian Journal of Interdisciplinary Islamic Studies</w:t>
      </w:r>
      <w:r w:rsidRPr="00736FEA">
        <w:rPr>
          <w:noProof/>
        </w:rPr>
        <w:t>, 7.2 (2025) &lt;https://doi.org/10.20885/ijiis.vol7.iss2.art3&gt;.</w:t>
      </w:r>
      <w:r>
        <w:fldChar w:fldCharType="end"/>
      </w:r>
    </w:p>
  </w:footnote>
  <w:footnote w:id="27">
    <w:p w:rsidR="009B3560" w:rsidRDefault="00736FEA">
      <w:pPr>
        <w:pStyle w:val="FootnoteText"/>
      </w:pPr>
      <w:r>
        <w:rPr>
          <w:rStyle w:val="FootnoteReference"/>
        </w:rPr>
        <w:footnoteRef/>
      </w:r>
      <w:r>
        <w:t xml:space="preserve"> </w:t>
      </w:r>
      <w:r>
        <w:fldChar w:fldCharType="begin" w:fldLock="1"/>
      </w:r>
      <w:r>
        <w:instrText>ADDIN CSL_CITATION {"citationItems":[{"id":"ITEM-1","itemData":{"author":[{"dropping-particle":"","family":"Alwan","given":"Faiq Fatih","non-dropping-particle":"","parse-names":false,"suffix":""},{"dropping-particle":"","family":"Hukum","given":"Fakultas","non-dropping-particle":"","parse-names":false,"suffix":""},{"dropping-particle":"","family":"Negeri","given":"Universitas","non-dropping-particle":"","parse-names":false,"suffix":""},{"dropping-particle":"","family":"Hukum","given":"Fakultas","non-dropping-particle":"","parse-names":false,"suffix":""},{"dropping-particle":"","family":"Negeri","given":"Universitas","non-dropping-particle":"","parse-names":false,"suffix":""}],"id":"ITEM-1","issue":"2","issued":{"date-parts":[["2025"]]},"page":"293-305","title":"KEABSAHAN KONTRAK DALAM EKONOMI SYARIAH : Pendahuluan","type":"article-journal","volume":"2"},"uris":["http://www.mendeley.com/documents/?uuid=b92ade0e-154d-4a21-978a-a6b15ecf6cf9"]}],"mendeley":{"formattedCitation":"Faiq Fatih Alwan and others, ‘KEABSAHAN KONTRAK DALAM EKONOMI SYARIAH : Pendahuluan’, 2.2 (2025), 293–305.","plainTextFormattedCitation":"Faiq Fatih Alwan and others, ‘KEABSAHAN KONTRAK DALAM EKONOMI SYARIAH : Pendahuluan’, 2.2 (2025), 293–305.","previouslyFormattedCitation":"(Alwan et al.)"},"properties":{"noteIndex":27},"schema":"https://github.com/citation-style-language/schema/raw/master/csl-citation.json"}</w:instrText>
      </w:r>
      <w:r>
        <w:fldChar w:fldCharType="separate"/>
      </w:r>
      <w:r w:rsidRPr="00736FEA">
        <w:rPr>
          <w:noProof/>
        </w:rPr>
        <w:t>Faiq Fatih Alwan and others, ‘KEABSAHAN KONTRAK DALAM EKONOMI SYARIAH : Pendahuluan’, 2.2 (2025), 293–305.</w:t>
      </w:r>
      <w:r>
        <w:fldChar w:fldCharType="end"/>
      </w:r>
    </w:p>
  </w:footnote>
  <w:footnote w:id="28">
    <w:p w:rsidR="009B3560" w:rsidRDefault="00736FEA">
      <w:pPr>
        <w:pStyle w:val="FootnoteText"/>
      </w:pPr>
      <w:r>
        <w:rPr>
          <w:rStyle w:val="FootnoteReference"/>
        </w:rPr>
        <w:footnoteRef/>
      </w:r>
      <w:r>
        <w:t xml:space="preserve"> </w:t>
      </w:r>
      <w:r>
        <w:fldChar w:fldCharType="begin" w:fldLock="1"/>
      </w:r>
      <w:r>
        <w:instrText>ADDIN CSL_CITATION {"citationItems":[{"id":"ITEM-1","itemData":{"ISBN":"9786021620410","abstract":"Kajian dengan objek penelitian pada perbankan syariah ini akan membincangkan aspek ekonomi Islam dari satu sisi dan aspek hukum Islam dari sisi yang lain. Oleh karena itu, penulis merasa perlu untuk membuat satu bab khusus mengenai “Hubungan Antara Ekonomi dan Hukum dalam Perspektif Islam’’. Dalam bab ini, uraian akan diawali dengan pengenalan tentang konsep ekonomi Islam, dilanjutkan dengan kewajiban melaksanakan syariat Islam, lalu ditutup dengan hubungan antara ekonomi dan hukum dalam perspektif Islam","author":[{"dropping-particle":"","family":"Abdul Rachman, Atiqi Chollisni, Muklis, Dewi Reni","given":"Aisyah Defy R. Simatupang","non-dropping-particle":"","parse-names":false,"suffix":""}],"container-title":"Kontrak ( Akad ) dan Implementasinya Pada Perbankan Syariah di Indonesia","id":"ITEM-1","issue":"01","issued":{"date-parts":[["2022"]]},"page":"47-58","title":"Dasar Hukum Kontrak (Akad) dan Implementasinya Pada Perbankan Syariah di Indonesia","type":"article-journal","volume":"8"},"uris":["http://www.mendeley.com/documents/?uuid=55c87169-787a-4ae6-94b5-3e20c6c0426a"]}],"mendeley":{"formattedCitation":"Aisyah Defy R. Simatupang Abdul Rachman, Atiqi Chollisni, Muklis, Dewi Reni, ‘Dasar Hukum Kontrak (Akad) Dan Implementasinya Pada Perbankan Syariah Di Indonesia’, &lt;i&gt;Kontrak ( Akad ) Dan Implementasinya Pada Perbankan Syariah Di Indonesia&lt;/i&gt;, 8.01 (2022), 47–58 &lt;https://jurnal.stie-aas.ac.id/index.php/jie&gt;.","plainTextFormattedCitation":"Aisyah Defy R. Simatupang Abdul Rachman, Atiqi Chollisni, Muklis, Dewi Reni, ‘Dasar Hukum Kontrak (Akad) Dan Implementasinya Pada Perbankan Syariah Di Indonesia’, Kontrak ( Akad ) Dan Implementasinya Pada Perbankan Syariah Di Indonesia, 8.01 (2022), 47–58 .","previouslyFormattedCitation":"(Abdul Rachman, Atiqi Chollisni, Muklis, Dewi Reni)"},"properties":{"noteIndex":28},"schema":"https://github.com/citation-style-language/schema/raw/master/csl-citation.json"}</w:instrText>
      </w:r>
      <w:r>
        <w:fldChar w:fldCharType="separate"/>
      </w:r>
      <w:r w:rsidRPr="00736FEA">
        <w:rPr>
          <w:noProof/>
        </w:rPr>
        <w:t xml:space="preserve">Aisyah Defy R. Simatupang Abdul Rachman, Atiqi Chollisni, Muklis, Dewi Reni, ‘Dasar Hukum Kontrak (Akad) Dan Implementasinya Pada Perbankan Syariah Di Indonesia’, </w:t>
      </w:r>
      <w:r w:rsidRPr="00736FEA">
        <w:rPr>
          <w:i/>
          <w:noProof/>
        </w:rPr>
        <w:t>Kontrak ( Akad ) Dan Implementasinya Pada Perbankan Syariah Di Indonesia</w:t>
      </w:r>
      <w:r w:rsidRPr="00736FEA">
        <w:rPr>
          <w:noProof/>
        </w:rPr>
        <w:t>, 8.01 (2022), 47–58 &lt;https://jurnal.stie-aas.ac.id/index.php/jie&gt;.</w:t>
      </w:r>
      <w:r>
        <w:fldChar w:fldCharType="end"/>
      </w:r>
    </w:p>
  </w:footnote>
  <w:footnote w:id="29">
    <w:p w:rsidR="009B3560" w:rsidRDefault="002C6FDB" w:rsidP="00855E4C">
      <w:pPr>
        <w:pStyle w:val="FootnoteText"/>
      </w:pPr>
      <w:r w:rsidRPr="003457B2">
        <w:rPr>
          <w:rStyle w:val="FootnoteReference"/>
        </w:rPr>
        <w:footnoteRef/>
      </w:r>
      <w:r>
        <w:t xml:space="preserve">Wahbah al-Zuḥaylī, </w:t>
      </w:r>
      <w:r>
        <w:rPr>
          <w:rStyle w:val="Emphasis"/>
        </w:rPr>
        <w:t xml:space="preserve">al-Fiqh al-Islāmī wa Adillatuh </w:t>
      </w:r>
      <w:r>
        <w:t>, volume 4.</w:t>
      </w:r>
    </w:p>
  </w:footnote>
  <w:footnote w:id="30">
    <w:p w:rsidR="009B3560" w:rsidRDefault="002C6FDB" w:rsidP="00855E4C">
      <w:pPr>
        <w:pStyle w:val="FootnoteText"/>
      </w:pPr>
      <w:r w:rsidRPr="003457B2">
        <w:rPr>
          <w:rStyle w:val="FootnoteReference"/>
        </w:rPr>
        <w:footnoteRef/>
      </w:r>
      <w:r>
        <w:t xml:space="preserve">Muhammad Sulaiman Al-Ashqar, </w:t>
      </w:r>
      <w:r>
        <w:rPr>
          <w:i/>
          <w:iCs/>
        </w:rPr>
        <w:t xml:space="preserve">Fiqh al-Mu'amalat al-Maliyyah al-Mu'ashirah </w:t>
      </w:r>
      <w:r>
        <w:t>, Volume 3 (Kuwait: Maktabah al-Manar al-Islamiyah, 2004), pp. 120-125. (Classifying professional service relationships as contracts)</w:t>
      </w:r>
    </w:p>
  </w:footnote>
  <w:footnote w:id="31">
    <w:p w:rsidR="009B3560" w:rsidRDefault="002C6FDB">
      <w:pPr>
        <w:pStyle w:val="FootnoteText"/>
      </w:pPr>
      <w:r>
        <w:rPr>
          <w:rStyle w:val="FootnoteReference"/>
        </w:rPr>
        <w:footnoteRef/>
      </w:r>
      <w:r>
        <w:t xml:space="preserve">Mohammad Hashim Kamali, </w:t>
      </w:r>
      <w:r>
        <w:rPr>
          <w:rStyle w:val="Emphasis"/>
        </w:rPr>
        <w:t xml:space="preserve">Equity and Fairness in Islamic Contract Law </w:t>
      </w:r>
      <w:r>
        <w:t>, Oxford University Press, Oxford, 2021.</w:t>
      </w:r>
    </w:p>
  </w:footnote>
  <w:footnote w:id="32">
    <w:p w:rsidR="009B3560" w:rsidRDefault="00736FEA">
      <w:pPr>
        <w:pStyle w:val="FootnoteText"/>
      </w:pPr>
      <w:r>
        <w:rPr>
          <w:rStyle w:val="FootnoteReference"/>
        </w:rPr>
        <w:footnoteRef/>
      </w:r>
      <w:r>
        <w:t xml:space="preserve"> </w:t>
      </w:r>
      <w:r>
        <w:fldChar w:fldCharType="begin" w:fldLock="1"/>
      </w:r>
      <w:r>
        <w:instrText>ADDIN CSL_CITATION {"citationItems":[{"id":"ITEM-1","itemData":{"ISSN":"3063-3222","author":[{"dropping-particle":"","family":"Rianda","given":"Rodia Rotani","non-dropping-particle":"","parse-names":false,"suffix":""},{"dropping-particle":"","family":"Anggraini","given":"Bella","non-dropping-particle":"","parse-names":false,"suffix":""},{"dropping-particle":"","family":"Fitri","given":"Sarah Dalila","non-dropping-particle":"","parse-names":false,"suffix":""},{"dropping-particle":"","family":"Wismanto","given":"Wismanto","non-dropping-particle":"","parse-names":false,"suffix":""}],"container-title":"Hikmah: Jurnal Studi Pendidikan Agama Islam","id":"ITEM-1","issue":"4","issued":{"date-parts":[["2024"]]},"page":"122-136","title":"Prinsip Muamalah dalam Ekonomi Syariah: Tinjauan dan Implementasi","type":"article-journal","volume":"1"},"uris":["http://www.mendeley.com/documents/?uuid=35f3c6c2-0dde-4f18-a4e8-355bcb7201f8"]}],"mendeley":{"formattedCitation":"Rodia Rotani Rianda and others, ‘Prinsip Muamalah Dalam Ekonomi Syariah: Tinjauan Dan Implementasi’, &lt;i&gt;Hikmah: Jurnal Studi Pendidikan Agama Islam&lt;/i&gt;, 1.4 (2024), 122–36.","plainTextFormattedCitation":"Rodia Rotani Rianda and others, ‘Prinsip Muamalah Dalam Ekonomi Syariah: Tinjauan Dan Implementasi’, Hikmah: Jurnal Studi Pendidikan Agama Islam, 1.4 (2024), 122–36.","previouslyFormattedCitation":"(Rianda et al.)"},"properties":{"noteIndex":32},"schema":"https://github.com/citation-style-language/schema/raw/master/csl-citation.json"}</w:instrText>
      </w:r>
      <w:r>
        <w:fldChar w:fldCharType="separate"/>
      </w:r>
      <w:r w:rsidRPr="00736FEA">
        <w:rPr>
          <w:noProof/>
        </w:rPr>
        <w:t xml:space="preserve">Rodia Rotani Rianda and others, ‘Prinsip Muamalah Dalam Ekonomi Syariah: Tinjauan Dan Implementasi’, </w:t>
      </w:r>
      <w:r w:rsidRPr="00736FEA">
        <w:rPr>
          <w:i/>
          <w:noProof/>
        </w:rPr>
        <w:t>Hikmah: Jurnal Studi Pendidikan Agama Islam</w:t>
      </w:r>
      <w:r w:rsidRPr="00736FEA">
        <w:rPr>
          <w:noProof/>
        </w:rPr>
        <w:t>, 1.4 (2024), 122–36.</w:t>
      </w:r>
      <w:r>
        <w:fldChar w:fldCharType="end"/>
      </w:r>
    </w:p>
  </w:footnote>
  <w:footnote w:id="33">
    <w:p w:rsidR="009B3560" w:rsidRDefault="00736FEA">
      <w:pPr>
        <w:pStyle w:val="FootnoteText"/>
      </w:pPr>
      <w:r>
        <w:rPr>
          <w:rStyle w:val="FootnoteReference"/>
        </w:rPr>
        <w:footnoteRef/>
      </w:r>
      <w:r>
        <w:t xml:space="preserve"> </w:t>
      </w:r>
      <w:r>
        <w:fldChar w:fldCharType="begin" w:fldLock="1"/>
      </w:r>
      <w:r>
        <w:instrText>ADDIN CSL_CITATION {"citationItems":[{"id":"ITEM-1","itemData":{"ISBN":"9780511974007","author":[{"dropping-particle":"","family":"Nouval","given":"Muhammad","non-dropping-particle":"","parse-names":false,"suffix":""},{"dropping-particle":"","family":"Simatupang","given":"Hasan","non-dropping-particle":"","parse-names":false,"suffix":""}],"id":"ITEM-1","issue":"2","issued":{"date-parts":[["2025"]]},"title":"Transplantasi Organ Tubuh dalam Perspektif Al- Qur ’ an : Analisis Tafsir Tematik ( Maw ḍū ‘ ī ) dan Maqāṣ id al- Syarī ‘ ah","type":"article-journal","volume":"6"},"uris":["http://www.mendeley.com/documents/?uuid=4d327f8c-3f96-4b14-806e-a3ae79f1ba58"]}],"mendeley":{"formattedCitation":"Muhammad Nouval and Hasan Simatupang, ‘Transplantasi Organ Tubuh Dalam Perspektif Al- Qur ’ an : Analisis Tafsir Tematik ( Maw Ḍū ‘ ī ) Dan Maqāṣ Id Al- Syarī ‘ Ah’, 6.2 (2025).","plainTextFormattedCitation":"Muhammad Nouval and Hasan Simatupang, ‘Transplantasi Organ Tubuh Dalam Perspektif Al- Qur ’ an : Analisis Tafsir Tematik ( Maw Ḍū ‘ ī ) Dan Maqāṣ Id Al- Syarī ‘ Ah’, 6.2 (2025).","previouslyFormattedCitation":"(Nouval and Simatupang)"},"properties":{"noteIndex":33},"schema":"https://github.com/citation-style-language/schema/raw/master/csl-citation.json"}</w:instrText>
      </w:r>
      <w:r>
        <w:fldChar w:fldCharType="separate"/>
      </w:r>
      <w:r w:rsidRPr="00736FEA">
        <w:rPr>
          <w:noProof/>
        </w:rPr>
        <w:t>Muhammad Nouval and Hasan Simatupang, ‘Transplantasi Organ Tubuh Dalam Perspektif Al- Qur ’ an : Analisis Tafsir Tematik ( Maw Ḍū ‘ ī ) Dan Maqāṣ Id Al- Syarī ‘ Ah’, 6.2 (2025).</w:t>
      </w:r>
      <w:r>
        <w:fldChar w:fldCharType="end"/>
      </w:r>
    </w:p>
  </w:footnote>
  <w:footnote w:id="34">
    <w:p w:rsidR="009B3560" w:rsidRDefault="002C6FDB" w:rsidP="005C4AB0">
      <w:pPr>
        <w:pStyle w:val="FootnoteText"/>
        <w:ind w:left="567" w:hanging="567"/>
        <w:jc w:val="both"/>
      </w:pPr>
      <w:r w:rsidRPr="00BB28D2">
        <w:rPr>
          <w:rStyle w:val="FootnoteReference"/>
          <w:rFonts w:ascii="Arial" w:hAnsi="Arial" w:cs="Arial"/>
        </w:rPr>
        <w:footnoteRef/>
      </w:r>
      <w:r w:rsidRPr="00BB28D2">
        <w:rPr>
          <w:rFonts w:ascii="Arial" w:hAnsi="Arial" w:cs="Arial"/>
        </w:rPr>
        <w:t xml:space="preserve"> </w:t>
      </w:r>
      <w:r w:rsidRPr="002C6FDB">
        <w:rPr>
          <w:rFonts w:cs="Calibri"/>
        </w:rPr>
        <w:t xml:space="preserve">Muhhamad Ziril Amin and Lalu Husni. 2023. </w:t>
      </w:r>
      <w:r w:rsidRPr="002C6FDB">
        <w:rPr>
          <w:rFonts w:cs="Calibri"/>
          <w:b/>
        </w:rPr>
        <w:t>Legal Protection and Responsibility of Alfamart Companies Operating for Alfamart Employees Who Work Nights</w:t>
      </w:r>
      <w:r w:rsidRPr="002C6FDB">
        <w:rPr>
          <w:rFonts w:cs="Calibri"/>
        </w:rPr>
        <w:t xml:space="preserve"> </w:t>
      </w:r>
      <w:r w:rsidRPr="002C6FDB">
        <w:rPr>
          <w:rFonts w:cs="Calibri"/>
          <w:b/>
        </w:rPr>
        <w:t xml:space="preserve">(Mataram City Study) </w:t>
      </w:r>
      <w:r w:rsidRPr="002C6FDB">
        <w:rPr>
          <w:rFonts w:cs="Calibri"/>
        </w:rPr>
        <w:t>. Private Law Journal, Volume 3, Issue 1, February 2023. p. 174.</w:t>
      </w:r>
    </w:p>
  </w:footnote>
  <w:footnote w:id="35">
    <w:p w:rsidR="009B3560" w:rsidRDefault="00736FEA">
      <w:pPr>
        <w:pStyle w:val="FootnoteText"/>
      </w:pPr>
      <w:r>
        <w:rPr>
          <w:rStyle w:val="FootnoteReference"/>
        </w:rPr>
        <w:footnoteRef/>
      </w:r>
      <w:r>
        <w:t xml:space="preserve"> </w:t>
      </w:r>
      <w:r>
        <w:fldChar w:fldCharType="begin" w:fldLock="1"/>
      </w:r>
      <w:r>
        <w:instrText>ADDIN CSL_CITATION {"citationItems":[{"id":"ITEM-1","itemData":{"ISSN":"3031-0210","abstract":"Akad merupakan konsep fundamental dalam hukum Islam yang merujuk pada perjanjian atau kontrak yang mengikat dua pihak atau lebih. Jurnal ini bertujuan untuk memberikan gambaran menyeluruh tentang akad, mulai dari definisi hingga jenis-jenisnya berdasarkan sifat dan ruang lingkup. Dengan menggunakan pendekatan terhadap kasus-kasus spesifik dalam berbagai konteks kehidupan sehari-hari, penelitian ini mengeksplorasi bagaimana akad memainkan peran penting dalam menyelesaikan transaksi dan menegosiasikan hak serta kewajiban.Secara metodologis, penelitian ini menggunakan metode studi literatur untuk menganalisis berbagai sumber hukum Islam dan fatwa ulama terkait akad. Hasilnya menunjukkan bahwa akad tidak hanya terbatas pada transaksi ekonomi, tetapi juga mencakup aspek-aspek sosial dan ibadah, seperti pernikahan dan haji. Penelitian ini juga menyoroti pentingnya memenuhi syarat-syarat sahnya akad, termasuk kesepakatan, kejelasan isi, dan kapasitas hukum para pihak.","author":[{"dropping-particle":"","family":"Ansori","given":"Muhammad Latifil","non-dropping-particle":"","parse-names":false,"suffix":""},{"dropping-particle":"","family":"Aisah","given":"Murni","non-dropping-particle":"","parse-names":false,"suffix":""},{"dropping-particle":"","family":"Fitriah","given":"Nur","non-dropping-particle":"","parse-names":false,"suffix":""},{"dropping-particle":"","family":"Purwanto","given":"Muhammad Aji","non-dropping-particle":"","parse-names":false,"suffix":""},{"dropping-particle":"","family":"Journal","given":"Al-fadilah Islamic Economics","non-dropping-particle":"","parse-names":false,"suffix":""},{"dropping-particle":"","family":"Ansori","given":"Muhammad Latifil","non-dropping-particle":"","parse-names":false,"suffix":""},{"dropping-particle":"","family":"Aisah","given":"Murni","non-dropping-particle":"","parse-names":false,"suffix":""},{"dropping-particle":"","family":"Fitriah","given":"Nur","non-dropping-particle":"","parse-names":false,"suffix":""},{"dropping-particle":"","family":"Aji","given":"Muhammad","non-dropping-particle":"","parse-names":false,"suffix":""}],"container-title":"Al-Fadilah: Islamic Economics Journal","id":"ITEM-1","issue":"2","issued":{"date-parts":[["2024"]]},"page":"70-79","title":"Akad Dalam Konteks Syariah","type":"article-journal","volume":"2"},"uris":["http://www.mendeley.com/documents/?uuid=e65e0227-bc94-49cf-b72f-a052735356d7"]}],"mendeley":{"formattedCitation":"Muhammad Latifil Ansori and others, ‘Akad Dalam Konteks Syariah’, &lt;i&gt;Al-Fadilah: Islamic Economics Journal&lt;/i&gt;, 2.2 (2024), 70–79.","plainTextFormattedCitation":"Muhammad Latifil Ansori and others, ‘Akad Dalam Konteks Syariah’, Al-Fadilah: Islamic Economics Journal, 2.2 (2024), 70–79.","previouslyFormattedCitation":"(Ansori et al.)"},"properties":{"noteIndex":35},"schema":"https://github.com/citation-style-language/schema/raw/master/csl-citation.json"}</w:instrText>
      </w:r>
      <w:r>
        <w:fldChar w:fldCharType="separate"/>
      </w:r>
      <w:r w:rsidRPr="00736FEA">
        <w:rPr>
          <w:noProof/>
        </w:rPr>
        <w:t xml:space="preserve">Muhammad Latifil Ansori and others, ‘Akad Dalam Konteks Syariah’, </w:t>
      </w:r>
      <w:r w:rsidRPr="00736FEA">
        <w:rPr>
          <w:i/>
          <w:noProof/>
        </w:rPr>
        <w:t>Al-Fadilah: Islamic Economics Journal</w:t>
      </w:r>
      <w:r w:rsidRPr="00736FEA">
        <w:rPr>
          <w:noProof/>
        </w:rPr>
        <w:t>, 2.2 (2024), 70–79.</w:t>
      </w:r>
      <w:r>
        <w:fldChar w:fldCharType="end"/>
      </w:r>
    </w:p>
  </w:footnote>
  <w:footnote w:id="36">
    <w:p w:rsidR="009B3560" w:rsidRDefault="002C6FDB" w:rsidP="00F813BD">
      <w:pPr>
        <w:pStyle w:val="FootnoteText"/>
        <w:ind w:left="567" w:hanging="567"/>
        <w:jc w:val="both"/>
      </w:pPr>
      <w:r w:rsidRPr="00BB28D2">
        <w:rPr>
          <w:rStyle w:val="FootnoteReference"/>
          <w:rFonts w:ascii="Arial" w:hAnsi="Arial" w:cs="Arial"/>
        </w:rPr>
        <w:footnoteRef/>
      </w:r>
      <w:r w:rsidRPr="00BB28D2">
        <w:rPr>
          <w:rFonts w:ascii="Arial" w:hAnsi="Arial" w:cs="Arial"/>
        </w:rPr>
        <w:t xml:space="preserve"> </w:t>
      </w:r>
      <w:r w:rsidRPr="00772C78">
        <w:rPr>
          <w:rFonts w:cs="Calibri"/>
        </w:rPr>
        <w:t xml:space="preserve">Muhhamad Ziril Amin and Lalu Husni. 2023. </w:t>
      </w:r>
      <w:r w:rsidRPr="00772C78">
        <w:rPr>
          <w:rFonts w:cs="Calibri"/>
          <w:b/>
        </w:rPr>
        <w:t>Legal Protection and Responsibility of Alfamart Companies Operating for Alfamart Employees Who Work Nights</w:t>
      </w:r>
      <w:r w:rsidRPr="00772C78">
        <w:rPr>
          <w:rFonts w:cs="Calibri"/>
        </w:rPr>
        <w:t xml:space="preserve"> </w:t>
      </w:r>
      <w:r w:rsidRPr="00772C78">
        <w:rPr>
          <w:rFonts w:cs="Calibri"/>
          <w:b/>
        </w:rPr>
        <w:t xml:space="preserve">(Mataram City Study) </w:t>
      </w:r>
      <w:r w:rsidRPr="00772C78">
        <w:rPr>
          <w:rFonts w:cs="Calibri"/>
        </w:rPr>
        <w:t>. Private Law Journal, Volume 3, Issue 1, February 2023. p. 174.</w:t>
      </w:r>
    </w:p>
  </w:footnote>
  <w:footnote w:id="37">
    <w:p w:rsidR="009B3560" w:rsidRDefault="002C6FDB" w:rsidP="00772C78">
      <w:pPr>
        <w:pStyle w:val="FootnoteText"/>
      </w:pPr>
      <w:r w:rsidRPr="00772C78">
        <w:rPr>
          <w:rStyle w:val="FootnoteReference"/>
          <w:rFonts w:cs="Calibri"/>
        </w:rPr>
        <w:footnoteRef/>
      </w:r>
      <w:r w:rsidRPr="00772C78">
        <w:rPr>
          <w:rFonts w:cs="Calibri"/>
        </w:rPr>
        <w:t xml:space="preserve">The Great Dictionary of the Indonesian Language. </w:t>
      </w:r>
      <w:hyperlink r:id="rId2" w:history="1">
        <w:r w:rsidRPr="00772C78">
          <w:rPr>
            <w:rStyle w:val="Hyperlink"/>
            <w:rFonts w:cs="Calibri"/>
          </w:rPr>
          <w:t xml:space="preserve">https://kbbi.web.id/lindungi </w:t>
        </w:r>
      </w:hyperlink>
      <w:r w:rsidRPr="00772C78">
        <w:rPr>
          <w:rStyle w:val="Hyperlink"/>
          <w:rFonts w:cs="Calibri"/>
        </w:rPr>
        <w:t xml:space="preserve">. </w:t>
      </w:r>
      <w:r w:rsidRPr="00772C78">
        <w:rPr>
          <w:rFonts w:cs="Calibri"/>
        </w:rPr>
        <w:t>Accessed March 2, 2025</w:t>
      </w:r>
    </w:p>
  </w:footnote>
  <w:footnote w:id="38">
    <w:p w:rsidR="009B3560" w:rsidRDefault="002C6FDB" w:rsidP="005F2CE5">
      <w:pPr>
        <w:pStyle w:val="FootnoteText"/>
      </w:pPr>
      <w:r w:rsidRPr="003457B2">
        <w:rPr>
          <w:rStyle w:val="FootnoteReference"/>
        </w:rPr>
        <w:footnoteRef/>
      </w:r>
      <w:r>
        <w:t xml:space="preserve">Frank E. Vogel &amp; Samuel L. Hayes, </w:t>
      </w:r>
      <w:r>
        <w:rPr>
          <w:rStyle w:val="Emphasis"/>
        </w:rPr>
        <w:t xml:space="preserve">Islamic Law and Finance: Religion, Risk and Return </w:t>
      </w:r>
      <w:r>
        <w:t>, The Hague: Kluwer Law International, 1998.</w:t>
      </w:r>
    </w:p>
  </w:footnote>
  <w:footnote w:id="39">
    <w:p w:rsidR="009B3560" w:rsidRDefault="002C6FDB" w:rsidP="005F2CE5">
      <w:pPr>
        <w:pStyle w:val="FootnoteText"/>
      </w:pPr>
      <w:r w:rsidRPr="003457B2">
        <w:rPr>
          <w:rStyle w:val="FootnoteReference"/>
        </w:rPr>
        <w:footnoteRef/>
      </w:r>
      <w:r>
        <w:t xml:space="preserve">Mohammad Hashim Kamali, </w:t>
      </w:r>
      <w:r>
        <w:rPr>
          <w:rStyle w:val="Emphasis"/>
        </w:rPr>
        <w:t xml:space="preserve">Shari'ah Law: An Introduction </w:t>
      </w:r>
      <w:r>
        <w:t>, Oxford: Oneworld Publications, 2008.</w:t>
      </w:r>
    </w:p>
  </w:footnote>
  <w:footnote w:id="40">
    <w:p w:rsidR="009B3560" w:rsidRDefault="00736FEA">
      <w:pPr>
        <w:pStyle w:val="FootnoteText"/>
      </w:pPr>
      <w:r>
        <w:rPr>
          <w:rStyle w:val="FootnoteReference"/>
        </w:rPr>
        <w:footnoteRef/>
      </w:r>
      <w:r>
        <w:t xml:space="preserve"> </w:t>
      </w:r>
      <w:r>
        <w:fldChar w:fldCharType="begin" w:fldLock="1"/>
      </w:r>
      <w:r>
        <w:instrText>ADDIN CSL_CITATION {"citationItems":[{"id":"ITEM-1","itemData":{"DOI":"10.29103/e-mabis.v25i2.1412","abstract":"Dalam dunia perbankan terdapat kecenderungan standard contract, berupa kontrak yang sebelumnya telah ditentukan dan ditetapkan isi dan bentuk kontrak secara sepihak dengan maksud ditujukan kepada umum dengan klausul yang sama, bersifat terus menerus dan biasanya tercetak serta datail dan tidak dapat dilakukan tawar menawar. Demikian juga yang berlaku pada Bank Aceh Syariah, isi kontrak sengaja dikosongkan untuk memberi kesempatan negosiasi kepada pihak nasabah dan diisi setelah diperoleh kesepakatan. Kontrak semacam ini telah membatasi pihak nasabah dan tidak memberikan keseimbangan posisi bagi salah satu pihak, yang pada dasarnya memiliki kesempatan yang sama untuk menentukan apa yang diinginkan dalam kontrak. Penerapan prinsip al-hurriyah, keadilan, dan keseimbangan para pihak dalam berkontrak telah dibatasi dalam perbankan. Untuk itu penulisan ini bertuiuan agar dapat mengetahui bagaimana proses pembuatan kontrak/perjanjian muraÌ‚bahah, kedudukan nasabah dan pihak bank Aceh Syariah dalam perumusan akad muraÌ‚bahah serta penerapan asas kebebasan berkontrak dalam proses pembuatan akad muraÌ‚bahah menurut tinjauan hukum Islam pada PT. Bank Aceh Syariah Cabang Pembantu UIN Ar-Raniry Banda Aceh. Penelitian ini dikatagorikan sebagai penelitian kualitatif berdasarkan metode pengumpulan data melalui Library Research dan field research. Berdasarkan kajian yang telah dilakukan diperoleh hasil bahwa, proses pembuatan kontrak/perjanjian muraÌ‚bahah pada PT. Bank Aceh Syariah tidak sepenuhnya melibatkan pihak nasabah, nasabah hanya berkesempatan untuk membaca kontrak yang sepenuhnya telah disiapkan oleh pihak bank, sehingga kedudukan nasabah dan pihak bank tidak seimbang. Pihak bank berada pada posisi yang lebih kuat dan dapat menentukan secara sepihak isi dari klausula kontrak yang diperjanjiakan, sedangkan nasabah berada pada posisi yang lemah sehingga harus menerima seluruh isi klausula yang telah ditetapkan oleh pihak bank. Kedudukan yang seperti ini menunjukkan bahwa prinsip kebebasan, keadilan dan keseimbangan dalam berkontrak tidak sepenuhnya dapat diterapkan dalam proses pembuatan kontrak/perjanjian muraÌ‚bahah pada PT. Bank Aceh Syariah Capem. UIN Ar-Raniry Banda Aceh.Kata kunci: Kontrak/Perjanjian, MuraÌ„bahah, Bank Aceh Syariah","author":[{"dropping-particle":"","family":"Mardiaton","given":"Mardiaton","non-dropping-particle":"","parse-names":false,"suffix":""},{"dropping-particle":"","family":"Umar","given":"Mukhsin Nyak","non-dropping-particle":"","parse-names":false,"suffix":""},{"dropping-particle":"","family":"Hasnita","given":"Nevi","non-dropping-particle":"","parse-names":false,"suffix":""}],"container-title":"E-Mabis: Jurnal Ekonomi Manajemen dan Bisnis","id":"ITEM-1","issue":"2","issued":{"date-parts":[["2024"]]},"page":"147-161","title":"TINJAUAN HUKUM ISLAM TERHADAP ASAS KEBEBASAN BERKONTRAK DALAM AKAD MURABAHAH (Analisis Kontrak Perjanjian Murabahah pada PT. Bank Aceh Syariah Cabang Pembantu UIN Ar-Raniry Banda Aceh","type":"article-journal","volume":"25"},"uris":["http://www.mendeley.com/documents/?uuid=07f33cc0-90b4-4622-8d16-c26884c32180"]}],"mendeley":{"formattedCitation":"Mardiaton Mardiaton, Mukhsin Nyak Umar, and Nevi Hasnita, ‘TINJAUAN HUKUM ISLAM TERHADAP ASAS KEBEBASAN BERKONTRAK DALAM AKAD MURABAHAH (Analisis Kontrak Perjanjian Murabahah Pada PT. Bank Aceh Syariah Cabang Pembantu UIN Ar-Raniry Banda Aceh’, &lt;i&gt;E-Mabis: Jurnal Ekonomi Manajemen Dan Bisnis&lt;/i&gt;, 25.2 (2024), 147–61 &lt;https://doi.org/10.29103/e-mabis.v25i2.1412&gt;.","manualFormatting":"Mardiaton Mardiaton, Mukhsin Nyak Umar, and Nevi Hasnita, 'ISLAMIC LAW REVIEW OF THE PRINCIPLE OF FREEDOM OF CONTRACT IN MURABAHAH AGREEMENT (Analysis of Murabahah Agreement Contract at PT. Bank Aceh Syariah, Branch Office of UIN Ar-Raniry Banda Aceh', E-Mabis: Journal of Economics, Management and Business , 25.2 (2024), 147–61 .","plainTextFormattedCitation":"Mardiaton Mardiaton, Mukhsin Nyak Umar, and Nevi Hasnita, ‘TINJAUAN HUKUM ISLAM TERHADAP ASAS KEBEBASAN BERKONTRAK DALAM AKAD MURABAHAH (Analisis Kontrak Perjanjian Murabahah Pada PT. Bank Aceh Syariah Cabang Pembantu UIN Ar-Raniry Banda Aceh’, E-Mabis: Jurnal Ekonomi Manajemen Dan Bisnis, 25.2 (2024), 147–61 .","previouslyFormattedCitation":"(Mardiaton et al.)"},"properties":{"noteIndex":40},"schema":"https://github.com/citation-style-language/schema/raw/master/csl-citation.json"}</w:instrText>
      </w:r>
      <w:r>
        <w:fldChar w:fldCharType="separate"/>
      </w:r>
      <w:r>
        <w:rPr>
          <w:b/>
          <w:bCs/>
          <w:noProof/>
          <w:lang w:val="en-US"/>
        </w:rPr>
        <w:t>Mardiaton Mardiaton, Mukhsin Nyak Umar, and Nevi Hasnita, 'ISLAMIC LAW REVIEW OF THE PRINCIPLE OF FREEDOM OF CONTRACT IN MURABAHAH AGREEMENT (Analysis of Murabahah Agreement Contract at PT. Bank Aceh Syariah, Branch Office of UIN Ar-Raniry Banda Aceh', E-Mabis: Journal of Economics, Management and Business , 25.2 (2024), 147–61 &lt;https://doi.org/10.29103/e-mabis.v25i2.1412&gt;.</w:t>
      </w:r>
      <w:r>
        <w:fldChar w:fldCharType="end"/>
      </w:r>
    </w:p>
  </w:footnote>
  <w:footnote w:id="41">
    <w:p w:rsidR="009B3560" w:rsidRDefault="00736FEA">
      <w:pPr>
        <w:pStyle w:val="FootnoteText"/>
      </w:pPr>
      <w:r>
        <w:rPr>
          <w:rStyle w:val="FootnoteReference"/>
        </w:rPr>
        <w:footnoteRef/>
      </w:r>
      <w:r>
        <w:t xml:space="preserve"> </w:t>
      </w:r>
      <w:r>
        <w:fldChar w:fldCharType="begin" w:fldLock="1"/>
      </w:r>
      <w:r>
        <w:instrText>ADDIN CSL_CITATION {"citationItems":[{"id":"ITEM-1","itemData":{"DOI":"10.1186/s12910-021-00585-8","ISSN":"1472-6939","abstract":"Background: Providing understandable information to patients is necessary to achieve the aims of the Informed Consent process: respecting and promoting patients’ autonomy and protecting patients from harm. In recent decades, new, primarily digital technologies have been used to apply and test innovative formats of Informed Consent. We conducted a systematic review to explore the impact of using digital tools for Informed Consent in both clinical research and in clinical practice. Understanding, satisfaction and participation were compared for digital tools versus the non-digital Informed Consent process. Methods: We searched for studies on available electronic databases, including Pubmed, EMBASE, and Cochrane. Studies were identified using specific Mesh-terms/keywords. We included studies, published from January 2012 to October 2020, that focused on the use of digital Informed Consent tools for clinical research, or clinical procedures. Digital interventions were defined as interventions that used multimedia or audio–video to provide information to patients. We classified the interventions into 3 different categories: video only, non-interactive multimedia, and interactive multimedia. Results: Our search yielded 19,579 publications. After title and abstract screening 100 studies were retained for full-text analysis, of which 73 publications were included. Studies examined interactive multimedia (29/73), non-interactive multimedia (13/73), and videos (31/73), and most (34/38) studies were conducted on adults. Innovations in consent were tested for clinical/surgical procedures (26/38) and clinical research (12/38). For research IC, 21 outcomes were explored, with a positive effect on at least one of the studied outcomes being observed in 8/12 studies. For clinical/surgical procedures 49 outcomes were explored, and 21/26 studies reported a positive effect on at least one of the studied outcomes. Conclusions: Digital technologies for informed consent were not found to negatively affect any of the outcomes, and overall, multimedia tools seem desirable. Multimedia tools indicated a higher impact than videos only. Presence of a researcher may potentially enhance efficacy of different outcomes in research IC processes. Studies were heterogeneous in design, making evaluation of impact challenging. Robust study design including standardization is needed to conclusively assess impact.","author":[{"dropping-particle":"","family":"Gesualdo","given":"Francesco","non-dropping-particle":"","parse-names":false,"suffix":""},{"dropping-particle":"","family":"Daverio","given":"Margherita","non-dropping-particle":"","parse-names":false,"suffix":""},{"dropping-particle":"","family":"Palazzani","given":"Laura","non-dropping-particle":"","parse-names":false,"suffix":""},{"dropping-particle":"","family":"Dimitriou","given":"Dimitris","non-dropping-particle":"","parse-names":false,"suffix":""},{"dropping-particle":"","family":"Diez-Domingo","given":"Javier","non-dropping-particle":"","parse-names":false,"suffix":""},{"dropping-particle":"","family":"Fons-Martinez","given":"Jaime","non-dropping-particle":"","parse-names":false,"suffix":""},{"dropping-particle":"","family":"Jackson","given":"Sally","non-dropping-particle":"","parse-names":false,"suffix":""},{"dropping-particle":"","family":"Vignally","given":"Pascal","non-dropping-particle":"","parse-names":false,"suffix":""},{"dropping-particle":"","family":"Rizzo","given":"Caterina","non-dropping-particle":"","parse-names":false,"suffix":""},{"dropping-particle":"","family":"Tozzi","given":"Alberto Eugenio","non-dropping-particle":"","parse-names":false,"suffix":""}],"container-title":"BMC Medical Ethics","id":"ITEM-1","issue":"1","issued":{"date-parts":[["2021","12","27"]]},"page":"18","title":"Digital tools in the informed consent process: a systematic review","type":"article-journal","volume":"22"},"uris":["http://www.mendeley.com/documents/?uuid=bb43e598-01a8-31d0-8155-41480965f528"]}],"mendeley":{"formattedCitation":"Francesco Gesualdo and others, ‘Digital Tools in the Informed Consent Process: A Systematic Review’, &lt;i&gt;BMC Medical Ethics&lt;/i&gt;, 22.1 (2021), 18 &lt;https://doi.org/10.1186/s12910-021-00585-8&gt;.","manualFormatting":"Francesco Gesualdo and others, 'Digital Tools in the Informed Consent Process: A Systematic Review', BMC Medical Ethics , 22.1 (2021), 18 .","plainTextFormattedCitation":"Francesco Gesualdo and others, ‘Digital Tools in the Informed Consent Process: A Systematic Review’, BMC Medical Ethics, 22.1 (2021), 18 .","previouslyFormattedCitation":"(Gesualdo et al.)"},"properties":{"noteIndex":41},"schema":"https://github.com/citation-style-language/schema/raw/master/csl-citation.json"}</w:instrText>
      </w:r>
      <w:r>
        <w:fldChar w:fldCharType="separate"/>
      </w:r>
      <w:r>
        <w:rPr>
          <w:b/>
          <w:bCs/>
          <w:noProof/>
          <w:lang w:val="en-US"/>
        </w:rPr>
        <w:t>Francesco Gesualdo and others, 'Digital Tools in the Informed Consent Process: A Systematic Review', BMC Medical Ethics , 22.1 (2021), 18 &lt;https://doi.org/10.1186/s12910-021-00585-8&gt;.</w:t>
      </w:r>
      <w:r>
        <w:fldChar w:fldCharType="end"/>
      </w:r>
    </w:p>
  </w:footnote>
  <w:footnote w:id="42">
    <w:p w:rsidR="009B3560" w:rsidRDefault="002C6FDB" w:rsidP="005F2CE5">
      <w:pPr>
        <w:pStyle w:val="FootnoteText"/>
      </w:pPr>
      <w:r w:rsidRPr="003457B2">
        <w:rPr>
          <w:rStyle w:val="FootnoteReference"/>
        </w:rPr>
        <w:footnoteRef/>
      </w:r>
      <w:r>
        <w:t xml:space="preserve">Khalid Rashid, </w:t>
      </w:r>
      <w:r>
        <w:rPr>
          <w:rStyle w:val="Emphasis"/>
        </w:rPr>
        <w:t xml:space="preserve">Islamic Law of Contracts </w:t>
      </w:r>
      <w:r>
        <w:t>, Oxford: Oxford Center for Islamic Studies, 2020.</w:t>
      </w:r>
    </w:p>
  </w:footnote>
  <w:footnote w:id="43">
    <w:p w:rsidR="009B3560" w:rsidRDefault="002C6FDB" w:rsidP="005F2CE5">
      <w:pPr>
        <w:pStyle w:val="FootnoteText"/>
      </w:pPr>
      <w:r w:rsidRPr="003457B2">
        <w:rPr>
          <w:rStyle w:val="FootnoteReference"/>
        </w:rPr>
        <w:footnoteRef/>
      </w:r>
      <w:r>
        <w:t xml:space="preserve">Ibn Taymiyyah, </w:t>
      </w:r>
      <w:r>
        <w:rPr>
          <w:rStyle w:val="Emphasis"/>
        </w:rPr>
        <w:t xml:space="preserve">Majmū' al-Fatāwā </w:t>
      </w:r>
      <w:r>
        <w:t>, Cairo: Dār Ibn Ḥazm, n.d.</w:t>
      </w:r>
    </w:p>
  </w:footnote>
  <w:footnote w:id="44">
    <w:p w:rsidR="009B3560" w:rsidRDefault="00736FEA">
      <w:pPr>
        <w:pStyle w:val="FootnoteText"/>
      </w:pPr>
      <w:r>
        <w:rPr>
          <w:rStyle w:val="FootnoteReference"/>
        </w:rPr>
        <w:footnoteRef/>
      </w:r>
      <w:r>
        <w:t xml:space="preserve"> </w:t>
      </w:r>
      <w:r>
        <w:fldChar w:fldCharType="begin" w:fldLock="1"/>
      </w:r>
      <w:r>
        <w:instrText>ADDIN CSL_CITATION {"citationItems":[{"id":"ITEM-1","itemData":{"DOI":"10.1007/s10551-022-05202-1","ISSN":"15730697","abstract":"An online world exists in which businesses have become burdened with managerial and legal duties regarding the seeking of informed consent and the protection of privacy and personal data, while growing public cynicism regarding personal data collection threatens the healthy development of marketing and e-commerce. This research seeks to address such cynicism by assisting organisations to devise ethical consent management processes that consider an individual’s attitudes, their subjective norms and their perceived sense of control during the elicitation of consent. It does so by developing an original conceptual model for online informed consent, argued through logical reasoning, and supported by an illustrative example, which brings together the autonomous authorisation (AA) model of informed consent and the theory of planned behaviour (TPB). Accordingly, it constructs a model for online informed consent, rooted in the ethic of autonomy, which employs behavioural theory to facilitate a mode of consent elicitation that prioritises users’ interests and supports ethical information management and marketing practices. The model also introduces a novel concept, the informed attitude, which must be present for informed consent to be valid. It also reveals that, under certain tolerated conditions, it is possible for informed consent to be provided unwillingly and to remain valid: this has significant ethical, information management and marketing implications.","author":[{"dropping-particle":"","family":"Burkhardt","given":"Gary","non-dropping-particle":"","parse-names":false,"suffix":""},{"dropping-particle":"","family":"Boy","given":"Frederic","non-dropping-particle":"","parse-names":false,"suffix":""},{"dropping-particle":"","family":"Doneddu","given":"Daniele","non-dropping-particle":"","parse-names":false,"suffix":""},{"dropping-particle":"","family":"Hajli","given":"Nick","non-dropping-particle":"","parse-names":false,"suffix":""}],"container-title":"Journal of Business Ethics","id":"ITEM-1","issue":"1","issued":{"date-parts":[["2023"]]},"title":"Privacy Behaviour: A Model for Online Informed Consent","type":"article-journal","volume":"186"},"uris":["http://www.mendeley.com/documents/?uuid=eb367ffb-412b-3b65-a46a-d5866eeabf0d"]}],"mendeley":{"formattedCitation":"Gary Burkhardt and others, ‘Privacy Behaviour: A Model for Online Informed Consent’, &lt;i&gt;Journal of Business Ethics&lt;/i&gt;, 186.1 (2023) &lt;https://doi.org/10.1007/s10551-022-05202-1&gt;.","manualFormatting":"Gary Burkhardt and others, 'Privacy Behaviour: A Model for Online Informed Consent', Journal of Business Ethics , 186.1 (2023) .","plainTextFormattedCitation":"Gary Burkhardt and others, ‘Privacy Behaviour: A Model for Online Informed Consent’, Journal of Business Ethics, 186.1 (2023) .","previouslyFormattedCitation":"(Burkhardt et al.)"},"properties":{"noteIndex":44},"schema":"https://github.com/citation-style-language/schema/raw/master/csl-citation.json"}</w:instrText>
      </w:r>
      <w:r>
        <w:fldChar w:fldCharType="separate"/>
      </w:r>
      <w:r>
        <w:rPr>
          <w:noProof/>
        </w:rPr>
        <w:t>Gary Burkhardt and others, 'Privacy Behaviour: A Model for Online Informed Consent', Journal of Business Ethics , 186.1 (2023) &lt;https://doi.org/10.1007/s10551-022-05202-1&gt;.</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5707"/>
    <w:multiLevelType w:val="multilevel"/>
    <w:tmpl w:val="C7848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43328"/>
    <w:multiLevelType w:val="multilevel"/>
    <w:tmpl w:val="A10A6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63078F"/>
    <w:multiLevelType w:val="multilevel"/>
    <w:tmpl w:val="59DE0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AB3CF2"/>
    <w:multiLevelType w:val="multilevel"/>
    <w:tmpl w:val="95067D4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0A91073F"/>
    <w:multiLevelType w:val="hybridMultilevel"/>
    <w:tmpl w:val="47921E02"/>
    <w:lvl w:ilvl="0" w:tplc="4476ADA2">
      <w:start w:val="1"/>
      <w:numFmt w:val="lowerLetter"/>
      <w:lvlText w:val="%1."/>
      <w:lvlJc w:val="left"/>
      <w:pPr>
        <w:ind w:left="2346" w:hanging="360"/>
      </w:pPr>
      <w:rPr>
        <w:rFonts w:asciiTheme="minorHAnsi" w:hAnsiTheme="minorHAnsi" w:cs="Times New Roman" w:hint="default"/>
        <w:b w:val="0"/>
        <w:i/>
      </w:rPr>
    </w:lvl>
    <w:lvl w:ilvl="1" w:tplc="04090019" w:tentative="1">
      <w:start w:val="1"/>
      <w:numFmt w:val="lowerLetter"/>
      <w:lvlText w:val="%2."/>
      <w:lvlJc w:val="left"/>
      <w:pPr>
        <w:ind w:left="2433" w:hanging="360"/>
      </w:pPr>
      <w:rPr>
        <w:rFonts w:cs="Times New Roman"/>
      </w:rPr>
    </w:lvl>
    <w:lvl w:ilvl="2" w:tplc="0409001B">
      <w:start w:val="1"/>
      <w:numFmt w:val="lowerRoman"/>
      <w:lvlText w:val="%3."/>
      <w:lvlJc w:val="right"/>
      <w:pPr>
        <w:ind w:left="3153" w:hanging="180"/>
      </w:pPr>
      <w:rPr>
        <w:rFonts w:cs="Times New Roman"/>
      </w:rPr>
    </w:lvl>
    <w:lvl w:ilvl="3" w:tplc="0409000F" w:tentative="1">
      <w:start w:val="1"/>
      <w:numFmt w:val="decimal"/>
      <w:lvlText w:val="%4."/>
      <w:lvlJc w:val="left"/>
      <w:pPr>
        <w:ind w:left="3873" w:hanging="360"/>
      </w:pPr>
      <w:rPr>
        <w:rFonts w:cs="Times New Roman"/>
      </w:rPr>
    </w:lvl>
    <w:lvl w:ilvl="4" w:tplc="04090019" w:tentative="1">
      <w:start w:val="1"/>
      <w:numFmt w:val="lowerLetter"/>
      <w:lvlText w:val="%5."/>
      <w:lvlJc w:val="left"/>
      <w:pPr>
        <w:ind w:left="4593" w:hanging="360"/>
      </w:pPr>
      <w:rPr>
        <w:rFonts w:cs="Times New Roman"/>
      </w:rPr>
    </w:lvl>
    <w:lvl w:ilvl="5" w:tplc="0409001B" w:tentative="1">
      <w:start w:val="1"/>
      <w:numFmt w:val="lowerRoman"/>
      <w:lvlText w:val="%6."/>
      <w:lvlJc w:val="right"/>
      <w:pPr>
        <w:ind w:left="5313" w:hanging="180"/>
      </w:pPr>
      <w:rPr>
        <w:rFonts w:cs="Times New Roman"/>
      </w:rPr>
    </w:lvl>
    <w:lvl w:ilvl="6" w:tplc="0409000F" w:tentative="1">
      <w:start w:val="1"/>
      <w:numFmt w:val="decimal"/>
      <w:lvlText w:val="%7."/>
      <w:lvlJc w:val="left"/>
      <w:pPr>
        <w:ind w:left="6033" w:hanging="360"/>
      </w:pPr>
      <w:rPr>
        <w:rFonts w:cs="Times New Roman"/>
      </w:rPr>
    </w:lvl>
    <w:lvl w:ilvl="7" w:tplc="04090019" w:tentative="1">
      <w:start w:val="1"/>
      <w:numFmt w:val="lowerLetter"/>
      <w:lvlText w:val="%8."/>
      <w:lvlJc w:val="left"/>
      <w:pPr>
        <w:ind w:left="6753" w:hanging="360"/>
      </w:pPr>
      <w:rPr>
        <w:rFonts w:cs="Times New Roman"/>
      </w:rPr>
    </w:lvl>
    <w:lvl w:ilvl="8" w:tplc="0409001B" w:tentative="1">
      <w:start w:val="1"/>
      <w:numFmt w:val="lowerRoman"/>
      <w:lvlText w:val="%9."/>
      <w:lvlJc w:val="right"/>
      <w:pPr>
        <w:ind w:left="7473" w:hanging="180"/>
      </w:pPr>
      <w:rPr>
        <w:rFonts w:cs="Times New Roman"/>
      </w:rPr>
    </w:lvl>
  </w:abstractNum>
  <w:abstractNum w:abstractNumId="5" w15:restartNumberingAfterBreak="0">
    <w:nsid w:val="0B03358F"/>
    <w:multiLevelType w:val="multilevel"/>
    <w:tmpl w:val="D032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9D4794"/>
    <w:multiLevelType w:val="hybridMultilevel"/>
    <w:tmpl w:val="8DF0D9B0"/>
    <w:lvl w:ilvl="0" w:tplc="F4F4CA12">
      <w:start w:val="1"/>
      <w:numFmt w:val="decimal"/>
      <w:lvlText w:val="%1."/>
      <w:lvlJc w:val="left"/>
      <w:pPr>
        <w:ind w:left="720" w:hanging="360"/>
      </w:pPr>
      <w:rPr>
        <w:rFonts w:asciiTheme="minorHAnsi" w:hAnsiTheme="minorHAnsi"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1E36619"/>
    <w:multiLevelType w:val="multilevel"/>
    <w:tmpl w:val="241E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B01DB5"/>
    <w:multiLevelType w:val="multilevel"/>
    <w:tmpl w:val="DEFC2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0329C4"/>
    <w:multiLevelType w:val="multilevel"/>
    <w:tmpl w:val="F4B2E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1660F7"/>
    <w:multiLevelType w:val="hybridMultilevel"/>
    <w:tmpl w:val="44BAE8B4"/>
    <w:lvl w:ilvl="0" w:tplc="ACB072B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15:restartNumberingAfterBreak="0">
    <w:nsid w:val="2D542F87"/>
    <w:multiLevelType w:val="multilevel"/>
    <w:tmpl w:val="F1607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10272A"/>
    <w:multiLevelType w:val="multilevel"/>
    <w:tmpl w:val="61C8C53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35983860"/>
    <w:multiLevelType w:val="multilevel"/>
    <w:tmpl w:val="DC36B43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382F16CF"/>
    <w:multiLevelType w:val="hybridMultilevel"/>
    <w:tmpl w:val="7EC8256E"/>
    <w:lvl w:ilvl="0" w:tplc="3192FE5A">
      <w:start w:val="1"/>
      <w:numFmt w:val="decimal"/>
      <w:lvlText w:val="%1."/>
      <w:lvlJc w:val="left"/>
      <w:pPr>
        <w:ind w:left="720" w:hanging="360"/>
      </w:pPr>
      <w:rPr>
        <w:rFonts w:ascii="Garamond" w:hAnsi="Garamond"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3DE24517"/>
    <w:multiLevelType w:val="multilevel"/>
    <w:tmpl w:val="8DE64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07081C"/>
    <w:multiLevelType w:val="multilevel"/>
    <w:tmpl w:val="A3CC3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CD7AC7"/>
    <w:multiLevelType w:val="hybridMultilevel"/>
    <w:tmpl w:val="9ACADB50"/>
    <w:lvl w:ilvl="0" w:tplc="4476ADA2">
      <w:start w:val="1"/>
      <w:numFmt w:val="lowerLetter"/>
      <w:lvlText w:val="%1."/>
      <w:lvlJc w:val="left"/>
      <w:pPr>
        <w:ind w:left="1353" w:hanging="360"/>
      </w:pPr>
      <w:rPr>
        <w:rFonts w:asciiTheme="minorHAnsi" w:hAnsiTheme="minorHAnsi" w:cs="Times New Roman" w:hint="default"/>
        <w:b w:val="0"/>
        <w:i/>
      </w:rPr>
    </w:lvl>
    <w:lvl w:ilvl="1" w:tplc="04090019" w:tentative="1">
      <w:start w:val="1"/>
      <w:numFmt w:val="lowerLetter"/>
      <w:lvlText w:val="%2."/>
      <w:lvlJc w:val="left"/>
      <w:pPr>
        <w:ind w:left="2073" w:hanging="360"/>
      </w:pPr>
      <w:rPr>
        <w:rFonts w:cs="Times New Roman"/>
      </w:rPr>
    </w:lvl>
    <w:lvl w:ilvl="2" w:tplc="0409001B" w:tentative="1">
      <w:start w:val="1"/>
      <w:numFmt w:val="lowerRoman"/>
      <w:lvlText w:val="%3."/>
      <w:lvlJc w:val="right"/>
      <w:pPr>
        <w:ind w:left="2793" w:hanging="180"/>
      </w:pPr>
      <w:rPr>
        <w:rFonts w:cs="Times New Roman"/>
      </w:rPr>
    </w:lvl>
    <w:lvl w:ilvl="3" w:tplc="0409000F" w:tentative="1">
      <w:start w:val="1"/>
      <w:numFmt w:val="decimal"/>
      <w:lvlText w:val="%4."/>
      <w:lvlJc w:val="left"/>
      <w:pPr>
        <w:ind w:left="3513" w:hanging="360"/>
      </w:pPr>
      <w:rPr>
        <w:rFonts w:cs="Times New Roman"/>
      </w:rPr>
    </w:lvl>
    <w:lvl w:ilvl="4" w:tplc="04090019" w:tentative="1">
      <w:start w:val="1"/>
      <w:numFmt w:val="lowerLetter"/>
      <w:lvlText w:val="%5."/>
      <w:lvlJc w:val="left"/>
      <w:pPr>
        <w:ind w:left="4233" w:hanging="360"/>
      </w:pPr>
      <w:rPr>
        <w:rFonts w:cs="Times New Roman"/>
      </w:rPr>
    </w:lvl>
    <w:lvl w:ilvl="5" w:tplc="0409001B" w:tentative="1">
      <w:start w:val="1"/>
      <w:numFmt w:val="lowerRoman"/>
      <w:lvlText w:val="%6."/>
      <w:lvlJc w:val="right"/>
      <w:pPr>
        <w:ind w:left="4953" w:hanging="180"/>
      </w:pPr>
      <w:rPr>
        <w:rFonts w:cs="Times New Roman"/>
      </w:rPr>
    </w:lvl>
    <w:lvl w:ilvl="6" w:tplc="0409000F" w:tentative="1">
      <w:start w:val="1"/>
      <w:numFmt w:val="decimal"/>
      <w:lvlText w:val="%7."/>
      <w:lvlJc w:val="left"/>
      <w:pPr>
        <w:ind w:left="5673" w:hanging="360"/>
      </w:pPr>
      <w:rPr>
        <w:rFonts w:cs="Times New Roman"/>
      </w:rPr>
    </w:lvl>
    <w:lvl w:ilvl="7" w:tplc="04090019" w:tentative="1">
      <w:start w:val="1"/>
      <w:numFmt w:val="lowerLetter"/>
      <w:lvlText w:val="%8."/>
      <w:lvlJc w:val="left"/>
      <w:pPr>
        <w:ind w:left="6393" w:hanging="360"/>
      </w:pPr>
      <w:rPr>
        <w:rFonts w:cs="Times New Roman"/>
      </w:rPr>
    </w:lvl>
    <w:lvl w:ilvl="8" w:tplc="0409001B" w:tentative="1">
      <w:start w:val="1"/>
      <w:numFmt w:val="lowerRoman"/>
      <w:lvlText w:val="%9."/>
      <w:lvlJc w:val="right"/>
      <w:pPr>
        <w:ind w:left="7113" w:hanging="180"/>
      </w:pPr>
      <w:rPr>
        <w:rFonts w:cs="Times New Roman"/>
      </w:rPr>
    </w:lvl>
  </w:abstractNum>
  <w:abstractNum w:abstractNumId="18" w15:restartNumberingAfterBreak="0">
    <w:nsid w:val="4A986CF0"/>
    <w:multiLevelType w:val="multilevel"/>
    <w:tmpl w:val="FFC8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06707C"/>
    <w:multiLevelType w:val="multilevel"/>
    <w:tmpl w:val="1E306C7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15:restartNumberingAfterBreak="0">
    <w:nsid w:val="4E054F74"/>
    <w:multiLevelType w:val="multilevel"/>
    <w:tmpl w:val="9C947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4F4956"/>
    <w:multiLevelType w:val="multilevel"/>
    <w:tmpl w:val="5ED47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0718A1"/>
    <w:multiLevelType w:val="hybridMultilevel"/>
    <w:tmpl w:val="2296576A"/>
    <w:lvl w:ilvl="0" w:tplc="4734F478">
      <w:start w:val="1"/>
      <w:numFmt w:val="decimal"/>
      <w:lvlText w:val="%1."/>
      <w:lvlJc w:val="left"/>
      <w:pPr>
        <w:ind w:left="720" w:hanging="360"/>
      </w:pPr>
      <w:rPr>
        <w:rFonts w:asciiTheme="minorHAnsi" w:eastAsia="Times New Roman" w:hAnsiTheme="minorHAnsi"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5A2A4CDD"/>
    <w:multiLevelType w:val="hybridMultilevel"/>
    <w:tmpl w:val="2CBEE9EC"/>
    <w:lvl w:ilvl="0" w:tplc="AA4A66E8">
      <w:start w:val="1"/>
      <w:numFmt w:val="lowerLetter"/>
      <w:lvlText w:val="%1."/>
      <w:lvlJc w:val="left"/>
      <w:pPr>
        <w:ind w:left="1440" w:hanging="360"/>
      </w:pPr>
      <w:rPr>
        <w:rFonts w:cs="Times New Roman" w:hint="default"/>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 w15:restartNumberingAfterBreak="0">
    <w:nsid w:val="5B602CF3"/>
    <w:multiLevelType w:val="hybridMultilevel"/>
    <w:tmpl w:val="82E61D66"/>
    <w:lvl w:ilvl="0" w:tplc="4502B9F6">
      <w:start w:val="1"/>
      <w:numFmt w:val="decimal"/>
      <w:lvlText w:val="%1."/>
      <w:lvlJc w:val="left"/>
      <w:pPr>
        <w:ind w:left="1353" w:hanging="360"/>
      </w:pPr>
      <w:rPr>
        <w:rFonts w:cs="Times New Roman" w:hint="default"/>
        <w:i w:val="0"/>
      </w:rPr>
    </w:lvl>
    <w:lvl w:ilvl="1" w:tplc="04090019" w:tentative="1">
      <w:start w:val="1"/>
      <w:numFmt w:val="lowerLetter"/>
      <w:lvlText w:val="%2."/>
      <w:lvlJc w:val="left"/>
      <w:pPr>
        <w:ind w:left="2073" w:hanging="360"/>
      </w:pPr>
      <w:rPr>
        <w:rFonts w:cs="Times New Roman"/>
      </w:rPr>
    </w:lvl>
    <w:lvl w:ilvl="2" w:tplc="0409001B" w:tentative="1">
      <w:start w:val="1"/>
      <w:numFmt w:val="lowerRoman"/>
      <w:lvlText w:val="%3."/>
      <w:lvlJc w:val="right"/>
      <w:pPr>
        <w:ind w:left="2793" w:hanging="180"/>
      </w:pPr>
      <w:rPr>
        <w:rFonts w:cs="Times New Roman"/>
      </w:rPr>
    </w:lvl>
    <w:lvl w:ilvl="3" w:tplc="0409000F" w:tentative="1">
      <w:start w:val="1"/>
      <w:numFmt w:val="decimal"/>
      <w:lvlText w:val="%4."/>
      <w:lvlJc w:val="left"/>
      <w:pPr>
        <w:ind w:left="3513" w:hanging="360"/>
      </w:pPr>
      <w:rPr>
        <w:rFonts w:cs="Times New Roman"/>
      </w:rPr>
    </w:lvl>
    <w:lvl w:ilvl="4" w:tplc="04090019" w:tentative="1">
      <w:start w:val="1"/>
      <w:numFmt w:val="lowerLetter"/>
      <w:lvlText w:val="%5."/>
      <w:lvlJc w:val="left"/>
      <w:pPr>
        <w:ind w:left="4233" w:hanging="360"/>
      </w:pPr>
      <w:rPr>
        <w:rFonts w:cs="Times New Roman"/>
      </w:rPr>
    </w:lvl>
    <w:lvl w:ilvl="5" w:tplc="0409001B" w:tentative="1">
      <w:start w:val="1"/>
      <w:numFmt w:val="lowerRoman"/>
      <w:lvlText w:val="%6."/>
      <w:lvlJc w:val="right"/>
      <w:pPr>
        <w:ind w:left="4953" w:hanging="180"/>
      </w:pPr>
      <w:rPr>
        <w:rFonts w:cs="Times New Roman"/>
      </w:rPr>
    </w:lvl>
    <w:lvl w:ilvl="6" w:tplc="0409000F" w:tentative="1">
      <w:start w:val="1"/>
      <w:numFmt w:val="decimal"/>
      <w:lvlText w:val="%7."/>
      <w:lvlJc w:val="left"/>
      <w:pPr>
        <w:ind w:left="5673" w:hanging="360"/>
      </w:pPr>
      <w:rPr>
        <w:rFonts w:cs="Times New Roman"/>
      </w:rPr>
    </w:lvl>
    <w:lvl w:ilvl="7" w:tplc="04090019" w:tentative="1">
      <w:start w:val="1"/>
      <w:numFmt w:val="lowerLetter"/>
      <w:lvlText w:val="%8."/>
      <w:lvlJc w:val="left"/>
      <w:pPr>
        <w:ind w:left="6393" w:hanging="360"/>
      </w:pPr>
      <w:rPr>
        <w:rFonts w:cs="Times New Roman"/>
      </w:rPr>
    </w:lvl>
    <w:lvl w:ilvl="8" w:tplc="0409001B" w:tentative="1">
      <w:start w:val="1"/>
      <w:numFmt w:val="lowerRoman"/>
      <w:lvlText w:val="%9."/>
      <w:lvlJc w:val="right"/>
      <w:pPr>
        <w:ind w:left="7113" w:hanging="180"/>
      </w:pPr>
      <w:rPr>
        <w:rFonts w:cs="Times New Roman"/>
      </w:rPr>
    </w:lvl>
  </w:abstractNum>
  <w:abstractNum w:abstractNumId="25" w15:restartNumberingAfterBreak="0">
    <w:nsid w:val="67B839E5"/>
    <w:multiLevelType w:val="multilevel"/>
    <w:tmpl w:val="7DD60A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heme="minorHAnsi" w:eastAsia="Times New Roman" w:hAnsiTheme="minorHAnsi" w:cs="Times New Roman"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14077F"/>
    <w:multiLevelType w:val="multilevel"/>
    <w:tmpl w:val="AD3E9DB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7" w15:restartNumberingAfterBreak="0">
    <w:nsid w:val="6EDA7765"/>
    <w:multiLevelType w:val="multilevel"/>
    <w:tmpl w:val="55C03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E86C5C"/>
    <w:multiLevelType w:val="multilevel"/>
    <w:tmpl w:val="A828961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 w15:restartNumberingAfterBreak="0">
    <w:nsid w:val="74831B08"/>
    <w:multiLevelType w:val="multilevel"/>
    <w:tmpl w:val="474A59FC"/>
    <w:lvl w:ilvl="0">
      <w:start w:val="3"/>
      <w:numFmt w:val="decimal"/>
      <w:lvlText w:val="%1"/>
      <w:lvlJc w:val="left"/>
      <w:pPr>
        <w:ind w:left="360" w:hanging="360"/>
      </w:pPr>
      <w:rPr>
        <w:rFonts w:cs="Times New Roman" w:hint="default"/>
        <w:i/>
      </w:rPr>
    </w:lvl>
    <w:lvl w:ilvl="1">
      <w:start w:val="1"/>
      <w:numFmt w:val="decimal"/>
      <w:lvlText w:val="%1.%2"/>
      <w:lvlJc w:val="left"/>
      <w:pPr>
        <w:ind w:left="360" w:hanging="360"/>
      </w:pPr>
      <w:rPr>
        <w:rFonts w:cs="Times New Roman" w:hint="default"/>
        <w:i w:val="0"/>
      </w:rPr>
    </w:lvl>
    <w:lvl w:ilvl="2">
      <w:start w:val="1"/>
      <w:numFmt w:val="decimal"/>
      <w:lvlText w:val="%1.%2.%3"/>
      <w:lvlJc w:val="left"/>
      <w:pPr>
        <w:ind w:left="720" w:hanging="720"/>
      </w:pPr>
      <w:rPr>
        <w:rFonts w:cs="Times New Roman" w:hint="default"/>
        <w:i/>
      </w:rPr>
    </w:lvl>
    <w:lvl w:ilvl="3">
      <w:start w:val="1"/>
      <w:numFmt w:val="decimal"/>
      <w:lvlText w:val="%1.%2.%3.%4"/>
      <w:lvlJc w:val="left"/>
      <w:pPr>
        <w:ind w:left="720" w:hanging="720"/>
      </w:pPr>
      <w:rPr>
        <w:rFonts w:cs="Times New Roman" w:hint="default"/>
        <w:i/>
      </w:rPr>
    </w:lvl>
    <w:lvl w:ilvl="4">
      <w:start w:val="1"/>
      <w:numFmt w:val="decimal"/>
      <w:lvlText w:val="%1.%2.%3.%4.%5"/>
      <w:lvlJc w:val="left"/>
      <w:pPr>
        <w:ind w:left="1080" w:hanging="1080"/>
      </w:pPr>
      <w:rPr>
        <w:rFonts w:cs="Times New Roman" w:hint="default"/>
        <w:i/>
      </w:rPr>
    </w:lvl>
    <w:lvl w:ilvl="5">
      <w:start w:val="1"/>
      <w:numFmt w:val="decimal"/>
      <w:lvlText w:val="%1.%2.%3.%4.%5.%6"/>
      <w:lvlJc w:val="left"/>
      <w:pPr>
        <w:ind w:left="1080" w:hanging="1080"/>
      </w:pPr>
      <w:rPr>
        <w:rFonts w:cs="Times New Roman" w:hint="default"/>
        <w:i/>
      </w:rPr>
    </w:lvl>
    <w:lvl w:ilvl="6">
      <w:start w:val="1"/>
      <w:numFmt w:val="decimal"/>
      <w:lvlText w:val="%1.%2.%3.%4.%5.%6.%7"/>
      <w:lvlJc w:val="left"/>
      <w:pPr>
        <w:ind w:left="1440" w:hanging="1440"/>
      </w:pPr>
      <w:rPr>
        <w:rFonts w:cs="Times New Roman" w:hint="default"/>
        <w:i/>
      </w:rPr>
    </w:lvl>
    <w:lvl w:ilvl="7">
      <w:start w:val="1"/>
      <w:numFmt w:val="decimal"/>
      <w:lvlText w:val="%1.%2.%3.%4.%5.%6.%7.%8"/>
      <w:lvlJc w:val="left"/>
      <w:pPr>
        <w:ind w:left="1440" w:hanging="1440"/>
      </w:pPr>
      <w:rPr>
        <w:rFonts w:cs="Times New Roman" w:hint="default"/>
        <w:i/>
      </w:rPr>
    </w:lvl>
    <w:lvl w:ilvl="8">
      <w:start w:val="1"/>
      <w:numFmt w:val="decimal"/>
      <w:lvlText w:val="%1.%2.%3.%4.%5.%6.%7.%8.%9"/>
      <w:lvlJc w:val="left"/>
      <w:pPr>
        <w:ind w:left="1800" w:hanging="1800"/>
      </w:pPr>
      <w:rPr>
        <w:rFonts w:cs="Times New Roman" w:hint="default"/>
        <w:i/>
      </w:rPr>
    </w:lvl>
  </w:abstractNum>
  <w:abstractNum w:abstractNumId="30" w15:restartNumberingAfterBreak="0">
    <w:nsid w:val="77E426BB"/>
    <w:multiLevelType w:val="multilevel"/>
    <w:tmpl w:val="029A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DD3126"/>
    <w:multiLevelType w:val="multilevel"/>
    <w:tmpl w:val="88824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621E46"/>
    <w:multiLevelType w:val="multilevel"/>
    <w:tmpl w:val="350ED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31"/>
    <w:lvlOverride w:ilvl="0">
      <w:lvl w:ilvl="0">
        <w:numFmt w:val="bullet"/>
        <w:lvlText w:val="o"/>
        <w:lvlJc w:val="left"/>
        <w:pPr>
          <w:tabs>
            <w:tab w:val="num" w:pos="720"/>
          </w:tabs>
          <w:ind w:left="720" w:hanging="360"/>
        </w:pPr>
        <w:rPr>
          <w:rFonts w:ascii="Courier New" w:hAnsi="Courier New" w:hint="default"/>
          <w:sz w:val="20"/>
        </w:rPr>
      </w:lvl>
    </w:lvlOverride>
  </w:num>
  <w:num w:numId="4">
    <w:abstractNumId w:val="9"/>
  </w:num>
  <w:num w:numId="5">
    <w:abstractNumId w:val="19"/>
  </w:num>
  <w:num w:numId="6">
    <w:abstractNumId w:val="29"/>
  </w:num>
  <w:num w:numId="7">
    <w:abstractNumId w:val="22"/>
  </w:num>
  <w:num w:numId="8">
    <w:abstractNumId w:val="10"/>
  </w:num>
  <w:num w:numId="9">
    <w:abstractNumId w:val="23"/>
  </w:num>
  <w:num w:numId="10">
    <w:abstractNumId w:val="7"/>
  </w:num>
  <w:num w:numId="11">
    <w:abstractNumId w:val="1"/>
  </w:num>
  <w:num w:numId="12">
    <w:abstractNumId w:val="11"/>
  </w:num>
  <w:num w:numId="13">
    <w:abstractNumId w:val="15"/>
  </w:num>
  <w:num w:numId="14">
    <w:abstractNumId w:val="18"/>
  </w:num>
  <w:num w:numId="15">
    <w:abstractNumId w:val="25"/>
  </w:num>
  <w:num w:numId="16">
    <w:abstractNumId w:val="13"/>
  </w:num>
  <w:num w:numId="17">
    <w:abstractNumId w:val="12"/>
  </w:num>
  <w:num w:numId="18">
    <w:abstractNumId w:val="2"/>
  </w:num>
  <w:num w:numId="19">
    <w:abstractNumId w:val="0"/>
  </w:num>
  <w:num w:numId="20">
    <w:abstractNumId w:val="26"/>
  </w:num>
  <w:num w:numId="21">
    <w:abstractNumId w:val="16"/>
  </w:num>
  <w:num w:numId="22">
    <w:abstractNumId w:val="3"/>
  </w:num>
  <w:num w:numId="23">
    <w:abstractNumId w:val="27"/>
  </w:num>
  <w:num w:numId="24">
    <w:abstractNumId w:val="21"/>
  </w:num>
  <w:num w:numId="25">
    <w:abstractNumId w:val="5"/>
  </w:num>
  <w:num w:numId="26">
    <w:abstractNumId w:val="17"/>
  </w:num>
  <w:num w:numId="27">
    <w:abstractNumId w:val="4"/>
  </w:num>
  <w:num w:numId="28">
    <w:abstractNumId w:val="6"/>
  </w:num>
  <w:num w:numId="29">
    <w:abstractNumId w:val="28"/>
  </w:num>
  <w:num w:numId="30">
    <w:abstractNumId w:val="24"/>
  </w:num>
  <w:num w:numId="31">
    <w:abstractNumId w:val="32"/>
  </w:num>
  <w:num w:numId="32">
    <w:abstractNumId w:val="14"/>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B15"/>
    <w:rsid w:val="000155FA"/>
    <w:rsid w:val="00022FC0"/>
    <w:rsid w:val="000421DE"/>
    <w:rsid w:val="00043F80"/>
    <w:rsid w:val="00064D95"/>
    <w:rsid w:val="00094DB3"/>
    <w:rsid w:val="000C154F"/>
    <w:rsid w:val="000C229B"/>
    <w:rsid w:val="000D54C7"/>
    <w:rsid w:val="000E29E2"/>
    <w:rsid w:val="00100618"/>
    <w:rsid w:val="00126893"/>
    <w:rsid w:val="00127167"/>
    <w:rsid w:val="00130B4C"/>
    <w:rsid w:val="00152730"/>
    <w:rsid w:val="00175983"/>
    <w:rsid w:val="001772ED"/>
    <w:rsid w:val="001A3B27"/>
    <w:rsid w:val="001D08D5"/>
    <w:rsid w:val="001D4286"/>
    <w:rsid w:val="0020295C"/>
    <w:rsid w:val="00210DAC"/>
    <w:rsid w:val="002130D6"/>
    <w:rsid w:val="00263AF9"/>
    <w:rsid w:val="00277658"/>
    <w:rsid w:val="002974F7"/>
    <w:rsid w:val="002B6B8E"/>
    <w:rsid w:val="002C6FDB"/>
    <w:rsid w:val="002F0793"/>
    <w:rsid w:val="00301B70"/>
    <w:rsid w:val="00306D44"/>
    <w:rsid w:val="00306E4F"/>
    <w:rsid w:val="003129A8"/>
    <w:rsid w:val="00330580"/>
    <w:rsid w:val="00336354"/>
    <w:rsid w:val="003367B4"/>
    <w:rsid w:val="00341ACE"/>
    <w:rsid w:val="003457B2"/>
    <w:rsid w:val="0039436A"/>
    <w:rsid w:val="003B4870"/>
    <w:rsid w:val="003C148E"/>
    <w:rsid w:val="003C3A86"/>
    <w:rsid w:val="003C4084"/>
    <w:rsid w:val="003D565E"/>
    <w:rsid w:val="003E7950"/>
    <w:rsid w:val="00420676"/>
    <w:rsid w:val="00447707"/>
    <w:rsid w:val="004605E2"/>
    <w:rsid w:val="00474068"/>
    <w:rsid w:val="004749EB"/>
    <w:rsid w:val="004D3930"/>
    <w:rsid w:val="004F4826"/>
    <w:rsid w:val="00505ABA"/>
    <w:rsid w:val="00531195"/>
    <w:rsid w:val="005443ED"/>
    <w:rsid w:val="0056165A"/>
    <w:rsid w:val="00566408"/>
    <w:rsid w:val="00572B15"/>
    <w:rsid w:val="005975D6"/>
    <w:rsid w:val="005A1AEF"/>
    <w:rsid w:val="005A1AFD"/>
    <w:rsid w:val="005A1E70"/>
    <w:rsid w:val="005A273C"/>
    <w:rsid w:val="005A66EC"/>
    <w:rsid w:val="005B3FC8"/>
    <w:rsid w:val="005C4AB0"/>
    <w:rsid w:val="005D2F64"/>
    <w:rsid w:val="005D5CDC"/>
    <w:rsid w:val="005E5F5D"/>
    <w:rsid w:val="005F2CE5"/>
    <w:rsid w:val="00607157"/>
    <w:rsid w:val="006102AD"/>
    <w:rsid w:val="006351CC"/>
    <w:rsid w:val="006412B2"/>
    <w:rsid w:val="006461CA"/>
    <w:rsid w:val="00647F84"/>
    <w:rsid w:val="00660B52"/>
    <w:rsid w:val="006B1A58"/>
    <w:rsid w:val="006B247A"/>
    <w:rsid w:val="006B73D0"/>
    <w:rsid w:val="00734170"/>
    <w:rsid w:val="00736FEA"/>
    <w:rsid w:val="0074246C"/>
    <w:rsid w:val="00751B29"/>
    <w:rsid w:val="00772C78"/>
    <w:rsid w:val="00777A03"/>
    <w:rsid w:val="00782DC5"/>
    <w:rsid w:val="007B3442"/>
    <w:rsid w:val="007C4D05"/>
    <w:rsid w:val="007C7FB7"/>
    <w:rsid w:val="007D3828"/>
    <w:rsid w:val="007E2BF3"/>
    <w:rsid w:val="007F770B"/>
    <w:rsid w:val="00812824"/>
    <w:rsid w:val="00812A58"/>
    <w:rsid w:val="00816C9A"/>
    <w:rsid w:val="00825955"/>
    <w:rsid w:val="00833BD0"/>
    <w:rsid w:val="00855E4C"/>
    <w:rsid w:val="00861F98"/>
    <w:rsid w:val="008A7DF3"/>
    <w:rsid w:val="008C20A3"/>
    <w:rsid w:val="008C5EAD"/>
    <w:rsid w:val="008D429D"/>
    <w:rsid w:val="008D6376"/>
    <w:rsid w:val="008F0DBB"/>
    <w:rsid w:val="00994BF4"/>
    <w:rsid w:val="00995473"/>
    <w:rsid w:val="009B3560"/>
    <w:rsid w:val="009B3B8D"/>
    <w:rsid w:val="009B5940"/>
    <w:rsid w:val="009F0512"/>
    <w:rsid w:val="009F0FC0"/>
    <w:rsid w:val="00A32FA6"/>
    <w:rsid w:val="00AA11CC"/>
    <w:rsid w:val="00AA55C1"/>
    <w:rsid w:val="00AB2D24"/>
    <w:rsid w:val="00AC1F30"/>
    <w:rsid w:val="00AC7185"/>
    <w:rsid w:val="00AD32FF"/>
    <w:rsid w:val="00AD524F"/>
    <w:rsid w:val="00AF26A4"/>
    <w:rsid w:val="00B44A82"/>
    <w:rsid w:val="00B56CB6"/>
    <w:rsid w:val="00B9006C"/>
    <w:rsid w:val="00BB28D2"/>
    <w:rsid w:val="00BE3011"/>
    <w:rsid w:val="00C50BCA"/>
    <w:rsid w:val="00C530F2"/>
    <w:rsid w:val="00C70100"/>
    <w:rsid w:val="00C7043E"/>
    <w:rsid w:val="00CA43DF"/>
    <w:rsid w:val="00CF00FF"/>
    <w:rsid w:val="00D07BDF"/>
    <w:rsid w:val="00D13078"/>
    <w:rsid w:val="00D15EE1"/>
    <w:rsid w:val="00D2373B"/>
    <w:rsid w:val="00D45EF1"/>
    <w:rsid w:val="00D464D6"/>
    <w:rsid w:val="00D732D3"/>
    <w:rsid w:val="00D7733E"/>
    <w:rsid w:val="00DC0D6E"/>
    <w:rsid w:val="00DC5062"/>
    <w:rsid w:val="00DD05DC"/>
    <w:rsid w:val="00DD41FF"/>
    <w:rsid w:val="00DE7EBC"/>
    <w:rsid w:val="00E1515B"/>
    <w:rsid w:val="00E33A0A"/>
    <w:rsid w:val="00E4182C"/>
    <w:rsid w:val="00E4728A"/>
    <w:rsid w:val="00E54D55"/>
    <w:rsid w:val="00E662AC"/>
    <w:rsid w:val="00E74505"/>
    <w:rsid w:val="00E76B37"/>
    <w:rsid w:val="00E86AFC"/>
    <w:rsid w:val="00EF16C7"/>
    <w:rsid w:val="00F27CAB"/>
    <w:rsid w:val="00F326AE"/>
    <w:rsid w:val="00F4278F"/>
    <w:rsid w:val="00F5270F"/>
    <w:rsid w:val="00F551BE"/>
    <w:rsid w:val="00F75105"/>
    <w:rsid w:val="00F756D9"/>
    <w:rsid w:val="00F813BD"/>
    <w:rsid w:val="00F91BEF"/>
    <w:rsid w:val="00F93950"/>
    <w:rsid w:val="00F94B2B"/>
    <w:rsid w:val="00FB639F"/>
    <w:rsid w:val="00FF11EE"/>
    <w:rsid w:val="00FF7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8D7F59"/>
  <w14:defaultImageDpi w14:val="0"/>
  <w15:docId w15:val="{A480A587-F798-41C2-B5BA-BB24326BC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kern w:val="2"/>
        <w:sz w:val="24"/>
        <w:szCs w:val="24"/>
        <w:lang w:val="en"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2FC0"/>
    <w:rPr>
      <w:rFonts w:cs="Times New Roman"/>
    </w:rPr>
  </w:style>
  <w:style w:type="paragraph" w:styleId="Heading1">
    <w:name w:val="heading 1"/>
    <w:basedOn w:val="Normal"/>
    <w:next w:val="Normal"/>
    <w:link w:val="Heading1Char"/>
    <w:uiPriority w:val="9"/>
    <w:qFormat/>
    <w:rsid w:val="00C7043E"/>
    <w:pPr>
      <w:keepNext/>
      <w:keepLines/>
      <w:spacing w:before="240" w:after="0"/>
      <w:outlineLvl w:val="0"/>
    </w:pPr>
    <w:rPr>
      <w:rFonts w:asciiTheme="majorHAnsi" w:eastAsiaTheme="majorEastAsia" w:hAnsiTheme="majorHAnsi"/>
      <w:color w:val="2F5496" w:themeColor="accent1" w:themeShade="BF"/>
      <w:sz w:val="32"/>
      <w:szCs w:val="32"/>
    </w:rPr>
  </w:style>
  <w:style w:type="paragraph" w:styleId="Heading2">
    <w:name w:val="heading 2"/>
    <w:basedOn w:val="Normal"/>
    <w:next w:val="Normal"/>
    <w:link w:val="Heading2Char"/>
    <w:uiPriority w:val="9"/>
    <w:semiHidden/>
    <w:unhideWhenUsed/>
    <w:qFormat/>
    <w:rsid w:val="000C154F"/>
    <w:pPr>
      <w:keepNext/>
      <w:keepLines/>
      <w:spacing w:before="40" w:after="0"/>
      <w:outlineLvl w:val="1"/>
    </w:pPr>
    <w:rPr>
      <w:rFonts w:asciiTheme="majorHAnsi" w:eastAsiaTheme="majorEastAsia" w:hAnsiTheme="majorHAnsi"/>
      <w:color w:val="2F5496" w:themeColor="accent1" w:themeShade="BF"/>
      <w:sz w:val="26"/>
      <w:szCs w:val="26"/>
    </w:rPr>
  </w:style>
  <w:style w:type="paragraph" w:styleId="Heading3">
    <w:name w:val="heading 3"/>
    <w:basedOn w:val="Normal"/>
    <w:link w:val="Heading3Char"/>
    <w:uiPriority w:val="9"/>
    <w:qFormat/>
    <w:rsid w:val="001D4286"/>
    <w:pPr>
      <w:spacing w:before="100" w:beforeAutospacing="1" w:after="100" w:afterAutospacing="1" w:line="240" w:lineRule="auto"/>
      <w:outlineLvl w:val="2"/>
    </w:pPr>
    <w:rPr>
      <w:rFonts w:ascii="Times New Roman" w:hAnsi="Times New Roman"/>
      <w:b/>
      <w:bCs/>
      <w:kern w:val="0"/>
      <w:sz w:val="27"/>
      <w:szCs w:val="27"/>
    </w:rPr>
  </w:style>
  <w:style w:type="paragraph" w:styleId="Heading4">
    <w:name w:val="heading 4"/>
    <w:basedOn w:val="Normal"/>
    <w:next w:val="Normal"/>
    <w:link w:val="Heading4Char"/>
    <w:uiPriority w:val="9"/>
    <w:semiHidden/>
    <w:unhideWhenUsed/>
    <w:qFormat/>
    <w:rsid w:val="005D2F64"/>
    <w:pPr>
      <w:keepNext/>
      <w:keepLines/>
      <w:spacing w:before="40" w:after="0"/>
      <w:outlineLvl w:val="3"/>
    </w:pPr>
    <w:rPr>
      <w:rFonts w:asciiTheme="majorHAnsi" w:eastAsiaTheme="majorEastAsia" w:hAnsiTheme="majorHAns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C7043E"/>
    <w:rPr>
      <w:rFonts w:asciiTheme="majorHAnsi" w:eastAsiaTheme="majorEastAsia" w:hAnsiTheme="majorHAnsi" w:cs="Times New Roman"/>
      <w:color w:val="2F5496" w:themeColor="accent1" w:themeShade="BF"/>
      <w:sz w:val="32"/>
      <w:szCs w:val="32"/>
    </w:rPr>
  </w:style>
  <w:style w:type="character" w:customStyle="1" w:styleId="Heading2Char">
    <w:name w:val="Heading 2 Char"/>
    <w:basedOn w:val="DefaultParagraphFont"/>
    <w:link w:val="Heading2"/>
    <w:uiPriority w:val="9"/>
    <w:semiHidden/>
    <w:locked/>
    <w:rsid w:val="000C154F"/>
    <w:rPr>
      <w:rFonts w:asciiTheme="majorHAnsi" w:eastAsiaTheme="majorEastAsia" w:hAnsiTheme="majorHAnsi" w:cs="Times New Roman"/>
      <w:color w:val="2F5496" w:themeColor="accent1" w:themeShade="BF"/>
      <w:sz w:val="26"/>
      <w:szCs w:val="26"/>
    </w:rPr>
  </w:style>
  <w:style w:type="character" w:customStyle="1" w:styleId="Heading3Char">
    <w:name w:val="Heading 3 Char"/>
    <w:basedOn w:val="DefaultParagraphFont"/>
    <w:link w:val="Heading3"/>
    <w:uiPriority w:val="9"/>
    <w:locked/>
    <w:rsid w:val="001D4286"/>
    <w:rPr>
      <w:rFonts w:ascii="Times New Roman" w:hAnsi="Times New Roman" w:cs="Times New Roman"/>
      <w:b/>
      <w:bCs/>
      <w:kern w:val="0"/>
      <w:sz w:val="27"/>
      <w:szCs w:val="27"/>
    </w:rPr>
  </w:style>
  <w:style w:type="character" w:customStyle="1" w:styleId="Heading4Char">
    <w:name w:val="Heading 4 Char"/>
    <w:basedOn w:val="DefaultParagraphFont"/>
    <w:link w:val="Heading4"/>
    <w:uiPriority w:val="9"/>
    <w:locked/>
    <w:rsid w:val="005D2F64"/>
    <w:rPr>
      <w:rFonts w:asciiTheme="majorHAnsi" w:eastAsiaTheme="majorEastAsia" w:hAnsiTheme="majorHAnsi" w:cs="Times New Roman"/>
      <w:i/>
      <w:iCs/>
      <w:color w:val="2F5496" w:themeColor="accent1" w:themeShade="BF"/>
    </w:rPr>
  </w:style>
  <w:style w:type="paragraph" w:styleId="FootnoteText">
    <w:name w:val="footnote text"/>
    <w:basedOn w:val="Normal"/>
    <w:link w:val="FootnoteTextChar"/>
    <w:uiPriority w:val="99"/>
    <w:unhideWhenUsed/>
    <w:rsid w:val="00572B15"/>
    <w:pPr>
      <w:spacing w:after="0" w:line="240" w:lineRule="auto"/>
    </w:pPr>
    <w:rPr>
      <w:sz w:val="20"/>
      <w:szCs w:val="20"/>
    </w:rPr>
  </w:style>
  <w:style w:type="character" w:customStyle="1" w:styleId="FootnoteTextChar">
    <w:name w:val="Footnote Text Char"/>
    <w:basedOn w:val="DefaultParagraphFont"/>
    <w:link w:val="FootnoteText"/>
    <w:uiPriority w:val="99"/>
    <w:locked/>
    <w:rsid w:val="00572B15"/>
    <w:rPr>
      <w:rFonts w:cs="Times New Roman"/>
      <w:sz w:val="20"/>
      <w:szCs w:val="20"/>
    </w:rPr>
  </w:style>
  <w:style w:type="character" w:styleId="FootnoteReference">
    <w:name w:val="footnote reference"/>
    <w:basedOn w:val="DefaultParagraphFont"/>
    <w:uiPriority w:val="99"/>
    <w:semiHidden/>
    <w:unhideWhenUsed/>
    <w:rsid w:val="00572B15"/>
    <w:rPr>
      <w:rFonts w:cs="Times New Roman"/>
      <w:vertAlign w:val="superscript"/>
    </w:rPr>
  </w:style>
  <w:style w:type="paragraph" w:styleId="NormalWeb">
    <w:name w:val="Normal (Web)"/>
    <w:basedOn w:val="Normal"/>
    <w:uiPriority w:val="99"/>
    <w:unhideWhenUsed/>
    <w:rsid w:val="008C20A3"/>
    <w:pPr>
      <w:spacing w:before="100" w:beforeAutospacing="1" w:after="100" w:afterAutospacing="1" w:line="240" w:lineRule="auto"/>
    </w:pPr>
    <w:rPr>
      <w:rFonts w:ascii="Times New Roman" w:hAnsi="Times New Roman"/>
      <w:kern w:val="0"/>
    </w:rPr>
  </w:style>
  <w:style w:type="character" w:styleId="Strong">
    <w:name w:val="Strong"/>
    <w:basedOn w:val="DefaultParagraphFont"/>
    <w:uiPriority w:val="22"/>
    <w:qFormat/>
    <w:rsid w:val="008C20A3"/>
    <w:rPr>
      <w:rFonts w:cs="Times New Roman"/>
      <w:b/>
      <w:bCs/>
    </w:rPr>
  </w:style>
  <w:style w:type="character" w:styleId="Emphasis">
    <w:name w:val="Emphasis"/>
    <w:basedOn w:val="DefaultParagraphFont"/>
    <w:uiPriority w:val="20"/>
    <w:qFormat/>
    <w:rsid w:val="008C20A3"/>
    <w:rPr>
      <w:rFonts w:cs="Times New Roman"/>
      <w:i/>
      <w:iCs/>
    </w:rPr>
  </w:style>
  <w:style w:type="character" w:customStyle="1" w:styleId="t286pc">
    <w:name w:val="t286pc"/>
    <w:basedOn w:val="DefaultParagraphFont"/>
    <w:rsid w:val="005B3FC8"/>
    <w:rPr>
      <w:rFonts w:cs="Times New Roman"/>
    </w:rPr>
  </w:style>
  <w:style w:type="character" w:customStyle="1" w:styleId="vkekvd">
    <w:name w:val="vkekvd"/>
    <w:basedOn w:val="DefaultParagraphFont"/>
    <w:rsid w:val="005B3FC8"/>
    <w:rPr>
      <w:rFonts w:cs="Times New Roman"/>
    </w:rPr>
  </w:style>
  <w:style w:type="character" w:styleId="Hyperlink">
    <w:name w:val="Hyperlink"/>
    <w:basedOn w:val="DefaultParagraphFont"/>
    <w:uiPriority w:val="99"/>
    <w:unhideWhenUsed/>
    <w:rsid w:val="00DC0D6E"/>
    <w:rPr>
      <w:rFonts w:cs="Times New Roman"/>
      <w:color w:val="0000FF"/>
      <w:u w:val="single"/>
    </w:rPr>
  </w:style>
  <w:style w:type="paragraph" w:styleId="ListParagraph">
    <w:name w:val="List Paragraph"/>
    <w:basedOn w:val="Normal"/>
    <w:uiPriority w:val="34"/>
    <w:qFormat/>
    <w:rsid w:val="00A32FA6"/>
    <w:pPr>
      <w:ind w:left="720"/>
      <w:contextualSpacing/>
    </w:pPr>
  </w:style>
  <w:style w:type="character" w:customStyle="1" w:styleId="math-inline">
    <w:name w:val="math-inline"/>
    <w:basedOn w:val="DefaultParagraphFont"/>
    <w:rsid w:val="000C154F"/>
    <w:rPr>
      <w:rFonts w:cs="Times New Roman"/>
    </w:rPr>
  </w:style>
  <w:style w:type="character" w:customStyle="1" w:styleId="ms-1">
    <w:name w:val="ms-1"/>
    <w:basedOn w:val="DefaultParagraphFont"/>
    <w:rsid w:val="00995473"/>
    <w:rPr>
      <w:rFonts w:cs="Times New Roman"/>
    </w:rPr>
  </w:style>
  <w:style w:type="character" w:customStyle="1" w:styleId="max-w-15ch">
    <w:name w:val="max-w-[15ch]"/>
    <w:basedOn w:val="DefaultParagraphFont"/>
    <w:rsid w:val="00995473"/>
    <w:rPr>
      <w:rFonts w:cs="Times New Roman"/>
    </w:rPr>
  </w:style>
  <w:style w:type="character" w:customStyle="1" w:styleId="-me-1">
    <w:name w:val="-me-1"/>
    <w:basedOn w:val="DefaultParagraphFont"/>
    <w:rsid w:val="00995473"/>
    <w:rPr>
      <w:rFonts w:cs="Times New Roman"/>
    </w:rPr>
  </w:style>
  <w:style w:type="character" w:styleId="EndnoteReference">
    <w:name w:val="endnote reference"/>
    <w:basedOn w:val="DefaultParagraphFont"/>
    <w:uiPriority w:val="99"/>
    <w:semiHidden/>
    <w:unhideWhenUsed/>
    <w:rsid w:val="003457B2"/>
    <w:rPr>
      <w:rFonts w:cs="Times New Roman"/>
      <w:vertAlign w:val="superscript"/>
    </w:rPr>
  </w:style>
  <w:style w:type="table" w:styleId="TableGrid">
    <w:name w:val="Table Grid"/>
    <w:basedOn w:val="TableNormal"/>
    <w:uiPriority w:val="39"/>
    <w:rsid w:val="0039436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39436A"/>
    <w:pPr>
      <w:spacing w:after="0" w:line="240" w:lineRule="auto"/>
    </w:pPr>
    <w:rPr>
      <w:rFonts w:cs="Times New Roman"/>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rFonts w:cs="Times New Roman"/>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rFonts w:cs="Times New Roman"/>
        <w:b/>
        <w:bCs/>
      </w:rPr>
      <w:tblPr/>
      <w:tcPr>
        <w:tcBorders>
          <w:top w:val="double" w:sz="4" w:space="0" w:color="70AD47" w:themeColor="accent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2EFD9" w:themeFill="accent6" w:themeFillTint="33"/>
      </w:tcPr>
    </w:tblStylePr>
    <w:tblStylePr w:type="band1Horz">
      <w:rPr>
        <w:rFonts w:cs="Times New Roman"/>
      </w:rPr>
      <w:tblPr/>
      <w:tcPr>
        <w:shd w:val="clear" w:color="auto" w:fill="E2EFD9" w:themeFill="accent6" w:themeFillTint="33"/>
      </w:tcPr>
    </w:tblStylePr>
  </w:style>
  <w:style w:type="table" w:styleId="GridTable5Dark-Accent6">
    <w:name w:val="Grid Table 5 Dark Accent 6"/>
    <w:basedOn w:val="TableNormal"/>
    <w:uiPriority w:val="50"/>
    <w:rsid w:val="0039436A"/>
    <w:pPr>
      <w:spacing w:after="0" w:line="240" w:lineRule="auto"/>
    </w:pPr>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rPr>
        <w:rFonts w:cs="Times New Roman"/>
      </w:rPr>
      <w:tblPr/>
      <w:tcPr>
        <w:shd w:val="clear" w:color="auto" w:fill="C5E0B3" w:themeFill="accent6" w:themeFillTint="66"/>
      </w:tcPr>
    </w:tblStylePr>
    <w:tblStylePr w:type="band1Horz">
      <w:rPr>
        <w:rFonts w:cs="Times New Roman"/>
      </w:rPr>
      <w:tblPr/>
      <w:tcPr>
        <w:shd w:val="clear" w:color="auto" w:fill="C5E0B3" w:themeFill="accent6" w:themeFillTint="66"/>
      </w:tcPr>
    </w:tblStylePr>
  </w:style>
  <w:style w:type="paragraph" w:styleId="TOC4">
    <w:name w:val="toc 4"/>
    <w:basedOn w:val="Normal"/>
    <w:next w:val="Normal"/>
    <w:autoRedefine/>
    <w:uiPriority w:val="39"/>
    <w:unhideWhenUsed/>
    <w:rsid w:val="00772C78"/>
    <w:pPr>
      <w:widowControl w:val="0"/>
      <w:tabs>
        <w:tab w:val="right" w:leader="dot" w:pos="8896"/>
      </w:tabs>
      <w:autoSpaceDE w:val="0"/>
      <w:autoSpaceDN w:val="0"/>
      <w:spacing w:after="0" w:line="360" w:lineRule="auto"/>
      <w:ind w:firstLine="540"/>
      <w:jc w:val="both"/>
    </w:pPr>
    <w:rPr>
      <w:rFonts w:ascii="Garamond" w:hAnsi="Garamond"/>
      <w:kern w:val="0"/>
      <w:szCs w:val="22"/>
    </w:rPr>
  </w:style>
  <w:style w:type="paragraph" w:styleId="Header">
    <w:name w:val="header"/>
    <w:basedOn w:val="Normal"/>
    <w:link w:val="HeaderChar"/>
    <w:uiPriority w:val="99"/>
    <w:unhideWhenUsed/>
    <w:rsid w:val="00306E4F"/>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306E4F"/>
    <w:rPr>
      <w:rFonts w:cs="Times New Roman"/>
    </w:rPr>
  </w:style>
  <w:style w:type="paragraph" w:styleId="Footer">
    <w:name w:val="footer"/>
    <w:basedOn w:val="Normal"/>
    <w:link w:val="FooterChar"/>
    <w:uiPriority w:val="99"/>
    <w:unhideWhenUsed/>
    <w:rsid w:val="00306E4F"/>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306E4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8804153">
      <w:marLeft w:val="0"/>
      <w:marRight w:val="0"/>
      <w:marTop w:val="0"/>
      <w:marBottom w:val="0"/>
      <w:divBdr>
        <w:top w:val="none" w:sz="0" w:space="0" w:color="auto"/>
        <w:left w:val="none" w:sz="0" w:space="0" w:color="auto"/>
        <w:bottom w:val="none" w:sz="0" w:space="0" w:color="auto"/>
        <w:right w:val="none" w:sz="0" w:space="0" w:color="auto"/>
      </w:divBdr>
    </w:div>
    <w:div w:id="1638804154">
      <w:marLeft w:val="0"/>
      <w:marRight w:val="0"/>
      <w:marTop w:val="0"/>
      <w:marBottom w:val="0"/>
      <w:divBdr>
        <w:top w:val="none" w:sz="0" w:space="0" w:color="auto"/>
        <w:left w:val="none" w:sz="0" w:space="0" w:color="auto"/>
        <w:bottom w:val="none" w:sz="0" w:space="0" w:color="auto"/>
        <w:right w:val="none" w:sz="0" w:space="0" w:color="auto"/>
      </w:divBdr>
    </w:div>
    <w:div w:id="1638804156">
      <w:marLeft w:val="0"/>
      <w:marRight w:val="0"/>
      <w:marTop w:val="0"/>
      <w:marBottom w:val="0"/>
      <w:divBdr>
        <w:top w:val="none" w:sz="0" w:space="0" w:color="auto"/>
        <w:left w:val="none" w:sz="0" w:space="0" w:color="auto"/>
        <w:bottom w:val="none" w:sz="0" w:space="0" w:color="auto"/>
        <w:right w:val="none" w:sz="0" w:space="0" w:color="auto"/>
      </w:divBdr>
    </w:div>
    <w:div w:id="1638804158">
      <w:marLeft w:val="0"/>
      <w:marRight w:val="0"/>
      <w:marTop w:val="0"/>
      <w:marBottom w:val="0"/>
      <w:divBdr>
        <w:top w:val="none" w:sz="0" w:space="0" w:color="auto"/>
        <w:left w:val="none" w:sz="0" w:space="0" w:color="auto"/>
        <w:bottom w:val="none" w:sz="0" w:space="0" w:color="auto"/>
        <w:right w:val="none" w:sz="0" w:space="0" w:color="auto"/>
      </w:divBdr>
    </w:div>
    <w:div w:id="1638804160">
      <w:marLeft w:val="0"/>
      <w:marRight w:val="0"/>
      <w:marTop w:val="0"/>
      <w:marBottom w:val="0"/>
      <w:divBdr>
        <w:top w:val="none" w:sz="0" w:space="0" w:color="auto"/>
        <w:left w:val="none" w:sz="0" w:space="0" w:color="auto"/>
        <w:bottom w:val="none" w:sz="0" w:space="0" w:color="auto"/>
        <w:right w:val="none" w:sz="0" w:space="0" w:color="auto"/>
      </w:divBdr>
    </w:div>
    <w:div w:id="1638804161">
      <w:marLeft w:val="0"/>
      <w:marRight w:val="0"/>
      <w:marTop w:val="0"/>
      <w:marBottom w:val="0"/>
      <w:divBdr>
        <w:top w:val="none" w:sz="0" w:space="0" w:color="auto"/>
        <w:left w:val="none" w:sz="0" w:space="0" w:color="auto"/>
        <w:bottom w:val="none" w:sz="0" w:space="0" w:color="auto"/>
        <w:right w:val="none" w:sz="0" w:space="0" w:color="auto"/>
      </w:divBdr>
    </w:div>
    <w:div w:id="1638804162">
      <w:marLeft w:val="0"/>
      <w:marRight w:val="0"/>
      <w:marTop w:val="0"/>
      <w:marBottom w:val="0"/>
      <w:divBdr>
        <w:top w:val="none" w:sz="0" w:space="0" w:color="auto"/>
        <w:left w:val="none" w:sz="0" w:space="0" w:color="auto"/>
        <w:bottom w:val="none" w:sz="0" w:space="0" w:color="auto"/>
        <w:right w:val="none" w:sz="0" w:space="0" w:color="auto"/>
      </w:divBdr>
    </w:div>
    <w:div w:id="1638804164">
      <w:marLeft w:val="0"/>
      <w:marRight w:val="0"/>
      <w:marTop w:val="0"/>
      <w:marBottom w:val="0"/>
      <w:divBdr>
        <w:top w:val="none" w:sz="0" w:space="0" w:color="auto"/>
        <w:left w:val="none" w:sz="0" w:space="0" w:color="auto"/>
        <w:bottom w:val="none" w:sz="0" w:space="0" w:color="auto"/>
        <w:right w:val="none" w:sz="0" w:space="0" w:color="auto"/>
      </w:divBdr>
    </w:div>
    <w:div w:id="1638804165">
      <w:marLeft w:val="0"/>
      <w:marRight w:val="0"/>
      <w:marTop w:val="0"/>
      <w:marBottom w:val="0"/>
      <w:divBdr>
        <w:top w:val="none" w:sz="0" w:space="0" w:color="auto"/>
        <w:left w:val="none" w:sz="0" w:space="0" w:color="auto"/>
        <w:bottom w:val="none" w:sz="0" w:space="0" w:color="auto"/>
        <w:right w:val="none" w:sz="0" w:space="0" w:color="auto"/>
      </w:divBdr>
    </w:div>
    <w:div w:id="1638804166">
      <w:marLeft w:val="0"/>
      <w:marRight w:val="0"/>
      <w:marTop w:val="0"/>
      <w:marBottom w:val="0"/>
      <w:divBdr>
        <w:top w:val="none" w:sz="0" w:space="0" w:color="auto"/>
        <w:left w:val="none" w:sz="0" w:space="0" w:color="auto"/>
        <w:bottom w:val="none" w:sz="0" w:space="0" w:color="auto"/>
        <w:right w:val="none" w:sz="0" w:space="0" w:color="auto"/>
      </w:divBdr>
    </w:div>
    <w:div w:id="1638804167">
      <w:marLeft w:val="0"/>
      <w:marRight w:val="0"/>
      <w:marTop w:val="0"/>
      <w:marBottom w:val="0"/>
      <w:divBdr>
        <w:top w:val="none" w:sz="0" w:space="0" w:color="auto"/>
        <w:left w:val="none" w:sz="0" w:space="0" w:color="auto"/>
        <w:bottom w:val="none" w:sz="0" w:space="0" w:color="auto"/>
        <w:right w:val="none" w:sz="0" w:space="0" w:color="auto"/>
      </w:divBdr>
    </w:div>
    <w:div w:id="1638804168">
      <w:marLeft w:val="0"/>
      <w:marRight w:val="0"/>
      <w:marTop w:val="0"/>
      <w:marBottom w:val="0"/>
      <w:divBdr>
        <w:top w:val="none" w:sz="0" w:space="0" w:color="auto"/>
        <w:left w:val="none" w:sz="0" w:space="0" w:color="auto"/>
        <w:bottom w:val="none" w:sz="0" w:space="0" w:color="auto"/>
        <w:right w:val="none" w:sz="0" w:space="0" w:color="auto"/>
      </w:divBdr>
    </w:div>
    <w:div w:id="1638804169">
      <w:marLeft w:val="0"/>
      <w:marRight w:val="0"/>
      <w:marTop w:val="0"/>
      <w:marBottom w:val="0"/>
      <w:divBdr>
        <w:top w:val="none" w:sz="0" w:space="0" w:color="auto"/>
        <w:left w:val="none" w:sz="0" w:space="0" w:color="auto"/>
        <w:bottom w:val="none" w:sz="0" w:space="0" w:color="auto"/>
        <w:right w:val="none" w:sz="0" w:space="0" w:color="auto"/>
      </w:divBdr>
    </w:div>
    <w:div w:id="1638804170">
      <w:marLeft w:val="0"/>
      <w:marRight w:val="0"/>
      <w:marTop w:val="0"/>
      <w:marBottom w:val="0"/>
      <w:divBdr>
        <w:top w:val="none" w:sz="0" w:space="0" w:color="auto"/>
        <w:left w:val="none" w:sz="0" w:space="0" w:color="auto"/>
        <w:bottom w:val="none" w:sz="0" w:space="0" w:color="auto"/>
        <w:right w:val="none" w:sz="0" w:space="0" w:color="auto"/>
      </w:divBdr>
    </w:div>
    <w:div w:id="1638804171">
      <w:marLeft w:val="0"/>
      <w:marRight w:val="0"/>
      <w:marTop w:val="0"/>
      <w:marBottom w:val="0"/>
      <w:divBdr>
        <w:top w:val="none" w:sz="0" w:space="0" w:color="auto"/>
        <w:left w:val="none" w:sz="0" w:space="0" w:color="auto"/>
        <w:bottom w:val="none" w:sz="0" w:space="0" w:color="auto"/>
        <w:right w:val="none" w:sz="0" w:space="0" w:color="auto"/>
      </w:divBdr>
    </w:div>
    <w:div w:id="1638804174">
      <w:marLeft w:val="0"/>
      <w:marRight w:val="0"/>
      <w:marTop w:val="0"/>
      <w:marBottom w:val="0"/>
      <w:divBdr>
        <w:top w:val="none" w:sz="0" w:space="0" w:color="auto"/>
        <w:left w:val="none" w:sz="0" w:space="0" w:color="auto"/>
        <w:bottom w:val="none" w:sz="0" w:space="0" w:color="auto"/>
        <w:right w:val="none" w:sz="0" w:space="0" w:color="auto"/>
      </w:divBdr>
    </w:div>
    <w:div w:id="1638804175">
      <w:marLeft w:val="0"/>
      <w:marRight w:val="0"/>
      <w:marTop w:val="0"/>
      <w:marBottom w:val="0"/>
      <w:divBdr>
        <w:top w:val="none" w:sz="0" w:space="0" w:color="auto"/>
        <w:left w:val="none" w:sz="0" w:space="0" w:color="auto"/>
        <w:bottom w:val="none" w:sz="0" w:space="0" w:color="auto"/>
        <w:right w:val="none" w:sz="0" w:space="0" w:color="auto"/>
      </w:divBdr>
    </w:div>
    <w:div w:id="1638804177">
      <w:marLeft w:val="0"/>
      <w:marRight w:val="0"/>
      <w:marTop w:val="0"/>
      <w:marBottom w:val="0"/>
      <w:divBdr>
        <w:top w:val="none" w:sz="0" w:space="0" w:color="auto"/>
        <w:left w:val="none" w:sz="0" w:space="0" w:color="auto"/>
        <w:bottom w:val="none" w:sz="0" w:space="0" w:color="auto"/>
        <w:right w:val="none" w:sz="0" w:space="0" w:color="auto"/>
      </w:divBdr>
    </w:div>
    <w:div w:id="1638804178">
      <w:marLeft w:val="0"/>
      <w:marRight w:val="0"/>
      <w:marTop w:val="0"/>
      <w:marBottom w:val="0"/>
      <w:divBdr>
        <w:top w:val="none" w:sz="0" w:space="0" w:color="auto"/>
        <w:left w:val="none" w:sz="0" w:space="0" w:color="auto"/>
        <w:bottom w:val="none" w:sz="0" w:space="0" w:color="auto"/>
        <w:right w:val="none" w:sz="0" w:space="0" w:color="auto"/>
      </w:divBdr>
    </w:div>
    <w:div w:id="1638804179">
      <w:marLeft w:val="0"/>
      <w:marRight w:val="0"/>
      <w:marTop w:val="0"/>
      <w:marBottom w:val="0"/>
      <w:divBdr>
        <w:top w:val="none" w:sz="0" w:space="0" w:color="auto"/>
        <w:left w:val="none" w:sz="0" w:space="0" w:color="auto"/>
        <w:bottom w:val="none" w:sz="0" w:space="0" w:color="auto"/>
        <w:right w:val="none" w:sz="0" w:space="0" w:color="auto"/>
      </w:divBdr>
    </w:div>
    <w:div w:id="1638804180">
      <w:marLeft w:val="0"/>
      <w:marRight w:val="0"/>
      <w:marTop w:val="0"/>
      <w:marBottom w:val="0"/>
      <w:divBdr>
        <w:top w:val="none" w:sz="0" w:space="0" w:color="auto"/>
        <w:left w:val="none" w:sz="0" w:space="0" w:color="auto"/>
        <w:bottom w:val="none" w:sz="0" w:space="0" w:color="auto"/>
        <w:right w:val="none" w:sz="0" w:space="0" w:color="auto"/>
      </w:divBdr>
    </w:div>
    <w:div w:id="1638804181">
      <w:marLeft w:val="0"/>
      <w:marRight w:val="0"/>
      <w:marTop w:val="0"/>
      <w:marBottom w:val="0"/>
      <w:divBdr>
        <w:top w:val="none" w:sz="0" w:space="0" w:color="auto"/>
        <w:left w:val="none" w:sz="0" w:space="0" w:color="auto"/>
        <w:bottom w:val="none" w:sz="0" w:space="0" w:color="auto"/>
        <w:right w:val="none" w:sz="0" w:space="0" w:color="auto"/>
      </w:divBdr>
    </w:div>
    <w:div w:id="1638804182">
      <w:marLeft w:val="0"/>
      <w:marRight w:val="0"/>
      <w:marTop w:val="0"/>
      <w:marBottom w:val="0"/>
      <w:divBdr>
        <w:top w:val="none" w:sz="0" w:space="0" w:color="auto"/>
        <w:left w:val="none" w:sz="0" w:space="0" w:color="auto"/>
        <w:bottom w:val="none" w:sz="0" w:space="0" w:color="auto"/>
        <w:right w:val="none" w:sz="0" w:space="0" w:color="auto"/>
      </w:divBdr>
    </w:div>
    <w:div w:id="1638804183">
      <w:marLeft w:val="0"/>
      <w:marRight w:val="0"/>
      <w:marTop w:val="0"/>
      <w:marBottom w:val="0"/>
      <w:divBdr>
        <w:top w:val="none" w:sz="0" w:space="0" w:color="auto"/>
        <w:left w:val="none" w:sz="0" w:space="0" w:color="auto"/>
        <w:bottom w:val="none" w:sz="0" w:space="0" w:color="auto"/>
        <w:right w:val="none" w:sz="0" w:space="0" w:color="auto"/>
      </w:divBdr>
    </w:div>
    <w:div w:id="1638804185">
      <w:marLeft w:val="0"/>
      <w:marRight w:val="0"/>
      <w:marTop w:val="0"/>
      <w:marBottom w:val="0"/>
      <w:divBdr>
        <w:top w:val="none" w:sz="0" w:space="0" w:color="auto"/>
        <w:left w:val="none" w:sz="0" w:space="0" w:color="auto"/>
        <w:bottom w:val="none" w:sz="0" w:space="0" w:color="auto"/>
        <w:right w:val="none" w:sz="0" w:space="0" w:color="auto"/>
      </w:divBdr>
    </w:div>
    <w:div w:id="1638804186">
      <w:marLeft w:val="0"/>
      <w:marRight w:val="0"/>
      <w:marTop w:val="0"/>
      <w:marBottom w:val="0"/>
      <w:divBdr>
        <w:top w:val="none" w:sz="0" w:space="0" w:color="auto"/>
        <w:left w:val="none" w:sz="0" w:space="0" w:color="auto"/>
        <w:bottom w:val="none" w:sz="0" w:space="0" w:color="auto"/>
        <w:right w:val="none" w:sz="0" w:space="0" w:color="auto"/>
      </w:divBdr>
    </w:div>
    <w:div w:id="1638804187">
      <w:marLeft w:val="0"/>
      <w:marRight w:val="0"/>
      <w:marTop w:val="0"/>
      <w:marBottom w:val="0"/>
      <w:divBdr>
        <w:top w:val="none" w:sz="0" w:space="0" w:color="auto"/>
        <w:left w:val="none" w:sz="0" w:space="0" w:color="auto"/>
        <w:bottom w:val="none" w:sz="0" w:space="0" w:color="auto"/>
        <w:right w:val="none" w:sz="0" w:space="0" w:color="auto"/>
      </w:divBdr>
    </w:div>
    <w:div w:id="1638804188">
      <w:marLeft w:val="0"/>
      <w:marRight w:val="0"/>
      <w:marTop w:val="0"/>
      <w:marBottom w:val="0"/>
      <w:divBdr>
        <w:top w:val="none" w:sz="0" w:space="0" w:color="auto"/>
        <w:left w:val="none" w:sz="0" w:space="0" w:color="auto"/>
        <w:bottom w:val="none" w:sz="0" w:space="0" w:color="auto"/>
        <w:right w:val="none" w:sz="0" w:space="0" w:color="auto"/>
      </w:divBdr>
    </w:div>
    <w:div w:id="1638804190">
      <w:marLeft w:val="0"/>
      <w:marRight w:val="0"/>
      <w:marTop w:val="0"/>
      <w:marBottom w:val="0"/>
      <w:divBdr>
        <w:top w:val="none" w:sz="0" w:space="0" w:color="auto"/>
        <w:left w:val="none" w:sz="0" w:space="0" w:color="auto"/>
        <w:bottom w:val="none" w:sz="0" w:space="0" w:color="auto"/>
        <w:right w:val="none" w:sz="0" w:space="0" w:color="auto"/>
      </w:divBdr>
    </w:div>
    <w:div w:id="1638804191">
      <w:marLeft w:val="0"/>
      <w:marRight w:val="0"/>
      <w:marTop w:val="0"/>
      <w:marBottom w:val="0"/>
      <w:divBdr>
        <w:top w:val="none" w:sz="0" w:space="0" w:color="auto"/>
        <w:left w:val="none" w:sz="0" w:space="0" w:color="auto"/>
        <w:bottom w:val="none" w:sz="0" w:space="0" w:color="auto"/>
        <w:right w:val="none" w:sz="0" w:space="0" w:color="auto"/>
      </w:divBdr>
    </w:div>
    <w:div w:id="1638804192">
      <w:marLeft w:val="0"/>
      <w:marRight w:val="0"/>
      <w:marTop w:val="0"/>
      <w:marBottom w:val="0"/>
      <w:divBdr>
        <w:top w:val="none" w:sz="0" w:space="0" w:color="auto"/>
        <w:left w:val="none" w:sz="0" w:space="0" w:color="auto"/>
        <w:bottom w:val="none" w:sz="0" w:space="0" w:color="auto"/>
        <w:right w:val="none" w:sz="0" w:space="0" w:color="auto"/>
      </w:divBdr>
      <w:divsChild>
        <w:div w:id="1638804155">
          <w:marLeft w:val="0"/>
          <w:marRight w:val="0"/>
          <w:marTop w:val="0"/>
          <w:marBottom w:val="0"/>
          <w:divBdr>
            <w:top w:val="none" w:sz="0" w:space="0" w:color="auto"/>
            <w:left w:val="none" w:sz="0" w:space="0" w:color="auto"/>
            <w:bottom w:val="none" w:sz="0" w:space="0" w:color="auto"/>
            <w:right w:val="none" w:sz="0" w:space="0" w:color="auto"/>
          </w:divBdr>
        </w:div>
        <w:div w:id="1638804157">
          <w:marLeft w:val="0"/>
          <w:marRight w:val="0"/>
          <w:marTop w:val="0"/>
          <w:marBottom w:val="0"/>
          <w:divBdr>
            <w:top w:val="none" w:sz="0" w:space="0" w:color="auto"/>
            <w:left w:val="none" w:sz="0" w:space="0" w:color="auto"/>
            <w:bottom w:val="none" w:sz="0" w:space="0" w:color="auto"/>
            <w:right w:val="none" w:sz="0" w:space="0" w:color="auto"/>
          </w:divBdr>
        </w:div>
        <w:div w:id="1638804159">
          <w:marLeft w:val="0"/>
          <w:marRight w:val="0"/>
          <w:marTop w:val="0"/>
          <w:marBottom w:val="0"/>
          <w:divBdr>
            <w:top w:val="none" w:sz="0" w:space="0" w:color="auto"/>
            <w:left w:val="none" w:sz="0" w:space="0" w:color="auto"/>
            <w:bottom w:val="none" w:sz="0" w:space="0" w:color="auto"/>
            <w:right w:val="none" w:sz="0" w:space="0" w:color="auto"/>
          </w:divBdr>
        </w:div>
        <w:div w:id="1638804163">
          <w:marLeft w:val="0"/>
          <w:marRight w:val="0"/>
          <w:marTop w:val="0"/>
          <w:marBottom w:val="0"/>
          <w:divBdr>
            <w:top w:val="none" w:sz="0" w:space="0" w:color="auto"/>
            <w:left w:val="none" w:sz="0" w:space="0" w:color="auto"/>
            <w:bottom w:val="none" w:sz="0" w:space="0" w:color="auto"/>
            <w:right w:val="none" w:sz="0" w:space="0" w:color="auto"/>
          </w:divBdr>
        </w:div>
        <w:div w:id="1638804172">
          <w:marLeft w:val="0"/>
          <w:marRight w:val="0"/>
          <w:marTop w:val="0"/>
          <w:marBottom w:val="0"/>
          <w:divBdr>
            <w:top w:val="none" w:sz="0" w:space="0" w:color="auto"/>
            <w:left w:val="none" w:sz="0" w:space="0" w:color="auto"/>
            <w:bottom w:val="none" w:sz="0" w:space="0" w:color="auto"/>
            <w:right w:val="none" w:sz="0" w:space="0" w:color="auto"/>
          </w:divBdr>
        </w:div>
        <w:div w:id="1638804173">
          <w:marLeft w:val="0"/>
          <w:marRight w:val="0"/>
          <w:marTop w:val="0"/>
          <w:marBottom w:val="0"/>
          <w:divBdr>
            <w:top w:val="none" w:sz="0" w:space="0" w:color="auto"/>
            <w:left w:val="none" w:sz="0" w:space="0" w:color="auto"/>
            <w:bottom w:val="none" w:sz="0" w:space="0" w:color="auto"/>
            <w:right w:val="none" w:sz="0" w:space="0" w:color="auto"/>
          </w:divBdr>
        </w:div>
        <w:div w:id="1638804176">
          <w:marLeft w:val="0"/>
          <w:marRight w:val="0"/>
          <w:marTop w:val="0"/>
          <w:marBottom w:val="0"/>
          <w:divBdr>
            <w:top w:val="none" w:sz="0" w:space="0" w:color="auto"/>
            <w:left w:val="none" w:sz="0" w:space="0" w:color="auto"/>
            <w:bottom w:val="none" w:sz="0" w:space="0" w:color="auto"/>
            <w:right w:val="none" w:sz="0" w:space="0" w:color="auto"/>
          </w:divBdr>
        </w:div>
        <w:div w:id="1638804184">
          <w:marLeft w:val="0"/>
          <w:marRight w:val="0"/>
          <w:marTop w:val="0"/>
          <w:marBottom w:val="0"/>
          <w:divBdr>
            <w:top w:val="none" w:sz="0" w:space="0" w:color="auto"/>
            <w:left w:val="none" w:sz="0" w:space="0" w:color="auto"/>
            <w:bottom w:val="none" w:sz="0" w:space="0" w:color="auto"/>
            <w:right w:val="none" w:sz="0" w:space="0" w:color="auto"/>
          </w:divBdr>
        </w:div>
        <w:div w:id="1638804189">
          <w:marLeft w:val="0"/>
          <w:marRight w:val="0"/>
          <w:marTop w:val="0"/>
          <w:marBottom w:val="0"/>
          <w:divBdr>
            <w:top w:val="none" w:sz="0" w:space="0" w:color="auto"/>
            <w:left w:val="none" w:sz="0" w:space="0" w:color="auto"/>
            <w:bottom w:val="none" w:sz="0" w:space="0" w:color="auto"/>
            <w:right w:val="none" w:sz="0" w:space="0" w:color="auto"/>
          </w:divBdr>
        </w:div>
        <w:div w:id="1638804194">
          <w:marLeft w:val="0"/>
          <w:marRight w:val="0"/>
          <w:marTop w:val="0"/>
          <w:marBottom w:val="0"/>
          <w:divBdr>
            <w:top w:val="none" w:sz="0" w:space="0" w:color="auto"/>
            <w:left w:val="none" w:sz="0" w:space="0" w:color="auto"/>
            <w:bottom w:val="none" w:sz="0" w:space="0" w:color="auto"/>
            <w:right w:val="none" w:sz="0" w:space="0" w:color="auto"/>
          </w:divBdr>
        </w:div>
        <w:div w:id="1638804207">
          <w:marLeft w:val="0"/>
          <w:marRight w:val="0"/>
          <w:marTop w:val="0"/>
          <w:marBottom w:val="0"/>
          <w:divBdr>
            <w:top w:val="none" w:sz="0" w:space="0" w:color="auto"/>
            <w:left w:val="none" w:sz="0" w:space="0" w:color="auto"/>
            <w:bottom w:val="none" w:sz="0" w:space="0" w:color="auto"/>
            <w:right w:val="none" w:sz="0" w:space="0" w:color="auto"/>
          </w:divBdr>
        </w:div>
      </w:divsChild>
    </w:div>
    <w:div w:id="1638804193">
      <w:marLeft w:val="0"/>
      <w:marRight w:val="0"/>
      <w:marTop w:val="0"/>
      <w:marBottom w:val="0"/>
      <w:divBdr>
        <w:top w:val="none" w:sz="0" w:space="0" w:color="auto"/>
        <w:left w:val="none" w:sz="0" w:space="0" w:color="auto"/>
        <w:bottom w:val="none" w:sz="0" w:space="0" w:color="auto"/>
        <w:right w:val="none" w:sz="0" w:space="0" w:color="auto"/>
      </w:divBdr>
    </w:div>
    <w:div w:id="1638804195">
      <w:marLeft w:val="0"/>
      <w:marRight w:val="0"/>
      <w:marTop w:val="0"/>
      <w:marBottom w:val="0"/>
      <w:divBdr>
        <w:top w:val="none" w:sz="0" w:space="0" w:color="auto"/>
        <w:left w:val="none" w:sz="0" w:space="0" w:color="auto"/>
        <w:bottom w:val="none" w:sz="0" w:space="0" w:color="auto"/>
        <w:right w:val="none" w:sz="0" w:space="0" w:color="auto"/>
      </w:divBdr>
    </w:div>
    <w:div w:id="1638804196">
      <w:marLeft w:val="0"/>
      <w:marRight w:val="0"/>
      <w:marTop w:val="0"/>
      <w:marBottom w:val="0"/>
      <w:divBdr>
        <w:top w:val="none" w:sz="0" w:space="0" w:color="auto"/>
        <w:left w:val="none" w:sz="0" w:space="0" w:color="auto"/>
        <w:bottom w:val="none" w:sz="0" w:space="0" w:color="auto"/>
        <w:right w:val="none" w:sz="0" w:space="0" w:color="auto"/>
      </w:divBdr>
    </w:div>
    <w:div w:id="1638804197">
      <w:marLeft w:val="0"/>
      <w:marRight w:val="0"/>
      <w:marTop w:val="0"/>
      <w:marBottom w:val="0"/>
      <w:divBdr>
        <w:top w:val="none" w:sz="0" w:space="0" w:color="auto"/>
        <w:left w:val="none" w:sz="0" w:space="0" w:color="auto"/>
        <w:bottom w:val="none" w:sz="0" w:space="0" w:color="auto"/>
        <w:right w:val="none" w:sz="0" w:space="0" w:color="auto"/>
      </w:divBdr>
    </w:div>
    <w:div w:id="1638804198">
      <w:marLeft w:val="0"/>
      <w:marRight w:val="0"/>
      <w:marTop w:val="0"/>
      <w:marBottom w:val="0"/>
      <w:divBdr>
        <w:top w:val="none" w:sz="0" w:space="0" w:color="auto"/>
        <w:left w:val="none" w:sz="0" w:space="0" w:color="auto"/>
        <w:bottom w:val="none" w:sz="0" w:space="0" w:color="auto"/>
        <w:right w:val="none" w:sz="0" w:space="0" w:color="auto"/>
      </w:divBdr>
    </w:div>
    <w:div w:id="1638804199">
      <w:marLeft w:val="0"/>
      <w:marRight w:val="0"/>
      <w:marTop w:val="0"/>
      <w:marBottom w:val="0"/>
      <w:divBdr>
        <w:top w:val="none" w:sz="0" w:space="0" w:color="auto"/>
        <w:left w:val="none" w:sz="0" w:space="0" w:color="auto"/>
        <w:bottom w:val="none" w:sz="0" w:space="0" w:color="auto"/>
        <w:right w:val="none" w:sz="0" w:space="0" w:color="auto"/>
      </w:divBdr>
    </w:div>
    <w:div w:id="1638804200">
      <w:marLeft w:val="0"/>
      <w:marRight w:val="0"/>
      <w:marTop w:val="0"/>
      <w:marBottom w:val="0"/>
      <w:divBdr>
        <w:top w:val="none" w:sz="0" w:space="0" w:color="auto"/>
        <w:left w:val="none" w:sz="0" w:space="0" w:color="auto"/>
        <w:bottom w:val="none" w:sz="0" w:space="0" w:color="auto"/>
        <w:right w:val="none" w:sz="0" w:space="0" w:color="auto"/>
      </w:divBdr>
    </w:div>
    <w:div w:id="1638804201">
      <w:marLeft w:val="0"/>
      <w:marRight w:val="0"/>
      <w:marTop w:val="0"/>
      <w:marBottom w:val="0"/>
      <w:divBdr>
        <w:top w:val="none" w:sz="0" w:space="0" w:color="auto"/>
        <w:left w:val="none" w:sz="0" w:space="0" w:color="auto"/>
        <w:bottom w:val="none" w:sz="0" w:space="0" w:color="auto"/>
        <w:right w:val="none" w:sz="0" w:space="0" w:color="auto"/>
      </w:divBdr>
    </w:div>
    <w:div w:id="1638804202">
      <w:marLeft w:val="0"/>
      <w:marRight w:val="0"/>
      <w:marTop w:val="0"/>
      <w:marBottom w:val="0"/>
      <w:divBdr>
        <w:top w:val="none" w:sz="0" w:space="0" w:color="auto"/>
        <w:left w:val="none" w:sz="0" w:space="0" w:color="auto"/>
        <w:bottom w:val="none" w:sz="0" w:space="0" w:color="auto"/>
        <w:right w:val="none" w:sz="0" w:space="0" w:color="auto"/>
      </w:divBdr>
    </w:div>
    <w:div w:id="1638804203">
      <w:marLeft w:val="0"/>
      <w:marRight w:val="0"/>
      <w:marTop w:val="0"/>
      <w:marBottom w:val="0"/>
      <w:divBdr>
        <w:top w:val="none" w:sz="0" w:space="0" w:color="auto"/>
        <w:left w:val="none" w:sz="0" w:space="0" w:color="auto"/>
        <w:bottom w:val="none" w:sz="0" w:space="0" w:color="auto"/>
        <w:right w:val="none" w:sz="0" w:space="0" w:color="auto"/>
      </w:divBdr>
    </w:div>
    <w:div w:id="1638804204">
      <w:marLeft w:val="0"/>
      <w:marRight w:val="0"/>
      <w:marTop w:val="0"/>
      <w:marBottom w:val="0"/>
      <w:divBdr>
        <w:top w:val="none" w:sz="0" w:space="0" w:color="auto"/>
        <w:left w:val="none" w:sz="0" w:space="0" w:color="auto"/>
        <w:bottom w:val="none" w:sz="0" w:space="0" w:color="auto"/>
        <w:right w:val="none" w:sz="0" w:space="0" w:color="auto"/>
      </w:divBdr>
    </w:div>
    <w:div w:id="1638804205">
      <w:marLeft w:val="0"/>
      <w:marRight w:val="0"/>
      <w:marTop w:val="0"/>
      <w:marBottom w:val="0"/>
      <w:divBdr>
        <w:top w:val="none" w:sz="0" w:space="0" w:color="auto"/>
        <w:left w:val="none" w:sz="0" w:space="0" w:color="auto"/>
        <w:bottom w:val="none" w:sz="0" w:space="0" w:color="auto"/>
        <w:right w:val="none" w:sz="0" w:space="0" w:color="auto"/>
      </w:divBdr>
    </w:div>
    <w:div w:id="1638804206">
      <w:marLeft w:val="0"/>
      <w:marRight w:val="0"/>
      <w:marTop w:val="0"/>
      <w:marBottom w:val="0"/>
      <w:divBdr>
        <w:top w:val="none" w:sz="0" w:space="0" w:color="auto"/>
        <w:left w:val="none" w:sz="0" w:space="0" w:color="auto"/>
        <w:bottom w:val="none" w:sz="0" w:space="0" w:color="auto"/>
        <w:right w:val="none" w:sz="0" w:space="0" w:color="auto"/>
      </w:divBdr>
    </w:div>
    <w:div w:id="163880420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salsabila_ima@yahoo.co.id/Orc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i.org/10.47268/sasi.v30i3.2277" TargetMode="External"/><Relationship Id="rId4" Type="http://schemas.openxmlformats.org/officeDocument/2006/relationships/settings" Target="settings.xml"/><Relationship Id="rId9" Type="http://schemas.openxmlformats.org/officeDocument/2006/relationships/hyperlink" Target="https://kbbi.web.id/"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kbbi.web.id/" TargetMode="External"/><Relationship Id="rId1" Type="http://schemas.openxmlformats.org/officeDocument/2006/relationships/hyperlink" Target="https://doi.org/10.47268/sasi.v30i3.22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C9097307-BEC5-46DC-8ABF-9308E68A6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20</Pages>
  <Words>6097</Words>
  <Characters>34758</Characters>
  <Application>Microsoft Office Word</Application>
  <DocSecurity>0</DocSecurity>
  <Lines>289</Lines>
  <Paragraphs>81</Paragraphs>
  <ScaleCrop>false</ScaleCrop>
  <Company/>
  <LinksUpToDate>false</LinksUpToDate>
  <CharactersWithSpaces>40774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NAIMAH</dc:creator>
  <cp:keywords/>
  <dc:description/>
  <cp:lastModifiedBy>NAIMAH</cp:lastModifiedBy>
  <cp:revision>3</cp:revision>
  <cp:lastPrinted>2025-12-06T11:00:00Z</cp:lastPrinted>
  <dcterms:created xsi:type="dcterms:W3CDTF">2026-01-02T05:10:00Z</dcterms:created>
  <dcterms:modified xsi:type="dcterms:W3CDTF">2026-01-02T05:29:00Z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 (in-text citations)</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beb2c856-ccb4-373c-a9c1-8a23ab8a4388</vt:lpwstr>
  </property>
  <property fmtid="{D5CDD505-2E9C-101B-9397-08002B2CF9AE}" pid="24" name="Mendeley Citation Style_1">
    <vt:lpwstr>http://www.zotero.org/styles/modern-humanities-research-association</vt:lpwstr>
  </property>
</Properties>
</file>