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124B1" w14:textId="77777777" w:rsidR="00CD6691" w:rsidRDefault="00CD6691" w:rsidP="00F93817">
      <w:pPr>
        <w:pStyle w:val="IEEETitle"/>
        <w:rPr>
          <w:rFonts w:ascii="Book Antiqua" w:hAnsi="Book Antiqua"/>
          <w:b/>
          <w:bCs/>
          <w:sz w:val="28"/>
          <w:szCs w:val="28"/>
        </w:rPr>
      </w:pPr>
      <w:r w:rsidRPr="00CD6691">
        <w:rPr>
          <w:rFonts w:ascii="Book Antiqua" w:hAnsi="Book Antiqua"/>
          <w:b/>
          <w:bCs/>
          <w:sz w:val="28"/>
          <w:szCs w:val="28"/>
        </w:rPr>
        <w:t xml:space="preserve">The Comparative Analysis of Islamic and </w:t>
      </w:r>
      <w:bookmarkStart w:id="0" w:name="OLE_LINK8"/>
      <w:r w:rsidRPr="00CD6691">
        <w:rPr>
          <w:rFonts w:ascii="Book Antiqua" w:hAnsi="Book Antiqua"/>
          <w:b/>
          <w:bCs/>
          <w:sz w:val="28"/>
          <w:szCs w:val="28"/>
        </w:rPr>
        <w:t xml:space="preserve">Conventional </w:t>
      </w:r>
    </w:p>
    <w:p w14:paraId="593CE6FC" w14:textId="23FCF21E" w:rsidR="00D41274" w:rsidRPr="00346750" w:rsidRDefault="00CD6691" w:rsidP="00F93817">
      <w:pPr>
        <w:pStyle w:val="IEEETitle"/>
        <w:rPr>
          <w:rFonts w:ascii="Book Antiqua" w:hAnsi="Book Antiqua"/>
          <w:b/>
          <w:bCs/>
          <w:color w:val="FF0000"/>
          <w:sz w:val="28"/>
          <w:szCs w:val="28"/>
        </w:rPr>
      </w:pPr>
      <w:r w:rsidRPr="00CD6691">
        <w:rPr>
          <w:rFonts w:ascii="Book Antiqua" w:hAnsi="Book Antiqua"/>
          <w:b/>
          <w:bCs/>
          <w:sz w:val="28"/>
          <w:szCs w:val="28"/>
        </w:rPr>
        <w:t>Monetary Financial System</w:t>
      </w:r>
    </w:p>
    <w:p w14:paraId="1076404B" w14:textId="711063EC" w:rsidR="00346750" w:rsidRPr="00A77B23" w:rsidRDefault="00346750" w:rsidP="00F93817">
      <w:pPr>
        <w:pStyle w:val="IEEEAuthorName"/>
        <w:spacing w:before="0" w:after="0"/>
        <w:rPr>
          <w:rFonts w:ascii="Book Antiqua" w:hAnsi="Book Antiqua"/>
          <w:color w:val="4472C4"/>
          <w:sz w:val="24"/>
          <w:lang w:val="en-AU" w:eastAsia="zh-CN"/>
        </w:rPr>
      </w:pPr>
      <w:bookmarkStart w:id="1" w:name="OLE_LINK3"/>
      <w:bookmarkEnd w:id="0"/>
    </w:p>
    <w:bookmarkEnd w:id="1"/>
    <w:p w14:paraId="238D428F" w14:textId="41A35EDF" w:rsidR="006940EA" w:rsidRPr="00F93817" w:rsidRDefault="00CD6691" w:rsidP="00F6637C">
      <w:pPr>
        <w:pStyle w:val="IEEEAuthorName"/>
        <w:spacing w:before="0" w:after="0"/>
        <w:rPr>
          <w:rFonts w:ascii="Book Antiqua" w:hAnsi="Book Antiqua"/>
          <w:b/>
          <w:bCs/>
          <w:i/>
          <w:iCs/>
          <w:sz w:val="20"/>
          <w:szCs w:val="20"/>
        </w:rPr>
      </w:pPr>
      <w:proofErr w:type="spellStart"/>
      <w:r w:rsidRPr="00CD6691">
        <w:rPr>
          <w:rFonts w:ascii="Book Antiqua" w:hAnsi="Book Antiqua"/>
          <w:b/>
          <w:bCs/>
          <w:i/>
          <w:iCs/>
          <w:sz w:val="20"/>
          <w:szCs w:val="20"/>
        </w:rPr>
        <w:t>Zuraidah</w:t>
      </w:r>
      <w:proofErr w:type="spellEnd"/>
      <w:r w:rsidR="00C4611D">
        <w:rPr>
          <w:rFonts w:ascii="Book Antiqua" w:hAnsi="Book Antiqua"/>
          <w:b/>
          <w:bCs/>
          <w:i/>
          <w:iCs/>
          <w:sz w:val="20"/>
          <w:szCs w:val="20"/>
        </w:rPr>
        <w:t>*</w:t>
      </w:r>
    </w:p>
    <w:p w14:paraId="6A5E9E7F" w14:textId="510121F3" w:rsidR="00F93817" w:rsidRPr="00CD6691" w:rsidRDefault="00CD6691" w:rsidP="00CD6691">
      <w:pPr>
        <w:kinsoku w:val="0"/>
        <w:overflowPunct w:val="0"/>
        <w:autoSpaceDE w:val="0"/>
        <w:autoSpaceDN w:val="0"/>
        <w:jc w:val="center"/>
        <w:rPr>
          <w:rFonts w:ascii="Book Antiqua" w:hAnsi="Book Antiqua"/>
          <w:bCs/>
          <w:color w:val="FF0000"/>
          <w:sz w:val="20"/>
          <w:szCs w:val="20"/>
        </w:rPr>
      </w:pPr>
      <w:proofErr w:type="spellStart"/>
      <w:r>
        <w:rPr>
          <w:rFonts w:ascii="Book Antiqua" w:eastAsia="Calibri" w:hAnsi="Book Antiqua"/>
          <w:bCs/>
          <w:i/>
          <w:iCs/>
          <w:sz w:val="20"/>
          <w:szCs w:val="20"/>
          <w:lang w:val="en-US"/>
        </w:rPr>
        <w:t>UIN</w:t>
      </w:r>
      <w:proofErr w:type="spellEnd"/>
      <w:r>
        <w:rPr>
          <w:rFonts w:ascii="Book Antiqua" w:eastAsia="Calibri" w:hAnsi="Book Antiqua"/>
          <w:bCs/>
          <w:i/>
          <w:iCs/>
          <w:sz w:val="20"/>
          <w:szCs w:val="20"/>
          <w:lang w:val="en-US"/>
        </w:rPr>
        <w:t xml:space="preserve"> Maulana Malik Ibrahim Malang, Indonesia</w:t>
      </w:r>
    </w:p>
    <w:p w14:paraId="772D792A" w14:textId="0B75CAF1" w:rsidR="00F93817" w:rsidRPr="00F93817" w:rsidRDefault="00F93817" w:rsidP="00F93817">
      <w:pPr>
        <w:tabs>
          <w:tab w:val="left" w:pos="1740"/>
        </w:tabs>
        <w:kinsoku w:val="0"/>
        <w:overflowPunct w:val="0"/>
        <w:autoSpaceDE w:val="0"/>
        <w:autoSpaceDN w:val="0"/>
        <w:jc w:val="center"/>
        <w:rPr>
          <w:rFonts w:ascii="Book Antiqua" w:hAnsi="Book Antiqua"/>
          <w:bCs/>
          <w:sz w:val="20"/>
          <w:szCs w:val="20"/>
          <w:lang w:val="en-US"/>
        </w:rPr>
      </w:pPr>
      <w:bookmarkStart w:id="2" w:name="OLE_LINK6"/>
      <w:r w:rsidRPr="00F93817">
        <w:rPr>
          <w:rFonts w:ascii="Book Antiqua" w:hAnsi="Book Antiqua"/>
          <w:i/>
          <w:iCs/>
          <w:sz w:val="20"/>
          <w:szCs w:val="20"/>
          <w:lang w:val="en-US" w:eastAsia="en-US"/>
        </w:rPr>
        <w:t>*Corresponding Author</w:t>
      </w:r>
      <w:r w:rsidRPr="00F6637C">
        <w:rPr>
          <w:rFonts w:ascii="Book Antiqua" w:hAnsi="Book Antiqua"/>
          <w:i/>
          <w:iCs/>
          <w:sz w:val="20"/>
          <w:szCs w:val="20"/>
          <w:lang w:val="en-US" w:eastAsia="en-US"/>
        </w:rPr>
        <w:t xml:space="preserve">: </w:t>
      </w:r>
      <w:hyperlink r:id="rId9" w:history="1">
        <w:proofErr w:type="spellStart"/>
        <w:r w:rsidR="00CD6691" w:rsidRPr="00CD6691">
          <w:rPr>
            <w:rStyle w:val="Hyperlink"/>
            <w:rFonts w:ascii="Book Antiqua" w:hAnsi="Book Antiqua"/>
            <w:i/>
            <w:iCs/>
            <w:color w:val="auto"/>
            <w:sz w:val="20"/>
            <w:szCs w:val="20"/>
            <w:u w:val="none"/>
          </w:rPr>
          <w:t>zuraidah@akuntansi.uin-malang.ac.id</w:t>
        </w:r>
        <w:proofErr w:type="spellEnd"/>
      </w:hyperlink>
    </w:p>
    <w:p w14:paraId="268E2EDB" w14:textId="49136670" w:rsidR="00F6637C" w:rsidRDefault="00F6637C" w:rsidP="00F6637C">
      <w:pPr>
        <w:pStyle w:val="IEEEAuthorName"/>
        <w:spacing w:before="0" w:after="0"/>
        <w:rPr>
          <w:rFonts w:ascii="Book Antiqua" w:hAnsi="Book Antiqua"/>
          <w:color w:val="4472C4"/>
          <w:sz w:val="24"/>
          <w:lang w:val="en-AU" w:eastAsia="zh-CN"/>
        </w:rPr>
      </w:pPr>
      <w:bookmarkStart w:id="3" w:name="OLE_LINK11"/>
      <w:bookmarkStart w:id="4" w:name="OLE_LINK12"/>
      <w:bookmarkEnd w:id="2"/>
    </w:p>
    <w:bookmarkEnd w:id="3"/>
    <w:bookmarkEnd w:id="4"/>
    <w:p w14:paraId="37A83EEE" w14:textId="29DD1B39" w:rsidR="0017463A" w:rsidRPr="0017463A" w:rsidRDefault="0017463A" w:rsidP="0017463A">
      <w:pPr>
        <w:shd w:val="clear" w:color="auto" w:fill="FFFFFF"/>
        <w:rPr>
          <w:rFonts w:ascii="Book Antiqua" w:hAnsi="Book Antiqua"/>
          <w:i/>
          <w:iCs/>
          <w:sz w:val="20"/>
          <w:szCs w:val="20"/>
        </w:rPr>
        <w:sectPr w:rsidR="0017463A" w:rsidRPr="0017463A" w:rsidSect="005624F7">
          <w:headerReference w:type="default" r:id="rId10"/>
          <w:footerReference w:type="default" r:id="rId11"/>
          <w:pgSz w:w="11906" w:h="16838"/>
          <w:pgMar w:top="1985" w:right="1701" w:bottom="1985" w:left="1701" w:header="360" w:footer="706" w:gutter="0"/>
          <w:cols w:space="708"/>
          <w:docGrid w:linePitch="360"/>
        </w:sectPr>
      </w:pPr>
    </w:p>
    <w:p w14:paraId="4C831337" w14:textId="23E87EB3" w:rsidR="00F6637C" w:rsidRDefault="00D41274" w:rsidP="00346750">
      <w:pPr>
        <w:pStyle w:val="IEEEAbtract"/>
        <w:rPr>
          <w:rFonts w:ascii="Book Antiqua" w:hAnsi="Book Antiqua"/>
          <w:b w:val="0"/>
          <w:sz w:val="22"/>
          <w:szCs w:val="22"/>
        </w:rPr>
      </w:pPr>
      <w:r w:rsidRPr="005624F7">
        <w:rPr>
          <w:rStyle w:val="IEEEAbstractHeadingChar"/>
          <w:rFonts w:ascii="Book Antiqua" w:hAnsi="Book Antiqua"/>
          <w:b/>
          <w:bCs/>
          <w:sz w:val="20"/>
          <w:szCs w:val="20"/>
        </w:rPr>
        <w:t>Ab</w:t>
      </w:r>
      <w:r w:rsidR="0064799C" w:rsidRPr="005624F7">
        <w:rPr>
          <w:rStyle w:val="IEEEAbstractHeadingChar"/>
          <w:rFonts w:ascii="Book Antiqua" w:hAnsi="Book Antiqua"/>
          <w:b/>
          <w:bCs/>
          <w:sz w:val="20"/>
          <w:szCs w:val="20"/>
        </w:rPr>
        <w:t>s</w:t>
      </w:r>
      <w:r w:rsidRPr="005624F7">
        <w:rPr>
          <w:rStyle w:val="IEEEAbstractHeadingChar"/>
          <w:rFonts w:ascii="Book Antiqua" w:hAnsi="Book Antiqua"/>
          <w:b/>
          <w:bCs/>
          <w:sz w:val="20"/>
          <w:szCs w:val="20"/>
        </w:rPr>
        <w:t>tract</w:t>
      </w:r>
      <w:r w:rsidR="00F6637C" w:rsidRPr="005624F7">
        <w:rPr>
          <w:rStyle w:val="IEEEAbstractHeadingChar"/>
          <w:rFonts w:ascii="Book Antiqua" w:hAnsi="Book Antiqua"/>
          <w:sz w:val="20"/>
          <w:szCs w:val="20"/>
        </w:rPr>
        <w:t>:</w:t>
      </w:r>
    </w:p>
    <w:p w14:paraId="5B850E41" w14:textId="70931D2D" w:rsidR="00D41274" w:rsidRPr="00F6637C" w:rsidRDefault="00CD6691" w:rsidP="00346750">
      <w:pPr>
        <w:pStyle w:val="IEEEAbtract"/>
        <w:rPr>
          <w:rFonts w:ascii="Book Antiqua" w:hAnsi="Book Antiqua"/>
          <w:b w:val="0"/>
          <w:i/>
          <w:iCs/>
          <w:sz w:val="20"/>
          <w:szCs w:val="20"/>
        </w:rPr>
      </w:pPr>
      <w:bookmarkStart w:id="7" w:name="OLE_LINK9"/>
      <w:bookmarkStart w:id="8" w:name="OLE_LINK10"/>
      <w:r w:rsidRPr="00CD6691">
        <w:rPr>
          <w:rFonts w:ascii="Book Antiqua" w:eastAsia="Calibri" w:hAnsi="Book Antiqua"/>
          <w:b w:val="0"/>
          <w:i/>
          <w:iCs/>
          <w:sz w:val="20"/>
          <w:szCs w:val="20"/>
          <w:lang w:val="en-US" w:eastAsia="en-US"/>
        </w:rPr>
        <w:t xml:space="preserve">This article aims to analyze the uniqueness of Islamic financial instruments compared to conventional financial instruments and to find out what distinguishes the Islamic monetary framework from the standard monetary framework. The advantages and disadvantages of Islamic and traditional monetary frameworks are also discussed in this paper. This paper uses a writing concentrate approach by collecting information from the analytical writing in question. The side effects of the review suggest that the Islamic Monetary Framework is developing rapidly, playing its part in allocating assets and working on the turn of financial events, and implementing Islamic banking. The results also show that the advantages of Islamic </w:t>
      </w:r>
      <w:r w:rsidR="00CC210E">
        <w:rPr>
          <w:rFonts w:ascii="Book Antiqua" w:eastAsia="Calibri" w:hAnsi="Book Antiqua"/>
          <w:b w:val="0"/>
          <w:i/>
          <w:iCs/>
          <w:sz w:val="20"/>
          <w:szCs w:val="20"/>
          <w:lang w:val="en-US" w:eastAsia="en-US"/>
        </w:rPr>
        <w:t>finance</w:t>
      </w:r>
      <w:r w:rsidRPr="00CD6691">
        <w:rPr>
          <w:rFonts w:ascii="Book Antiqua" w:eastAsia="Calibri" w:hAnsi="Book Antiqua"/>
          <w:b w:val="0"/>
          <w:i/>
          <w:iCs/>
          <w:sz w:val="20"/>
          <w:szCs w:val="20"/>
          <w:lang w:val="en-US" w:eastAsia="en-US"/>
        </w:rPr>
        <w:t xml:space="preserve"> can survive despite different monetary emergencies. The progress of Indonesian Islamic Banking evidences it compared to traditional banks.</w:t>
      </w:r>
      <w:bookmarkEnd w:id="7"/>
      <w:bookmarkEnd w:id="8"/>
    </w:p>
    <w:p w14:paraId="1A80B553" w14:textId="622DBF5A" w:rsidR="00920C7B" w:rsidRDefault="00920C7B" w:rsidP="00920C7B">
      <w:pPr>
        <w:pStyle w:val="IEEEAuthorName"/>
        <w:spacing w:before="0" w:after="0"/>
        <w:rPr>
          <w:rFonts w:ascii="Book Antiqua" w:hAnsi="Book Antiqua"/>
          <w:color w:val="4472C4"/>
          <w:sz w:val="24"/>
          <w:lang w:val="en-AU" w:eastAsia="zh-CN"/>
        </w:rPr>
      </w:pPr>
    </w:p>
    <w:p w14:paraId="56B8DF3B" w14:textId="6F029778" w:rsidR="00920C7B" w:rsidRPr="00920C7B" w:rsidRDefault="009D3C51" w:rsidP="00346750">
      <w:pPr>
        <w:pStyle w:val="IEEEAbtract"/>
        <w:rPr>
          <w:rFonts w:ascii="Book Antiqua" w:hAnsi="Book Antiqua"/>
          <w:b w:val="0"/>
          <w:sz w:val="22"/>
          <w:szCs w:val="22"/>
        </w:rPr>
      </w:pPr>
      <w:r w:rsidRPr="006E0692">
        <w:rPr>
          <w:rStyle w:val="IEEEAbstractHeadingChar"/>
          <w:rFonts w:ascii="Book Antiqua" w:hAnsi="Book Antiqua"/>
          <w:b/>
          <w:bCs/>
          <w:i w:val="0"/>
          <w:sz w:val="20"/>
          <w:szCs w:val="20"/>
        </w:rPr>
        <w:t>Keywords</w:t>
      </w:r>
      <w:r w:rsidR="00737982" w:rsidRPr="00737982">
        <w:rPr>
          <w:rFonts w:ascii="Book Antiqua" w:hAnsi="Book Antiqua"/>
          <w:b w:val="0"/>
          <w:iCs/>
          <w:sz w:val="20"/>
          <w:szCs w:val="20"/>
        </w:rPr>
        <w:t>:</w:t>
      </w:r>
      <w:r w:rsidR="00920C7B" w:rsidRPr="00737982">
        <w:rPr>
          <w:rFonts w:ascii="Book Antiqua" w:hAnsi="Book Antiqua"/>
          <w:b w:val="0"/>
          <w:iCs/>
          <w:sz w:val="22"/>
          <w:szCs w:val="22"/>
        </w:rPr>
        <w:t xml:space="preserve"> </w:t>
      </w:r>
      <w:bookmarkStart w:id="9" w:name="OLE_LINK21"/>
      <w:bookmarkStart w:id="10" w:name="OLE_LINK22"/>
      <w:r w:rsidR="00EB7CF5">
        <w:rPr>
          <w:rFonts w:ascii="Book Antiqua" w:hAnsi="Book Antiqua"/>
          <w:b w:val="0"/>
          <w:iCs/>
          <w:sz w:val="20"/>
          <w:szCs w:val="20"/>
        </w:rPr>
        <w:t>I</w:t>
      </w:r>
      <w:r w:rsidR="00EB7CF5" w:rsidRPr="00CD6691">
        <w:rPr>
          <w:rFonts w:ascii="Book Antiqua" w:hAnsi="Book Antiqua"/>
          <w:b w:val="0"/>
          <w:iCs/>
          <w:sz w:val="20"/>
          <w:szCs w:val="20"/>
        </w:rPr>
        <w:t>slamic</w:t>
      </w:r>
      <w:r w:rsidR="00CD6691" w:rsidRPr="00CD6691">
        <w:rPr>
          <w:rFonts w:ascii="Book Antiqua" w:hAnsi="Book Antiqua"/>
          <w:b w:val="0"/>
          <w:iCs/>
          <w:sz w:val="20"/>
          <w:szCs w:val="20"/>
        </w:rPr>
        <w:t xml:space="preserve"> </w:t>
      </w:r>
      <w:r w:rsidR="00A71991">
        <w:rPr>
          <w:rFonts w:ascii="Book Antiqua" w:hAnsi="Book Antiqua"/>
          <w:b w:val="0"/>
          <w:iCs/>
          <w:sz w:val="20"/>
          <w:szCs w:val="20"/>
        </w:rPr>
        <w:t>monetary</w:t>
      </w:r>
      <w:r w:rsidR="00CD6691" w:rsidRPr="00CD6691">
        <w:rPr>
          <w:rFonts w:ascii="Book Antiqua" w:hAnsi="Book Antiqua"/>
          <w:b w:val="0"/>
          <w:iCs/>
          <w:sz w:val="20"/>
          <w:szCs w:val="20"/>
        </w:rPr>
        <w:t xml:space="preserve"> </w:t>
      </w:r>
      <w:r w:rsidR="00A71991">
        <w:rPr>
          <w:rFonts w:ascii="Book Antiqua" w:hAnsi="Book Antiqua"/>
          <w:b w:val="0"/>
          <w:iCs/>
          <w:sz w:val="20"/>
          <w:szCs w:val="20"/>
        </w:rPr>
        <w:t>i</w:t>
      </w:r>
      <w:r w:rsidR="00CD6691" w:rsidRPr="00CD6691">
        <w:rPr>
          <w:rFonts w:ascii="Book Antiqua" w:hAnsi="Book Antiqua"/>
          <w:b w:val="0"/>
          <w:iCs/>
          <w:sz w:val="20"/>
          <w:szCs w:val="20"/>
        </w:rPr>
        <w:t xml:space="preserve">nstruments, conventional </w:t>
      </w:r>
      <w:r w:rsidR="00A71991">
        <w:rPr>
          <w:rFonts w:ascii="Book Antiqua" w:hAnsi="Book Antiqua"/>
          <w:b w:val="0"/>
          <w:iCs/>
          <w:sz w:val="20"/>
          <w:szCs w:val="20"/>
        </w:rPr>
        <w:t>m</w:t>
      </w:r>
      <w:r w:rsidR="00A71991">
        <w:rPr>
          <w:rFonts w:ascii="Book Antiqua" w:hAnsi="Book Antiqua"/>
          <w:b w:val="0"/>
          <w:iCs/>
          <w:sz w:val="20"/>
          <w:szCs w:val="20"/>
        </w:rPr>
        <w:t>onetary</w:t>
      </w:r>
      <w:r w:rsidR="00A71991" w:rsidRPr="00CD6691">
        <w:rPr>
          <w:rFonts w:ascii="Book Antiqua" w:hAnsi="Book Antiqua"/>
          <w:b w:val="0"/>
          <w:iCs/>
          <w:sz w:val="20"/>
          <w:szCs w:val="20"/>
        </w:rPr>
        <w:t xml:space="preserve"> </w:t>
      </w:r>
      <w:r w:rsidR="00CD6691" w:rsidRPr="00CD6691">
        <w:rPr>
          <w:rFonts w:ascii="Book Antiqua" w:hAnsi="Book Antiqua"/>
          <w:b w:val="0"/>
          <w:iCs/>
          <w:sz w:val="20"/>
          <w:szCs w:val="20"/>
        </w:rPr>
        <w:t>instruments</w:t>
      </w:r>
      <w:bookmarkEnd w:id="9"/>
      <w:bookmarkEnd w:id="10"/>
    </w:p>
    <w:p w14:paraId="0D58CF7A" w14:textId="6FC8ECF2" w:rsidR="00A806DA" w:rsidRDefault="00A806DA" w:rsidP="00A806DA">
      <w:pPr>
        <w:pStyle w:val="IEEEAuthorName"/>
        <w:spacing w:before="0" w:after="0"/>
        <w:rPr>
          <w:rFonts w:ascii="Book Antiqua" w:hAnsi="Book Antiqua"/>
          <w:color w:val="4472C4"/>
          <w:sz w:val="24"/>
          <w:lang w:val="en-AU" w:eastAsia="zh-CN"/>
        </w:rPr>
      </w:pPr>
    </w:p>
    <w:p w14:paraId="231C2429" w14:textId="3D3F0FC6" w:rsidR="00A806DA" w:rsidRPr="00A806DA" w:rsidRDefault="00A806DA" w:rsidP="00A806DA">
      <w:pPr>
        <w:kinsoku w:val="0"/>
        <w:overflowPunct w:val="0"/>
        <w:autoSpaceDE w:val="0"/>
        <w:autoSpaceDN w:val="0"/>
        <w:jc w:val="both"/>
        <w:rPr>
          <w:rFonts w:ascii="Book Antiqua" w:eastAsia="Calibri" w:hAnsi="Book Antiqua"/>
          <w:sz w:val="20"/>
          <w:szCs w:val="20"/>
          <w:lang w:val="en-US" w:eastAsia="en-US"/>
        </w:rPr>
      </w:pPr>
      <w:bookmarkStart w:id="11" w:name="OLE_LINK19"/>
      <w:bookmarkStart w:id="12" w:name="OLE_LINK20"/>
      <w:proofErr w:type="spellStart"/>
      <w:r w:rsidRPr="00A806DA">
        <w:rPr>
          <w:rFonts w:ascii="Book Antiqua" w:eastAsia="Calibri" w:hAnsi="Book Antiqua"/>
          <w:b/>
          <w:sz w:val="20"/>
          <w:szCs w:val="20"/>
          <w:lang w:val="en-US" w:eastAsia="en-US"/>
        </w:rPr>
        <w:t>JEL</w:t>
      </w:r>
      <w:proofErr w:type="spellEnd"/>
      <w:r w:rsidRPr="00A806DA">
        <w:rPr>
          <w:rFonts w:ascii="Book Antiqua" w:eastAsia="Calibri" w:hAnsi="Book Antiqua"/>
          <w:b/>
          <w:sz w:val="20"/>
          <w:szCs w:val="20"/>
          <w:lang w:val="en-US" w:eastAsia="en-US"/>
        </w:rPr>
        <w:t xml:space="preserve"> Classification Code</w:t>
      </w:r>
      <w:bookmarkEnd w:id="11"/>
      <w:bookmarkEnd w:id="12"/>
      <w:r w:rsidRPr="00A806DA">
        <w:rPr>
          <w:rFonts w:ascii="Book Antiqua" w:eastAsia="Calibri" w:hAnsi="Book Antiqua"/>
          <w:b/>
          <w:sz w:val="20"/>
          <w:szCs w:val="20"/>
          <w:lang w:val="en-US" w:eastAsia="en-US"/>
        </w:rPr>
        <w:t>:</w:t>
      </w:r>
      <w:r w:rsidR="00EB7CF5">
        <w:rPr>
          <w:rFonts w:ascii="Book Antiqua" w:eastAsia="Calibri" w:hAnsi="Book Antiqua"/>
          <w:b/>
          <w:sz w:val="20"/>
          <w:szCs w:val="20"/>
          <w:lang w:val="en-US" w:eastAsia="en-US"/>
        </w:rPr>
        <w:t xml:space="preserve"> </w:t>
      </w:r>
      <w:proofErr w:type="spellStart"/>
      <w:r w:rsidR="00EB7CF5" w:rsidRPr="00EB7CF5">
        <w:rPr>
          <w:rFonts w:ascii="Book Antiqua" w:eastAsia="Calibri" w:hAnsi="Book Antiqua"/>
          <w:bCs/>
          <w:sz w:val="20"/>
          <w:szCs w:val="20"/>
          <w:lang w:val="en-US" w:eastAsia="en-US"/>
        </w:rPr>
        <w:t>E02</w:t>
      </w:r>
      <w:proofErr w:type="spellEnd"/>
      <w:r w:rsidR="00EB7CF5">
        <w:rPr>
          <w:rFonts w:ascii="Book Antiqua" w:eastAsia="Calibri" w:hAnsi="Book Antiqua"/>
          <w:bCs/>
          <w:sz w:val="20"/>
          <w:szCs w:val="20"/>
          <w:lang w:val="en-US" w:eastAsia="en-US"/>
        </w:rPr>
        <w:t xml:space="preserve">, </w:t>
      </w:r>
      <w:proofErr w:type="spellStart"/>
      <w:r w:rsidR="00EB7CF5">
        <w:rPr>
          <w:rFonts w:ascii="Book Antiqua" w:eastAsia="Calibri" w:hAnsi="Book Antiqua"/>
          <w:bCs/>
          <w:sz w:val="20"/>
          <w:szCs w:val="20"/>
          <w:lang w:val="en-US" w:eastAsia="en-US"/>
        </w:rPr>
        <w:t>E12</w:t>
      </w:r>
      <w:proofErr w:type="spellEnd"/>
      <w:r w:rsidR="00EB7CF5">
        <w:rPr>
          <w:rFonts w:ascii="Book Antiqua" w:eastAsia="Calibri" w:hAnsi="Book Antiqua"/>
          <w:bCs/>
          <w:sz w:val="20"/>
          <w:szCs w:val="20"/>
          <w:lang w:val="en-US" w:eastAsia="en-US"/>
        </w:rPr>
        <w:t xml:space="preserve">, </w:t>
      </w:r>
      <w:proofErr w:type="spellStart"/>
      <w:r w:rsidR="00EB7CF5">
        <w:rPr>
          <w:rFonts w:ascii="Book Antiqua" w:eastAsia="Calibri" w:hAnsi="Book Antiqua"/>
          <w:bCs/>
          <w:sz w:val="20"/>
          <w:szCs w:val="20"/>
          <w:lang w:val="en-US" w:eastAsia="en-US"/>
        </w:rPr>
        <w:t>E42</w:t>
      </w:r>
      <w:proofErr w:type="spellEnd"/>
    </w:p>
    <w:p w14:paraId="09A3EC26" w14:textId="4D873C62" w:rsidR="00A806DA" w:rsidRDefault="00A806DA" w:rsidP="00A806DA">
      <w:pPr>
        <w:pStyle w:val="IEEEAuthorName"/>
        <w:spacing w:before="0" w:after="0"/>
        <w:rPr>
          <w:rFonts w:ascii="Book Antiqua" w:hAnsi="Book Antiqua"/>
          <w:color w:val="4472C4"/>
          <w:sz w:val="24"/>
          <w:lang w:val="en-AU" w:eastAsia="zh-CN"/>
        </w:rPr>
      </w:pPr>
    </w:p>
    <w:p w14:paraId="70A72A92" w14:textId="5C0043BA" w:rsidR="00A806DA" w:rsidRDefault="00A806DA" w:rsidP="00A806DA">
      <w:pPr>
        <w:pStyle w:val="IEEEAuthorName"/>
        <w:spacing w:before="0" w:after="0"/>
        <w:rPr>
          <w:rFonts w:ascii="Book Antiqua" w:hAnsi="Book Antiqua"/>
          <w:color w:val="4472C4"/>
          <w:sz w:val="24"/>
          <w:lang w:val="en-AU" w:eastAsia="zh-CN"/>
        </w:rPr>
      </w:pPr>
    </w:p>
    <w:p w14:paraId="581908CA" w14:textId="20C67FA9" w:rsidR="00AA0507" w:rsidRDefault="00AA0507" w:rsidP="00B22C63">
      <w:pPr>
        <w:numPr>
          <w:ilvl w:val="0"/>
          <w:numId w:val="11"/>
        </w:numPr>
        <w:ind w:left="270" w:hanging="270"/>
        <w:rPr>
          <w:rFonts w:ascii="Book Antiqua" w:eastAsia="Times New Roman" w:hAnsi="Book Antiqua" w:cs="Angsana New"/>
          <w:b/>
          <w:bCs/>
          <w:color w:val="FF0000"/>
          <w:kern w:val="32"/>
          <w:lang w:eastAsia="en-US"/>
        </w:rPr>
      </w:pPr>
      <w:r w:rsidRPr="00AA0507">
        <w:rPr>
          <w:rFonts w:ascii="Book Antiqua" w:eastAsia="Times New Roman" w:hAnsi="Book Antiqua"/>
          <w:b/>
          <w:bCs/>
          <w:kern w:val="32"/>
          <w:lang w:val="id-ID" w:eastAsia="en-US"/>
        </w:rPr>
        <w:t>Introduction</w:t>
      </w:r>
    </w:p>
    <w:p w14:paraId="537320FF" w14:textId="4D01D36C" w:rsidR="00244B70" w:rsidRDefault="00244B70" w:rsidP="00244B70">
      <w:pPr>
        <w:pStyle w:val="IEEEAuthorName"/>
        <w:spacing w:before="0" w:after="0"/>
        <w:rPr>
          <w:rFonts w:ascii="Book Antiqua" w:hAnsi="Book Antiqua"/>
          <w:color w:val="4472C4"/>
          <w:sz w:val="24"/>
          <w:lang w:val="en-AU" w:eastAsia="zh-CN"/>
        </w:rPr>
      </w:pPr>
    </w:p>
    <w:p w14:paraId="08B80545" w14:textId="77777777" w:rsidR="00EB7CF5" w:rsidRPr="00EB7CF5" w:rsidRDefault="00EB7CF5" w:rsidP="00EB7CF5">
      <w:pPr>
        <w:pStyle w:val="IEEEParagraph"/>
        <w:ind w:firstLine="720"/>
        <w:rPr>
          <w:rFonts w:ascii="Book Antiqua" w:hAnsi="Book Antiqua"/>
          <w:lang w:val="en-US"/>
        </w:rPr>
      </w:pPr>
      <w:r w:rsidRPr="00EB7CF5">
        <w:rPr>
          <w:rFonts w:ascii="Book Antiqua" w:hAnsi="Book Antiqua"/>
          <w:lang w:val="en-US"/>
        </w:rPr>
        <w:t>The financial system in a country is an economic order that plays a role in resolving monetary shocks. Nevertheless, monetary institutions also play an essential role in maintaining economic stability since the economy cannot run without the presence of monetary institutions. The monetary policy serves to run, regulate, and supervise the smooth running of the payment system in an area. In addition, monetary institutions are also tasked with anticipating shocks caused by internal and external factors. One of the monetary advances in Indonesia must be seen through the development of monetary institutions in the financial sector. On the eve of its turn of events, financial institutions in Indonesia regularly depend on interest to get as much profit as possible that can be expected.</w:t>
      </w:r>
    </w:p>
    <w:p w14:paraId="16AEF09A" w14:textId="77777777" w:rsidR="00EB7CF5" w:rsidRPr="00EB7CF5" w:rsidRDefault="00EB7CF5" w:rsidP="00EB7CF5">
      <w:pPr>
        <w:pStyle w:val="IEEEParagraph"/>
        <w:ind w:firstLine="720"/>
        <w:rPr>
          <w:rFonts w:ascii="Book Antiqua" w:hAnsi="Book Antiqua"/>
          <w:lang w:val="en-US"/>
        </w:rPr>
      </w:pPr>
      <w:r w:rsidRPr="00EB7CF5">
        <w:rPr>
          <w:rFonts w:ascii="Book Antiqua" w:hAnsi="Book Antiqua"/>
          <w:lang w:val="en-US"/>
        </w:rPr>
        <w:t xml:space="preserve">The monetary framework is centered on a financial approach that encourages balance in the use of premium instruments so that premium becomes a fundamental variable in the definition of financial arrangements related to money and finance. It is seen from the side of ordinary banks. At the world level, an interest-based economy forms a trademark monetary cooperation. The premium weakens the world monetary system since poor and developing countries must continue to be monetarily subject to developing countries. Not being set in the stone nature of the return of premiums would make the behavior of capital holders generally involve their money as a means of collecting </w:t>
      </w:r>
      <w:r w:rsidRPr="00EB7CF5">
        <w:rPr>
          <w:rFonts w:ascii="Book Antiqua" w:hAnsi="Book Antiqua"/>
          <w:lang w:val="en-US"/>
        </w:rPr>
        <w:lastRenderedPageBreak/>
        <w:t>payments through the monetary area instead of making a profit through valuable exercises in the original area.</w:t>
      </w:r>
    </w:p>
    <w:p w14:paraId="02C5BAE5" w14:textId="17201A56" w:rsidR="007D6255" w:rsidRDefault="00EB7CF5" w:rsidP="00EB7CF5">
      <w:pPr>
        <w:pStyle w:val="IEEEParagraph"/>
        <w:ind w:firstLine="720"/>
        <w:rPr>
          <w:rFonts w:ascii="Book Antiqua" w:hAnsi="Book Antiqua"/>
          <w:color w:val="FF0000"/>
          <w:lang w:val="en-US"/>
        </w:rPr>
      </w:pPr>
      <w:r w:rsidRPr="00EB7CF5">
        <w:rPr>
          <w:rFonts w:ascii="Book Antiqua" w:hAnsi="Book Antiqua"/>
          <w:lang w:val="en-US"/>
        </w:rPr>
        <w:t>This study aims to analyze the uniqueness of Islamic financial instruments compared to conventional financial instruments and to find out what distinguishes the Islamic monetary framework from the standard monetary framework. The advantages and disadvantages of Islamic and traditional monetary frameworks are also discussed in this paper</w:t>
      </w:r>
      <w:r w:rsidR="00244B70" w:rsidRPr="00244B70">
        <w:rPr>
          <w:rFonts w:ascii="Book Antiqua" w:hAnsi="Book Antiqua"/>
          <w:lang w:val="en-US"/>
        </w:rPr>
        <w:t>.</w:t>
      </w:r>
      <w:bookmarkStart w:id="13" w:name="OLE_LINK40"/>
      <w:bookmarkStart w:id="14" w:name="OLE_LINK41"/>
    </w:p>
    <w:bookmarkEnd w:id="13"/>
    <w:bookmarkEnd w:id="14"/>
    <w:p w14:paraId="769F9803" w14:textId="01C66521" w:rsidR="00244B70" w:rsidRDefault="00244B70" w:rsidP="00244B70">
      <w:pPr>
        <w:pStyle w:val="IEEEAuthorName"/>
        <w:spacing w:before="0" w:after="0"/>
        <w:rPr>
          <w:rFonts w:ascii="Book Antiqua" w:hAnsi="Book Antiqua"/>
          <w:color w:val="4472C4"/>
          <w:sz w:val="24"/>
          <w:lang w:val="en-AU" w:eastAsia="zh-CN"/>
        </w:rPr>
      </w:pPr>
    </w:p>
    <w:p w14:paraId="6397AD77" w14:textId="5F834B94" w:rsidR="00244B70" w:rsidRPr="00244B70" w:rsidRDefault="00244B70" w:rsidP="00B22C63">
      <w:pPr>
        <w:pStyle w:val="IEEEParagraph"/>
        <w:numPr>
          <w:ilvl w:val="0"/>
          <w:numId w:val="11"/>
        </w:numPr>
        <w:ind w:left="270" w:hanging="270"/>
        <w:rPr>
          <w:rFonts w:ascii="Book Antiqua" w:hAnsi="Book Antiqua"/>
          <w:b/>
          <w:bCs/>
          <w:lang w:val="en-US"/>
        </w:rPr>
      </w:pPr>
      <w:r w:rsidRPr="00244B70">
        <w:rPr>
          <w:rFonts w:ascii="Book Antiqua" w:hAnsi="Book Antiqua"/>
          <w:b/>
          <w:bCs/>
          <w:lang w:val="en-US"/>
        </w:rPr>
        <w:t>Literature Review</w:t>
      </w:r>
    </w:p>
    <w:p w14:paraId="4CE6A13F" w14:textId="5F656346" w:rsidR="00244B70" w:rsidRDefault="00244B70" w:rsidP="00244B70">
      <w:pPr>
        <w:pStyle w:val="IEEEAuthorName"/>
        <w:spacing w:before="0" w:after="0"/>
        <w:rPr>
          <w:rFonts w:ascii="Book Antiqua" w:hAnsi="Book Antiqua"/>
          <w:color w:val="4472C4"/>
          <w:sz w:val="24"/>
          <w:lang w:val="en-AU" w:eastAsia="zh-CN"/>
        </w:rPr>
      </w:pPr>
      <w:bookmarkStart w:id="15" w:name="OLE_LINK27"/>
      <w:bookmarkStart w:id="16" w:name="OLE_LINK28"/>
    </w:p>
    <w:p w14:paraId="6AC36C4B" w14:textId="65441E8E" w:rsidR="00EB7CF5" w:rsidRPr="00EB7CF5" w:rsidRDefault="00EB7CF5" w:rsidP="00EB7CF5">
      <w:pPr>
        <w:ind w:firstLine="720"/>
        <w:jc w:val="both"/>
        <w:rPr>
          <w:rFonts w:ascii="Book Antiqua" w:hAnsi="Book Antiqua"/>
        </w:rPr>
      </w:pPr>
      <w:r w:rsidRPr="00EB7CF5">
        <w:rPr>
          <w:rFonts w:ascii="Book Antiqua" w:hAnsi="Book Antiqua"/>
        </w:rPr>
        <w:t>The central bank's monetary policy intends to influence current economic activity and prices through transmission mechanisms</w:t>
      </w:r>
      <w:r w:rsidR="00D32EEA">
        <w:rPr>
          <w:rFonts w:ascii="Book Antiqua" w:hAnsi="Book Antiqua"/>
        </w:rPr>
        <w:t xml:space="preserve"> </w:t>
      </w:r>
      <w:r w:rsidR="00D32EEA">
        <w:rPr>
          <w:rFonts w:ascii="Book Antiqua" w:hAnsi="Book Antiqua"/>
        </w:rPr>
        <w:fldChar w:fldCharType="begin" w:fldLock="1"/>
      </w:r>
      <w:r w:rsidR="00D32EEA">
        <w:rPr>
          <w:rFonts w:ascii="Book Antiqua" w:hAnsi="Book Antiqua"/>
        </w:rPr>
        <w:instrText>ADDIN CSL_CITATION {"citationItems":[{"id":"ITEM-1","itemData":{"author":[{"dropping-particle":"","family":"Warjiyo","given":"Perry","non-dropping-particle":"","parse-names":false,"suffix":""}],"chapter-number":"14","container-title":"Monetary Policy and Central Banking in the Covid Era","editor":[{"dropping-particle":"","family":"English","given":"Bill","non-dropping-particle":"","parse-names":false,"suffix":""},{"dropping-particle":"","family":"Forbes","given":"Kristin","non-dropping-particle":"","parse-names":false,"suffix":""},{"dropping-particle":"","family":"Ubide","given":"Angel","non-dropping-particle":"","parse-names":false,"suffix":""}],"id":"ITEM-1","issued":{"date-parts":[["2021"]]},"page":"255-307","publisher":"CEPR Press","title":"Bank Indonesia’s response to Covid-19: Synergise to build optimism for economic recovery","type":"chapter"},"uris":["http://www.mendeley.com/documents/?uuid=e5e4e6e5-40b9-4d56-8146-2e0d95407b2b"]}],"mendeley":{"formattedCitation":"(Warjiyo, 2021)","plainTextFormattedCitation":"(Warjiyo, 2021)","previouslyFormattedCitation":"(Warjiyo, 2021)"},"properties":{"noteIndex":0},"schema":"https://github.com/citation-style-language/schema/raw/master/csl-citation.json"}</w:instrText>
      </w:r>
      <w:r w:rsidR="00D32EEA">
        <w:rPr>
          <w:rFonts w:ascii="Book Antiqua" w:hAnsi="Book Antiqua"/>
        </w:rPr>
        <w:fldChar w:fldCharType="separate"/>
      </w:r>
      <w:r w:rsidR="00D32EEA" w:rsidRPr="00D32EEA">
        <w:rPr>
          <w:rFonts w:ascii="Book Antiqua" w:hAnsi="Book Antiqua"/>
          <w:noProof/>
        </w:rPr>
        <w:t>(Warjiyo, 2021)</w:t>
      </w:r>
      <w:r w:rsidR="00D32EEA">
        <w:rPr>
          <w:rFonts w:ascii="Book Antiqua" w:hAnsi="Book Antiqua"/>
        </w:rPr>
        <w:fldChar w:fldCharType="end"/>
      </w:r>
      <w:r w:rsidRPr="00EB7CF5">
        <w:rPr>
          <w:rFonts w:ascii="Book Antiqua" w:hAnsi="Book Antiqua"/>
        </w:rPr>
        <w:t xml:space="preserve">. It requires a sufficient understanding of the transmission mechanisms in the economy. </w:t>
      </w:r>
      <w:r w:rsidR="009A2FA0">
        <w:rPr>
          <w:rFonts w:ascii="Book Antiqua" w:hAnsi="Book Antiqua"/>
        </w:rPr>
        <w:t>Financial</w:t>
      </w:r>
      <w:r w:rsidRPr="00EB7CF5">
        <w:rPr>
          <w:rFonts w:ascii="Book Antiqua" w:hAnsi="Book Antiqua"/>
        </w:rPr>
        <w:t>-related strategies can be communicated through different channels, for example, borrowing costs, total finances, credit, trade rates, resource costs, and assumptions. Therefore, a clear understanding of transmission is a way toward financial arrangements as a key that affects the course of finances and original costs later in life.</w:t>
      </w:r>
    </w:p>
    <w:p w14:paraId="661E5C99" w14:textId="3DA417CC" w:rsidR="00EB7CF5" w:rsidRPr="00EB7CF5" w:rsidRDefault="00EB7CF5" w:rsidP="00EB7CF5">
      <w:pPr>
        <w:ind w:firstLine="720"/>
        <w:jc w:val="both"/>
        <w:rPr>
          <w:rFonts w:ascii="Book Antiqua" w:hAnsi="Book Antiqua"/>
        </w:rPr>
      </w:pPr>
      <w:r w:rsidRPr="00EB7CF5">
        <w:rPr>
          <w:rFonts w:ascii="Book Antiqua" w:hAnsi="Book Antiqua"/>
        </w:rPr>
        <w:t xml:space="preserve">Since the New Finance Law in 1998, Indonesia has implemented a dual financial framework, under which commercial and Islamic banks can work side by side throughout Indonesia. With the enactment of the 1999 Bank Indonesia Law, Bank Indonesia has a dual order to implement arrangements related to ordinary </w:t>
      </w:r>
      <w:r w:rsidR="00CC210E">
        <w:rPr>
          <w:rFonts w:ascii="Book Antiqua" w:hAnsi="Book Antiqua"/>
        </w:rPr>
        <w:t>finance</w:t>
      </w:r>
      <w:r w:rsidRPr="00EB7CF5">
        <w:rPr>
          <w:rFonts w:ascii="Book Antiqua" w:hAnsi="Book Antiqua"/>
        </w:rPr>
        <w:t xml:space="preserve"> and Islam. Since then, Islamic banking and </w:t>
      </w:r>
      <w:r w:rsidR="00CC210E">
        <w:rPr>
          <w:rFonts w:ascii="Book Antiqua" w:hAnsi="Book Antiqua"/>
        </w:rPr>
        <w:t>finance</w:t>
      </w:r>
      <w:r w:rsidRPr="00EB7CF5">
        <w:rPr>
          <w:rFonts w:ascii="Book Antiqua" w:hAnsi="Book Antiqua"/>
        </w:rPr>
        <w:t xml:space="preserve"> have flourished.</w:t>
      </w:r>
    </w:p>
    <w:p w14:paraId="35D3543E" w14:textId="77777777" w:rsidR="00EB7CF5" w:rsidRPr="00EB7CF5" w:rsidRDefault="00EB7CF5" w:rsidP="00EB7CF5">
      <w:pPr>
        <w:ind w:firstLine="720"/>
        <w:jc w:val="both"/>
        <w:rPr>
          <w:rFonts w:ascii="Book Antiqua" w:hAnsi="Book Antiqua"/>
        </w:rPr>
      </w:pPr>
      <w:r w:rsidRPr="00EB7CF5">
        <w:rPr>
          <w:rFonts w:ascii="Book Antiqua" w:hAnsi="Book Antiqua"/>
        </w:rPr>
        <w:t xml:space="preserve">In 2000, there were two Islamic banks and three Islamic specialty units (Islamic Specialty Units), with 65 workplaces, controlling only 0.17% of all financial resources. Before the end of 2010, 11 Islamic banks and 23 special Islamic units had been established with 1,477 workplaces and 1,277 work channels. The overall portion of the Islamic bank industry reaches 3.24% of all resources, equivalent to Rp 97.52 trillion, with a growth of 48% per year. </w:t>
      </w:r>
    </w:p>
    <w:p w14:paraId="721BBE3B" w14:textId="2018D853" w:rsidR="00B02045" w:rsidRDefault="00EB7CF5" w:rsidP="00EB7CF5">
      <w:pPr>
        <w:ind w:firstLine="720"/>
        <w:jc w:val="both"/>
        <w:rPr>
          <w:rFonts w:ascii="Book Antiqua" w:hAnsi="Book Antiqua"/>
          <w:color w:val="FF0000"/>
          <w:lang w:val="en-US"/>
        </w:rPr>
      </w:pPr>
      <w:r w:rsidRPr="00EB7CF5">
        <w:rPr>
          <w:rFonts w:ascii="Book Antiqua" w:hAnsi="Book Antiqua"/>
        </w:rPr>
        <w:t>This trend at the country level further deepens the global financial lameness. Developed countries are victims of debt addiction, while poor and developing countries can never be free from the bondage of debt that continues to bubble</w:t>
      </w:r>
      <w:r w:rsidR="00266F12">
        <w:rPr>
          <w:rFonts w:ascii="Book Antiqua" w:hAnsi="Book Antiqua"/>
        </w:rPr>
        <w:t xml:space="preserve"> </w:t>
      </w:r>
      <w:r w:rsidR="00266F12">
        <w:rPr>
          <w:rFonts w:ascii="Book Antiqua" w:hAnsi="Book Antiqua"/>
        </w:rPr>
        <w:fldChar w:fldCharType="begin" w:fldLock="1"/>
      </w:r>
      <w:r w:rsidR="00266F12">
        <w:rPr>
          <w:rFonts w:ascii="Book Antiqua" w:hAnsi="Book Antiqua"/>
        </w:rPr>
        <w:instrText>ADDIN CSL_CITATION {"citationItems":[{"id":"ITEM-1","itemData":{"DOI":"http://dx.doi.org/10.31332/aladl.v6i2.203","author":[{"dropping-particle":"","family":"Chamid","given":"Nur","non-dropping-particle":"","parse-names":false,"suffix":""}],"container-title":"Al-‘Adl","id":"ITEM-1","issue":"2","issued":{"date-parts":[["2013"]]},"title":"Tantangan Sistem Keuangan Islam Sebagai Alternatif Sistem Keuangan Global","type":"article-journal","volume":"6"},"uris":["http://www.mendeley.com/documents/?uuid=05fd48cf-8cba-4903-aa73-1d26c8dae421"]}],"mendeley":{"formattedCitation":"(Chamid, 2013)","plainTextFormattedCitation":"(Chamid, 2013)","previouslyFormattedCitation":"(Chamid, 2013)"},"properties":{"noteIndex":0},"schema":"https://github.com/citation-style-language/schema/raw/master/csl-citation.json"}</w:instrText>
      </w:r>
      <w:r w:rsidR="00266F12">
        <w:rPr>
          <w:rFonts w:ascii="Book Antiqua" w:hAnsi="Book Antiqua"/>
        </w:rPr>
        <w:fldChar w:fldCharType="separate"/>
      </w:r>
      <w:r w:rsidR="00266F12" w:rsidRPr="00266F12">
        <w:rPr>
          <w:rFonts w:ascii="Book Antiqua" w:hAnsi="Book Antiqua"/>
          <w:noProof/>
        </w:rPr>
        <w:t>(Chamid, 2013)</w:t>
      </w:r>
      <w:r w:rsidR="00266F12">
        <w:rPr>
          <w:rFonts w:ascii="Book Antiqua" w:hAnsi="Book Antiqua"/>
        </w:rPr>
        <w:fldChar w:fldCharType="end"/>
      </w:r>
      <w:r w:rsidRPr="00EB7CF5">
        <w:rPr>
          <w:rFonts w:ascii="Book Antiqua" w:hAnsi="Book Antiqua"/>
        </w:rPr>
        <w:t>. The financial system of a country is strongly influenced by the economic system adopted. The economic system refers to a unified decision-making mechanism and institution that implements such decisions on production, consumption, and income distribution. Therefore, the economic system is something important for the economy of a country. Economic systems are formed due to various complex factors, for example, ideologies and belief systems, views on life, geographical environment, politics, socio-culture, and others</w:t>
      </w:r>
      <w:r w:rsidR="00266F12">
        <w:rPr>
          <w:rFonts w:ascii="Book Antiqua" w:hAnsi="Book Antiqua"/>
        </w:rPr>
        <w:t xml:space="preserve"> </w:t>
      </w:r>
      <w:r w:rsidR="00266F12">
        <w:rPr>
          <w:rFonts w:ascii="Book Antiqua" w:hAnsi="Book Antiqua"/>
        </w:rPr>
        <w:fldChar w:fldCharType="begin" w:fldLock="1"/>
      </w:r>
      <w:r w:rsidR="00D32EEA">
        <w:rPr>
          <w:rFonts w:ascii="Book Antiqua" w:hAnsi="Book Antiqua"/>
        </w:rPr>
        <w:instrText>ADDIN CSL_CITATION {"citationItems":[{"id":"ITEM-1","itemData":{"DOI":"https://doi.org/10.20885/millah.vol17.is s1.art1","author":[{"dropping-particle":"","family":"Kholis","given":"Nur","non-dropping-particle":"","parse-names":false,"suffix":""}],"container-title":"Millah: Jurnal Studi Agama","id":"ITEM-1","issue":"1","issued":{"date-parts":[["2017"]]},"page":"1-30","title":"Potret Perkembangan dan Praktik Keuangan Islam di Dunia","type":"article-journal","volume":"XVII"},"uris":["http://www.mendeley.com/documents/?uuid=dc08a53b-2a7e-4d62-8df0-4bc896cd5660"]}],"mendeley":{"formattedCitation":"(Kholis, 2017)","plainTextFormattedCitation":"(Kholis, 2017)","previouslyFormattedCitation":"(Kholis, 2017)"},"properties":{"noteIndex":0},"schema":"https://github.com/citation-style-language/schema/raw/master/csl-citation.json"}</w:instrText>
      </w:r>
      <w:r w:rsidR="00266F12">
        <w:rPr>
          <w:rFonts w:ascii="Book Antiqua" w:hAnsi="Book Antiqua"/>
        </w:rPr>
        <w:fldChar w:fldCharType="separate"/>
      </w:r>
      <w:r w:rsidR="00266F12" w:rsidRPr="00266F12">
        <w:rPr>
          <w:rFonts w:ascii="Book Antiqua" w:hAnsi="Book Antiqua"/>
          <w:noProof/>
        </w:rPr>
        <w:t>(Kholis, 2017)</w:t>
      </w:r>
      <w:r w:rsidR="00266F12">
        <w:rPr>
          <w:rFonts w:ascii="Book Antiqua" w:hAnsi="Book Antiqua"/>
        </w:rPr>
        <w:fldChar w:fldCharType="end"/>
      </w:r>
      <w:r w:rsidRPr="00EB7CF5">
        <w:rPr>
          <w:rFonts w:ascii="Book Antiqua" w:hAnsi="Book Antiqua"/>
        </w:rPr>
        <w:t>. An economic system contains 2 (two) sectors, namely the fundamental and financial sectors.</w:t>
      </w:r>
    </w:p>
    <w:p w14:paraId="75CD2432" w14:textId="0337FEED" w:rsidR="00B02045" w:rsidRDefault="00B02045" w:rsidP="00B02045">
      <w:pPr>
        <w:pStyle w:val="IEEEAuthorName"/>
        <w:spacing w:before="0" w:after="0"/>
        <w:rPr>
          <w:rFonts w:ascii="Book Antiqua" w:hAnsi="Book Antiqua"/>
          <w:color w:val="4472C4"/>
          <w:sz w:val="24"/>
          <w:lang w:val="en-AU" w:eastAsia="zh-CN"/>
        </w:rPr>
      </w:pPr>
    </w:p>
    <w:bookmarkEnd w:id="15"/>
    <w:bookmarkEnd w:id="16"/>
    <w:p w14:paraId="46C4C0C2" w14:textId="6D127686" w:rsidR="00AA0507" w:rsidRDefault="00B22C63" w:rsidP="00B22C63">
      <w:pPr>
        <w:numPr>
          <w:ilvl w:val="0"/>
          <w:numId w:val="11"/>
        </w:numPr>
        <w:ind w:left="270" w:hanging="270"/>
        <w:rPr>
          <w:rFonts w:ascii="Book Antiqua" w:eastAsia="Times New Roman" w:hAnsi="Book Antiqua" w:cs="Angsana New"/>
          <w:b/>
          <w:bCs/>
          <w:color w:val="FF0000"/>
          <w:kern w:val="32"/>
          <w:lang w:eastAsia="en-US"/>
        </w:rPr>
      </w:pPr>
      <w:r>
        <w:rPr>
          <w:rFonts w:ascii="Book Antiqua" w:eastAsia="Times New Roman" w:hAnsi="Book Antiqua"/>
          <w:b/>
          <w:lang w:val="en-US" w:eastAsia="en-US"/>
        </w:rPr>
        <w:lastRenderedPageBreak/>
        <w:t xml:space="preserve">Research </w:t>
      </w:r>
      <w:r w:rsidR="00AA0507" w:rsidRPr="00AA0507">
        <w:rPr>
          <w:rFonts w:ascii="Book Antiqua" w:eastAsia="Times New Roman" w:hAnsi="Book Antiqua"/>
          <w:b/>
          <w:lang w:val="id-ID" w:eastAsia="en-US"/>
        </w:rPr>
        <w:t>Methods</w:t>
      </w:r>
      <w:r w:rsidR="00AA0507" w:rsidRPr="00AA0507">
        <w:rPr>
          <w:rFonts w:ascii="Book Antiqua" w:eastAsia="Times New Roman" w:hAnsi="Book Antiqua"/>
          <w:b/>
          <w:lang w:val="en-US" w:eastAsia="en-US"/>
        </w:rPr>
        <w:t xml:space="preserve"> </w:t>
      </w:r>
    </w:p>
    <w:p w14:paraId="00AA9E35" w14:textId="5D87DBFB" w:rsidR="00754AD9" w:rsidRDefault="00754AD9" w:rsidP="00754AD9">
      <w:pPr>
        <w:pStyle w:val="IEEEAuthorName"/>
        <w:spacing w:before="0" w:after="0"/>
        <w:rPr>
          <w:rFonts w:ascii="Book Antiqua" w:hAnsi="Book Antiqua"/>
          <w:color w:val="4472C4"/>
          <w:sz w:val="24"/>
          <w:lang w:val="en-AU" w:eastAsia="zh-CN"/>
        </w:rPr>
      </w:pPr>
    </w:p>
    <w:p w14:paraId="2A0B28C1" w14:textId="64751E5B" w:rsidR="00177ED7" w:rsidRDefault="00EB7CF5" w:rsidP="00177ED7">
      <w:pPr>
        <w:pStyle w:val="IEEEParagraph"/>
        <w:ind w:firstLine="720"/>
        <w:rPr>
          <w:rFonts w:ascii="Book Antiqua" w:hAnsi="Book Antiqua"/>
        </w:rPr>
      </w:pPr>
      <w:r w:rsidRPr="00EB7CF5">
        <w:rPr>
          <w:rFonts w:ascii="Book Antiqua" w:hAnsi="Book Antiqua"/>
        </w:rPr>
        <w:t>This research uses a descriptive qualitative approach, using the proximity of literature studies by collecting data from relevant scientific literature and the results of observations of reports on the receipts of Islamic Banks and Conventional Banks in 2020 and 2021. Another method of collecting data from literature studies obtained from book sources, article journals, and mass media related to the research</w:t>
      </w:r>
      <w:r w:rsidR="00177ED7">
        <w:rPr>
          <w:rFonts w:ascii="Book Antiqua" w:hAnsi="Book Antiqua"/>
        </w:rPr>
        <w:t>.</w:t>
      </w:r>
    </w:p>
    <w:p w14:paraId="7C1A752D" w14:textId="77777777" w:rsidR="00EB7CF5" w:rsidRPr="00177ED7" w:rsidRDefault="00EB7CF5" w:rsidP="00177ED7">
      <w:pPr>
        <w:pStyle w:val="IEEEParagraph"/>
        <w:ind w:firstLine="720"/>
        <w:rPr>
          <w:rFonts w:ascii="Book Antiqua" w:hAnsi="Book Antiqua"/>
          <w:color w:val="FF0000"/>
          <w:lang w:val="en-US"/>
        </w:rPr>
      </w:pPr>
    </w:p>
    <w:p w14:paraId="43FB3815" w14:textId="3A3869E5" w:rsidR="006362EF" w:rsidRPr="00EB7CF5" w:rsidRDefault="00244B70" w:rsidP="00B22C63">
      <w:pPr>
        <w:pStyle w:val="IEEEParagraph"/>
        <w:numPr>
          <w:ilvl w:val="0"/>
          <w:numId w:val="11"/>
        </w:numPr>
        <w:ind w:left="270" w:hanging="270"/>
        <w:rPr>
          <w:rFonts w:ascii="Book Antiqua" w:eastAsia="Times New Roman" w:hAnsi="Book Antiqua" w:cs="Angsana New"/>
          <w:b/>
          <w:bCs/>
          <w:color w:val="FF0000"/>
          <w:kern w:val="32"/>
          <w:lang w:eastAsia="en-US"/>
        </w:rPr>
      </w:pPr>
      <w:r w:rsidRPr="00244B70">
        <w:rPr>
          <w:rFonts w:ascii="Book Antiqua" w:hAnsi="Book Antiqua"/>
          <w:b/>
          <w:bCs/>
        </w:rPr>
        <w:t xml:space="preserve">Finding </w:t>
      </w:r>
      <w:r w:rsidR="006362EF" w:rsidRPr="00244B70">
        <w:rPr>
          <w:rFonts w:ascii="Book Antiqua" w:eastAsia="Times New Roman" w:hAnsi="Book Antiqua"/>
          <w:b/>
          <w:bCs/>
          <w:kern w:val="32"/>
          <w:lang w:val="id-ID" w:eastAsia="en-US"/>
        </w:rPr>
        <w:t>and Discussion</w:t>
      </w:r>
    </w:p>
    <w:p w14:paraId="4B3E3520" w14:textId="7976F030" w:rsidR="00EB7CF5" w:rsidRDefault="00EB7CF5" w:rsidP="00EB7CF5">
      <w:pPr>
        <w:pStyle w:val="IEEEParagraph"/>
        <w:ind w:firstLine="0"/>
        <w:rPr>
          <w:rFonts w:ascii="Book Antiqua" w:eastAsia="Times New Roman" w:hAnsi="Book Antiqua" w:cs="Angsana New"/>
          <w:b/>
          <w:bCs/>
          <w:color w:val="FF0000"/>
          <w:kern w:val="32"/>
          <w:lang w:eastAsia="en-US"/>
        </w:rPr>
      </w:pPr>
    </w:p>
    <w:p w14:paraId="62E96635" w14:textId="386C52C5" w:rsidR="00EB7CF5" w:rsidRPr="00EB7CF5" w:rsidRDefault="00EB7CF5" w:rsidP="00EB7CF5">
      <w:pPr>
        <w:pStyle w:val="IEEEParagraph"/>
        <w:ind w:firstLine="0"/>
        <w:rPr>
          <w:rFonts w:ascii="Book Antiqua" w:eastAsia="Times New Roman" w:hAnsi="Book Antiqua" w:cs="Angsana New"/>
          <w:b/>
          <w:bCs/>
          <w:kern w:val="32"/>
          <w:lang w:eastAsia="en-US"/>
        </w:rPr>
      </w:pPr>
      <w:r w:rsidRPr="00EB7CF5">
        <w:rPr>
          <w:rFonts w:ascii="Book Antiqua" w:eastAsia="Times New Roman" w:hAnsi="Book Antiqua" w:cs="Angsana New"/>
          <w:b/>
          <w:bCs/>
          <w:kern w:val="32"/>
          <w:lang w:eastAsia="en-US"/>
        </w:rPr>
        <w:t>Islamic Monetary Financial System</w:t>
      </w:r>
    </w:p>
    <w:p w14:paraId="16DF67FD" w14:textId="0F0B1354" w:rsidR="00177ED7" w:rsidRDefault="005B217F" w:rsidP="00177ED7">
      <w:pPr>
        <w:ind w:firstLine="720"/>
        <w:jc w:val="both"/>
        <w:rPr>
          <w:rFonts w:ascii="Book Antiqua" w:hAnsi="Book Antiqua"/>
        </w:rPr>
      </w:pPr>
      <w:bookmarkStart w:id="17" w:name="OLE_LINK45"/>
      <w:bookmarkStart w:id="18" w:name="OLE_LINK46"/>
      <w:bookmarkStart w:id="19" w:name="OLE_LINK31"/>
      <w:r w:rsidRPr="005B217F">
        <w:rPr>
          <w:rFonts w:ascii="Book Antiqua" w:hAnsi="Book Antiqua"/>
        </w:rPr>
        <w:t>Understanding the Islamic Monetary Framework is obtained from the Qur'an and as-Sunnah</w:t>
      </w:r>
      <w:r w:rsidR="00CC210E">
        <w:rPr>
          <w:rFonts w:ascii="Book Antiqua" w:hAnsi="Book Antiqua"/>
        </w:rPr>
        <w:t xml:space="preserve"> </w:t>
      </w:r>
      <w:r w:rsidR="00CC210E">
        <w:rPr>
          <w:rFonts w:ascii="Book Antiqua" w:hAnsi="Book Antiqua"/>
        </w:rPr>
        <w:fldChar w:fldCharType="begin" w:fldLock="1"/>
      </w:r>
      <w:r w:rsidR="009A2FA0">
        <w:rPr>
          <w:rFonts w:ascii="Book Antiqua" w:hAnsi="Book Antiqua"/>
        </w:rPr>
        <w:instrText>ADDIN CSL_CITATION {"citationItems":[{"id":"ITEM-1","itemData":{"DOI":"10.12816/0004129","ISSN":"13191616","author":[{"dropping-particle":"","family":"Askari","given":"Hossein","non-dropping-particle":"","parse-names":false,"suffix":""},{"dropping-particle":"","family":"Iqbal","given":"Zamir","non-dropping-particle":"","parse-names":false,"suffix":""},{"dropping-particle":"","family":"Mirakhor","given":"Abbas","non-dropping-particle":"","parse-names":false,"suffix":""}],"container-title":"Islamic Economic Studies","id":"ITEM-1","issue":"1","issued":{"date-parts":[["2014"]]},"page":"1-36","title":"Understanding Development in an Islamic Framework","type":"article-journal","volume":"22"},"uris":["http://www.mendeley.com/documents/?uuid=772da796-48bb-4cd6-b52b-9f0df63a37ef"]},{"id":"ITEM-2","itemData":{"DOI":"10.1016/S2212-5671(15)01213-7","ISSN":"22125671","author":[{"dropping-particle":"","family":"Razaly","given":"Mohamad Zaki","non-dropping-particle":"","parse-names":false,"suffix":""},{"dropping-particle":"","family":"Redzuan","given":"Mohd Asyadi","non-dropping-particle":"","parse-names":false,"suffix":""},{"dropping-particle":"","family":"Mustaffa","given":"Mohd Zainodin","non-dropping-particle":"","parse-names":false,"suffix":""},{"dropping-particle":"","family":"Saja","given":"Mahasin","non-dropping-particle":"","parse-names":false,"suffix":""},{"dropping-particle":"","family":"Nawi","given":"Sofwah Md","non-dropping-particle":"","parse-names":false,"suffix":""},{"dropping-particle":"","family":"Hatta","given":"Muhammad Firdaus Muhammad","non-dropping-particle":"","parse-names":false,"suffix":""},{"dropping-particle":"","family":"Raffi","given":"Nor Erna Nabila Mohd","non-dropping-particle":"","parse-names":false,"suffix":""}],"container-title":"Procedia Economics and Finance","id":"ITEM-2","issued":{"date-parts":[["2015"]]},"page":"380-386","title":"Managing Investment in The Light of Quran and Sunnah: Textual Analysis","type":"article-journal","volume":"31"},"uris":["http://www.mendeley.com/documents/?uuid=7f5b9d8a-393b-4193-92bc-79c6cf5f90ba"]}],"mendeley":{"formattedCitation":"(Askari et al., 2014; Razaly et al., 2015)","plainTextFormattedCitation":"(Askari et al., 2014; Razaly et al., 2015)","previouslyFormattedCitation":"(Askari et al., 2014; Razaly et al., 2015)"},"properties":{"noteIndex":0},"schema":"https://github.com/citation-style-language/schema/raw/master/csl-citation.json"}</w:instrText>
      </w:r>
      <w:r w:rsidR="00CC210E">
        <w:rPr>
          <w:rFonts w:ascii="Book Antiqua" w:hAnsi="Book Antiqua"/>
        </w:rPr>
        <w:fldChar w:fldCharType="separate"/>
      </w:r>
      <w:r w:rsidR="00CC210E" w:rsidRPr="00CC210E">
        <w:rPr>
          <w:rFonts w:ascii="Book Antiqua" w:hAnsi="Book Antiqua"/>
          <w:noProof/>
        </w:rPr>
        <w:t>(Askari et al., 2014; Razaly et al., 2015)</w:t>
      </w:r>
      <w:r w:rsidR="00CC210E">
        <w:rPr>
          <w:rFonts w:ascii="Book Antiqua" w:hAnsi="Book Antiqua"/>
        </w:rPr>
        <w:fldChar w:fldCharType="end"/>
      </w:r>
      <w:r w:rsidRPr="005B217F">
        <w:rPr>
          <w:rFonts w:ascii="Book Antiqua" w:hAnsi="Book Antiqua"/>
        </w:rPr>
        <w:t xml:space="preserve">, as is the translation of researchers of the spring of disclosure. In different structures, the construction of Islamic </w:t>
      </w:r>
      <w:r w:rsidR="00CC210E">
        <w:rPr>
          <w:rFonts w:ascii="Book Antiqua" w:hAnsi="Book Antiqua"/>
        </w:rPr>
        <w:t>finance</w:t>
      </w:r>
      <w:r w:rsidRPr="005B217F">
        <w:rPr>
          <w:rFonts w:ascii="Book Antiqua" w:hAnsi="Book Antiqua"/>
        </w:rPr>
        <w:t xml:space="preserve"> has been human progress that has not changed for quite a long time. In recent years, the design of Islamic</w:t>
      </w:r>
      <w:r w:rsidR="00CC210E">
        <w:rPr>
          <w:rFonts w:ascii="Book Antiqua" w:hAnsi="Book Antiqua"/>
        </w:rPr>
        <w:t xml:space="preserve"> finance</w:t>
      </w:r>
      <w:r w:rsidRPr="005B217F">
        <w:rPr>
          <w:rFonts w:ascii="Book Antiqua" w:hAnsi="Book Antiqua"/>
        </w:rPr>
        <w:t xml:space="preserve"> has emerged as one of the most significant and fruitful current executions of a set of common Islamic laws and as a pilot for future changes and advances in Islamic law</w:t>
      </w:r>
      <w:r>
        <w:rPr>
          <w:rFonts w:ascii="Book Antiqua" w:hAnsi="Book Antiqua"/>
        </w:rPr>
        <w:t xml:space="preserve">, </w:t>
      </w:r>
      <w:r w:rsidRPr="005B217F">
        <w:rPr>
          <w:rFonts w:ascii="Book Antiqua" w:hAnsi="Book Antiqua"/>
        </w:rPr>
        <w:t>as follows</w:t>
      </w:r>
      <w:r w:rsidR="00427ED0">
        <w:rPr>
          <w:rFonts w:ascii="Book Antiqua" w:hAnsi="Book Antiqua"/>
        </w:rPr>
        <w:t>:</w:t>
      </w:r>
    </w:p>
    <w:p w14:paraId="41F40AEE"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The presence of public resources within the monetary framework of the Islamic State belongs to Allah.</w:t>
      </w:r>
    </w:p>
    <w:p w14:paraId="4A542C25" w14:textId="4946B1C8"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 xml:space="preserve">The Messenger of Allah is the primary individual who trains Islamic </w:t>
      </w:r>
      <w:r w:rsidR="009A2FA0">
        <w:rPr>
          <w:rFonts w:ascii="Book Antiqua" w:hAnsi="Book Antiqua"/>
          <w:lang w:val="en-GB"/>
        </w:rPr>
        <w:t>finance</w:t>
      </w:r>
      <w:r w:rsidRPr="005B217F">
        <w:rPr>
          <w:rFonts w:ascii="Book Antiqua" w:hAnsi="Book Antiqua"/>
          <w:lang w:val="en-GB"/>
        </w:rPr>
        <w:t>.</w:t>
      </w:r>
    </w:p>
    <w:p w14:paraId="1A2E5F8F" w14:textId="6B79B0F5"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 xml:space="preserve">The Qur'an and Sunnah are the primary sources of Islamic </w:t>
      </w:r>
      <w:r w:rsidR="009A2FA0">
        <w:rPr>
          <w:rFonts w:ascii="Book Antiqua" w:hAnsi="Book Antiqua"/>
          <w:lang w:val="en-GB"/>
        </w:rPr>
        <w:t>finance</w:t>
      </w:r>
      <w:r w:rsidRPr="005B217F">
        <w:rPr>
          <w:rFonts w:ascii="Book Antiqua" w:hAnsi="Book Antiqua"/>
          <w:lang w:val="en-GB"/>
        </w:rPr>
        <w:t>.</w:t>
      </w:r>
    </w:p>
    <w:p w14:paraId="0014BBCF"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The Islamic monetary framework is an inclusive monetary framework</w:t>
      </w:r>
    </w:p>
    <w:p w14:paraId="367592EC"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Finance that is unique in Islam is that which upholds the monetary regulation of the Islamic State.</w:t>
      </w:r>
    </w:p>
    <w:p w14:paraId="57922D58"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The Islamic monetary framework adheres to the rules of administrative distribution as a source of state income.</w:t>
      </w:r>
    </w:p>
    <w:p w14:paraId="1DE266A2"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The Islamic monetary framework is described straightforwardly.</w:t>
      </w:r>
    </w:p>
    <w:p w14:paraId="11880A47"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The monetary framework in the Islamic State is a development that encourages good</w:t>
      </w:r>
    </w:p>
    <w:p w14:paraId="2AFF0CD4" w14:textId="77777777" w:rsidR="005B217F" w:rsidRPr="005B217F" w:rsidRDefault="005B217F" w:rsidP="005B217F">
      <w:pPr>
        <w:numPr>
          <w:ilvl w:val="0"/>
          <w:numId w:val="14"/>
        </w:numPr>
        <w:jc w:val="both"/>
        <w:rPr>
          <w:rFonts w:ascii="Book Antiqua" w:hAnsi="Book Antiqua"/>
          <w:lang w:val="en-GB"/>
        </w:rPr>
      </w:pPr>
      <w:r w:rsidRPr="005B217F">
        <w:rPr>
          <w:rFonts w:ascii="Book Antiqua" w:hAnsi="Book Antiqua"/>
          <w:lang w:val="en-GB"/>
        </w:rPr>
        <w:t>The Islamic monetary framework is the capital of resistance of Muslims.</w:t>
      </w:r>
    </w:p>
    <w:p w14:paraId="7B3EC9BD" w14:textId="19DC2FCA" w:rsidR="005B217F" w:rsidRPr="005B217F" w:rsidRDefault="005B217F" w:rsidP="005B217F">
      <w:pPr>
        <w:ind w:firstLine="720"/>
        <w:jc w:val="both"/>
        <w:rPr>
          <w:rFonts w:ascii="Book Antiqua" w:hAnsi="Book Antiqua"/>
          <w:lang w:val="en"/>
        </w:rPr>
      </w:pPr>
      <w:r w:rsidRPr="005B217F">
        <w:rPr>
          <w:rFonts w:ascii="Book Antiqua" w:hAnsi="Book Antiqua"/>
          <w:lang w:val="en"/>
        </w:rPr>
        <w:t xml:space="preserve">So Islamic monetary instruments are tradable assets for any design in Islamic </w:t>
      </w:r>
      <w:r w:rsidR="009A2FA0">
        <w:rPr>
          <w:rFonts w:ascii="Book Antiqua" w:hAnsi="Book Antiqua"/>
          <w:lang w:val="en"/>
        </w:rPr>
        <w:t>finance</w:t>
      </w:r>
      <w:r w:rsidRPr="005B217F">
        <w:rPr>
          <w:rFonts w:ascii="Book Antiqua" w:hAnsi="Book Antiqua"/>
          <w:lang w:val="en"/>
        </w:rPr>
        <w:t xml:space="preserve">-related trading. Such assets may be cash, proof of responsibility for the substance, or honor to obtain or share with cash or other </w:t>
      </w:r>
      <w:bookmarkStart w:id="20" w:name="OLE_LINK32"/>
      <w:r w:rsidR="009A2FA0">
        <w:rPr>
          <w:rFonts w:ascii="Book Antiqua" w:hAnsi="Book Antiqua"/>
          <w:lang w:val="en"/>
        </w:rPr>
        <w:t>financial</w:t>
      </w:r>
      <w:bookmarkEnd w:id="20"/>
      <w:r w:rsidRPr="005B217F">
        <w:rPr>
          <w:rFonts w:ascii="Book Antiqua" w:hAnsi="Book Antiqua"/>
          <w:lang w:val="en"/>
        </w:rPr>
        <w:t xml:space="preserve">-related instruments. Islamic financial instruments can also be described as arrangements or actions that lead to </w:t>
      </w:r>
      <w:r w:rsidR="009A2FA0">
        <w:rPr>
          <w:rFonts w:ascii="Book Antiqua" w:hAnsi="Book Antiqua"/>
          <w:lang w:val="en"/>
        </w:rPr>
        <w:t>financial</w:t>
      </w:r>
      <w:r w:rsidR="009A2FA0" w:rsidRPr="005B217F">
        <w:rPr>
          <w:rFonts w:ascii="Book Antiqua" w:hAnsi="Book Antiqua"/>
          <w:lang w:val="en"/>
        </w:rPr>
        <w:t xml:space="preserve"> </w:t>
      </w:r>
      <w:r w:rsidRPr="005B217F">
        <w:rPr>
          <w:rFonts w:ascii="Book Antiqua" w:hAnsi="Book Antiqua"/>
          <w:lang w:val="en"/>
        </w:rPr>
        <w:t xml:space="preserve">-related assets of one substance and commitments or </w:t>
      </w:r>
      <w:r w:rsidR="009A2FA0">
        <w:rPr>
          <w:rFonts w:ascii="Book Antiqua" w:hAnsi="Book Antiqua"/>
          <w:lang w:val="en"/>
        </w:rPr>
        <w:t>financial</w:t>
      </w:r>
      <w:r w:rsidRPr="005B217F">
        <w:rPr>
          <w:rFonts w:ascii="Book Antiqua" w:hAnsi="Book Antiqua"/>
          <w:lang w:val="en"/>
        </w:rPr>
        <w:t>-related instruments of significant value from one component to another in monetary implementation that depend on the principles of the Islamic treasury.</w:t>
      </w:r>
      <w:r w:rsidRPr="005B217F">
        <w:rPr>
          <w:rFonts w:ascii="Book Antiqua" w:hAnsi="Book Antiqua"/>
          <w:lang w:val="en-ID"/>
        </w:rPr>
        <w:t xml:space="preserve"> </w:t>
      </w:r>
      <w:r w:rsidRPr="005B217F">
        <w:rPr>
          <w:rFonts w:ascii="Book Antiqua" w:hAnsi="Book Antiqua"/>
          <w:lang w:val="en"/>
        </w:rPr>
        <w:t>In its characteristics, here are the types of instruments, namely:</w:t>
      </w:r>
    </w:p>
    <w:p w14:paraId="2AB3FAE2" w14:textId="12C4F6CA" w:rsidR="005B217F" w:rsidRDefault="005B217F" w:rsidP="005B217F">
      <w:pPr>
        <w:pStyle w:val="NormalWeb"/>
        <w:numPr>
          <w:ilvl w:val="0"/>
          <w:numId w:val="15"/>
        </w:numPr>
        <w:spacing w:before="0" w:beforeAutospacing="0" w:after="0" w:afterAutospacing="0"/>
        <w:rPr>
          <w:rFonts w:ascii="Book Antiqua" w:hAnsi="Book Antiqua"/>
          <w:color w:val="0E101A"/>
          <w:lang w:val="en-GB" w:eastAsia="en-GB"/>
        </w:rPr>
      </w:pPr>
      <w:bookmarkStart w:id="21" w:name="OLE_LINK13"/>
      <w:r w:rsidRPr="005B217F">
        <w:rPr>
          <w:rFonts w:ascii="Book Antiqua" w:hAnsi="Book Antiqua"/>
          <w:color w:val="0E101A"/>
          <w:lang w:val="en-GB" w:eastAsia="en-GB"/>
        </w:rPr>
        <w:t>Short-Term Financial Instruments (</w:t>
      </w:r>
      <w:r w:rsidR="009A2FA0">
        <w:rPr>
          <w:rFonts w:ascii="Book Antiqua" w:hAnsi="Book Antiqua"/>
          <w:lang w:val="en"/>
        </w:rPr>
        <w:t>F</w:t>
      </w:r>
      <w:r w:rsidR="009A2FA0">
        <w:rPr>
          <w:rFonts w:ascii="Book Antiqua" w:hAnsi="Book Antiqua"/>
          <w:lang w:val="en"/>
        </w:rPr>
        <w:t>inancial</w:t>
      </w:r>
      <w:r w:rsidRPr="005B217F">
        <w:rPr>
          <w:rFonts w:ascii="Book Antiqua" w:hAnsi="Book Antiqua"/>
          <w:color w:val="0E101A"/>
          <w:lang w:val="en-GB" w:eastAsia="en-GB"/>
        </w:rPr>
        <w:t xml:space="preserve"> Market Instruments)</w:t>
      </w:r>
    </w:p>
    <w:bookmarkEnd w:id="21"/>
    <w:p w14:paraId="033A99C5" w14:textId="42C1E487" w:rsidR="005B217F" w:rsidRPr="005B217F" w:rsidRDefault="005B217F" w:rsidP="005B217F">
      <w:pPr>
        <w:pStyle w:val="NormalWeb"/>
        <w:numPr>
          <w:ilvl w:val="1"/>
          <w:numId w:val="15"/>
        </w:numPr>
        <w:rPr>
          <w:rFonts w:ascii="Book Antiqua" w:hAnsi="Book Antiqua"/>
          <w:color w:val="0E101A"/>
          <w:lang w:val="en-GB" w:eastAsia="en-GB"/>
        </w:rPr>
      </w:pPr>
      <w:r w:rsidRPr="005B217F">
        <w:rPr>
          <w:rFonts w:ascii="Book Antiqua" w:hAnsi="Book Antiqua"/>
          <w:color w:val="0E101A"/>
          <w:lang w:val="en-GB" w:eastAsia="en-GB"/>
        </w:rPr>
        <w:t xml:space="preserve">Interbank </w:t>
      </w:r>
      <w:r w:rsidR="009A2FA0">
        <w:rPr>
          <w:rFonts w:ascii="Book Antiqua" w:hAnsi="Book Antiqua"/>
          <w:lang w:val="en"/>
        </w:rPr>
        <w:t>F</w:t>
      </w:r>
      <w:r w:rsidR="009A2FA0">
        <w:rPr>
          <w:rFonts w:ascii="Book Antiqua" w:hAnsi="Book Antiqua"/>
          <w:lang w:val="en"/>
        </w:rPr>
        <w:t>inancial</w:t>
      </w:r>
      <w:r w:rsidRPr="005B217F">
        <w:rPr>
          <w:rFonts w:ascii="Book Antiqua" w:hAnsi="Book Antiqua"/>
          <w:color w:val="0E101A"/>
          <w:lang w:val="en-GB" w:eastAsia="en-GB"/>
        </w:rPr>
        <w:t xml:space="preserve"> Market</w:t>
      </w:r>
    </w:p>
    <w:p w14:paraId="7A29CAAB" w14:textId="1505BA5C" w:rsidR="005B217F" w:rsidRPr="005B217F" w:rsidRDefault="005B217F" w:rsidP="005B217F">
      <w:pPr>
        <w:pStyle w:val="NormalWeb"/>
        <w:numPr>
          <w:ilvl w:val="1"/>
          <w:numId w:val="15"/>
        </w:numPr>
        <w:rPr>
          <w:rFonts w:ascii="Book Antiqua" w:hAnsi="Book Antiqua"/>
          <w:color w:val="0E101A"/>
          <w:lang w:val="en-GB" w:eastAsia="en-GB"/>
        </w:rPr>
      </w:pPr>
      <w:r w:rsidRPr="005B217F">
        <w:rPr>
          <w:rFonts w:ascii="Book Antiqua" w:hAnsi="Book Antiqua"/>
          <w:color w:val="0E101A"/>
          <w:lang w:val="en-GB" w:eastAsia="en-GB"/>
        </w:rPr>
        <w:lastRenderedPageBreak/>
        <w:t>Bank Indonesia Certificate</w:t>
      </w:r>
    </w:p>
    <w:p w14:paraId="30510A7D" w14:textId="79CC2133" w:rsidR="005B217F" w:rsidRPr="005B217F" w:rsidRDefault="005B217F" w:rsidP="005B217F">
      <w:pPr>
        <w:pStyle w:val="NormalWeb"/>
        <w:numPr>
          <w:ilvl w:val="1"/>
          <w:numId w:val="15"/>
        </w:numPr>
        <w:rPr>
          <w:rFonts w:ascii="Book Antiqua" w:hAnsi="Book Antiqua"/>
          <w:color w:val="0E101A"/>
          <w:lang w:val="en-GB" w:eastAsia="en-GB"/>
        </w:rPr>
      </w:pPr>
      <w:r w:rsidRPr="005B217F">
        <w:rPr>
          <w:rFonts w:ascii="Book Antiqua" w:hAnsi="Book Antiqua"/>
          <w:color w:val="0E101A"/>
          <w:lang w:val="en-GB" w:eastAsia="en-GB"/>
        </w:rPr>
        <w:t>Certificate of Deposit</w:t>
      </w:r>
    </w:p>
    <w:p w14:paraId="300C1FDF" w14:textId="1DEDA0F9" w:rsidR="005B217F" w:rsidRPr="005B217F" w:rsidRDefault="009A2FA0" w:rsidP="005B217F">
      <w:pPr>
        <w:pStyle w:val="NormalWeb"/>
        <w:numPr>
          <w:ilvl w:val="1"/>
          <w:numId w:val="15"/>
        </w:numPr>
        <w:rPr>
          <w:rFonts w:ascii="Book Antiqua" w:hAnsi="Book Antiqua"/>
          <w:color w:val="0E101A"/>
          <w:lang w:val="en-GB" w:eastAsia="en-GB"/>
        </w:rPr>
      </w:pPr>
      <w:r>
        <w:rPr>
          <w:rFonts w:ascii="Book Antiqua" w:hAnsi="Book Antiqua"/>
          <w:color w:val="0E101A"/>
          <w:lang w:val="en-GB" w:eastAsia="en-GB"/>
        </w:rPr>
        <w:t>Financial</w:t>
      </w:r>
      <w:r w:rsidR="005B217F" w:rsidRPr="005B217F">
        <w:rPr>
          <w:rFonts w:ascii="Book Antiqua" w:hAnsi="Book Antiqua"/>
          <w:color w:val="0E101A"/>
          <w:lang w:val="en-GB" w:eastAsia="en-GB"/>
        </w:rPr>
        <w:t xml:space="preserve"> Market Securities</w:t>
      </w:r>
    </w:p>
    <w:p w14:paraId="5C2F8C45" w14:textId="090EC677" w:rsidR="005B217F" w:rsidRPr="005B217F" w:rsidRDefault="005B217F" w:rsidP="005B217F">
      <w:pPr>
        <w:pStyle w:val="NormalWeb"/>
        <w:numPr>
          <w:ilvl w:val="1"/>
          <w:numId w:val="15"/>
        </w:numPr>
        <w:rPr>
          <w:rFonts w:ascii="Book Antiqua" w:hAnsi="Book Antiqua"/>
          <w:color w:val="0E101A"/>
          <w:lang w:val="en-GB" w:eastAsia="en-GB"/>
        </w:rPr>
      </w:pPr>
      <w:r w:rsidRPr="005B217F">
        <w:rPr>
          <w:rFonts w:ascii="Book Antiqua" w:hAnsi="Book Antiqua"/>
          <w:color w:val="0E101A"/>
          <w:lang w:val="en-GB" w:eastAsia="en-GB"/>
        </w:rPr>
        <w:t>Banker's Acceptance</w:t>
      </w:r>
    </w:p>
    <w:p w14:paraId="2725203D" w14:textId="4152AB50" w:rsidR="005B217F" w:rsidRPr="005B217F" w:rsidRDefault="005B217F" w:rsidP="005B217F">
      <w:pPr>
        <w:pStyle w:val="NormalWeb"/>
        <w:numPr>
          <w:ilvl w:val="1"/>
          <w:numId w:val="15"/>
        </w:numPr>
        <w:rPr>
          <w:rFonts w:ascii="Book Antiqua" w:hAnsi="Book Antiqua"/>
          <w:color w:val="0E101A"/>
          <w:lang w:val="en-GB" w:eastAsia="en-GB"/>
        </w:rPr>
      </w:pPr>
      <w:r w:rsidRPr="005B217F">
        <w:rPr>
          <w:rFonts w:ascii="Book Antiqua" w:hAnsi="Book Antiqua"/>
          <w:color w:val="0E101A"/>
          <w:lang w:val="en-GB" w:eastAsia="en-GB"/>
        </w:rPr>
        <w:t xml:space="preserve">Commercial Paper </w:t>
      </w:r>
    </w:p>
    <w:p w14:paraId="56529096" w14:textId="2C371F13" w:rsidR="005B217F" w:rsidRPr="005B217F" w:rsidRDefault="005B217F" w:rsidP="005B217F">
      <w:pPr>
        <w:pStyle w:val="NormalWeb"/>
        <w:numPr>
          <w:ilvl w:val="1"/>
          <w:numId w:val="15"/>
        </w:numPr>
        <w:rPr>
          <w:rFonts w:ascii="Book Antiqua" w:hAnsi="Book Antiqua"/>
          <w:color w:val="0E101A"/>
          <w:lang w:val="en-GB" w:eastAsia="en-GB"/>
        </w:rPr>
      </w:pPr>
      <w:r w:rsidRPr="005B217F">
        <w:rPr>
          <w:rFonts w:ascii="Book Antiqua" w:hAnsi="Book Antiqua"/>
          <w:color w:val="0E101A"/>
          <w:lang w:val="en-GB" w:eastAsia="en-GB"/>
        </w:rPr>
        <w:t xml:space="preserve">Treasury Bills </w:t>
      </w:r>
    </w:p>
    <w:p w14:paraId="2EF44AC0" w14:textId="67C2F84B" w:rsidR="005B217F" w:rsidRPr="005B217F" w:rsidRDefault="005B217F" w:rsidP="005B217F">
      <w:pPr>
        <w:pStyle w:val="NormalWeb"/>
        <w:numPr>
          <w:ilvl w:val="1"/>
          <w:numId w:val="15"/>
        </w:numPr>
        <w:spacing w:before="0" w:beforeAutospacing="0" w:after="0" w:afterAutospacing="0"/>
        <w:rPr>
          <w:rFonts w:ascii="Book Antiqua" w:hAnsi="Book Antiqua"/>
          <w:color w:val="0E101A"/>
          <w:lang w:val="en-GB" w:eastAsia="en-GB"/>
        </w:rPr>
      </w:pPr>
      <w:r w:rsidRPr="005B217F">
        <w:rPr>
          <w:rFonts w:ascii="Book Antiqua" w:hAnsi="Book Antiqua"/>
          <w:color w:val="0E101A"/>
          <w:lang w:val="en-GB" w:eastAsia="en-GB"/>
        </w:rPr>
        <w:t>Repurchase Agreement</w:t>
      </w:r>
    </w:p>
    <w:p w14:paraId="6EBBECC7" w14:textId="0E2092AB" w:rsidR="005B217F" w:rsidRDefault="005B217F" w:rsidP="005B217F">
      <w:pPr>
        <w:pStyle w:val="NormalWeb"/>
        <w:numPr>
          <w:ilvl w:val="0"/>
          <w:numId w:val="15"/>
        </w:numPr>
        <w:spacing w:before="0" w:beforeAutospacing="0" w:after="0" w:afterAutospacing="0"/>
        <w:rPr>
          <w:rFonts w:ascii="Book Antiqua" w:hAnsi="Book Antiqua"/>
          <w:color w:val="0E101A"/>
          <w:lang w:val="en-GB" w:eastAsia="en-GB"/>
        </w:rPr>
      </w:pPr>
      <w:r w:rsidRPr="005B217F">
        <w:rPr>
          <w:rFonts w:ascii="Book Antiqua" w:hAnsi="Book Antiqua"/>
          <w:color w:val="0E101A"/>
          <w:lang w:val="en-GB" w:eastAsia="en-GB"/>
        </w:rPr>
        <w:t xml:space="preserve">Long-Term Financial Instruments </w:t>
      </w:r>
      <w:r>
        <w:rPr>
          <w:rFonts w:ascii="Book Antiqua" w:hAnsi="Book Antiqua"/>
          <w:color w:val="0E101A"/>
          <w:lang w:val="en-GB" w:eastAsia="en-GB"/>
        </w:rPr>
        <w:t xml:space="preserve">in Stocks </w:t>
      </w:r>
      <w:r w:rsidRPr="005B217F">
        <w:rPr>
          <w:rFonts w:ascii="Book Antiqua" w:hAnsi="Book Antiqua"/>
          <w:color w:val="0E101A"/>
          <w:lang w:val="en-GB" w:eastAsia="en-GB"/>
        </w:rPr>
        <w:t>(Capital Market instruments)</w:t>
      </w:r>
    </w:p>
    <w:p w14:paraId="12A75F53" w14:textId="51C877BA" w:rsidR="005B217F" w:rsidRDefault="005B217F" w:rsidP="005B217F">
      <w:pPr>
        <w:pStyle w:val="NormalWeb"/>
        <w:numPr>
          <w:ilvl w:val="0"/>
          <w:numId w:val="15"/>
        </w:numPr>
        <w:spacing w:before="0" w:beforeAutospacing="0" w:after="0" w:afterAutospacing="0"/>
        <w:jc w:val="both"/>
        <w:rPr>
          <w:rFonts w:ascii="Book Antiqua" w:hAnsi="Book Antiqua"/>
          <w:color w:val="0E101A"/>
          <w:lang w:val="en-GB" w:eastAsia="en-GB"/>
        </w:rPr>
      </w:pPr>
      <w:r w:rsidRPr="005B217F">
        <w:rPr>
          <w:rFonts w:ascii="Book Antiqua" w:hAnsi="Book Antiqua"/>
          <w:color w:val="0E101A"/>
          <w:lang w:val="en-GB" w:eastAsia="en-GB"/>
        </w:rPr>
        <w:t>Types of Islamic Financial Instruments</w:t>
      </w:r>
      <w:r>
        <w:rPr>
          <w:rFonts w:ascii="Book Antiqua" w:hAnsi="Book Antiqua"/>
          <w:color w:val="0E101A"/>
          <w:lang w:val="en-GB" w:eastAsia="en-GB"/>
        </w:rPr>
        <w:t xml:space="preserve">. </w:t>
      </w:r>
      <w:r w:rsidRPr="005B217F">
        <w:rPr>
          <w:rFonts w:ascii="Book Antiqua" w:hAnsi="Book Antiqua"/>
          <w:color w:val="0E101A"/>
          <w:lang w:val="en-GB" w:eastAsia="en-GB"/>
        </w:rPr>
        <w:t>In Islamic monetary exercises, there are different types of monetary instruments. Islamic monetary instruments are recognized and collected by agreement as follows:</w:t>
      </w:r>
    </w:p>
    <w:p w14:paraId="0FB7FB0B" w14:textId="424E70B3" w:rsidR="005B217F" w:rsidRDefault="005B217F" w:rsidP="005B217F">
      <w:pPr>
        <w:pStyle w:val="NormalWeb"/>
        <w:numPr>
          <w:ilvl w:val="1"/>
          <w:numId w:val="15"/>
        </w:numPr>
        <w:jc w:val="both"/>
        <w:rPr>
          <w:rFonts w:ascii="Book Antiqua" w:hAnsi="Book Antiqua"/>
          <w:color w:val="0E101A"/>
          <w:lang w:val="en-GB" w:eastAsia="en-GB"/>
        </w:rPr>
      </w:pPr>
      <w:r>
        <w:rPr>
          <w:rFonts w:ascii="Book Antiqua" w:hAnsi="Book Antiqua"/>
          <w:color w:val="0E101A"/>
          <w:lang w:val="en-GB" w:eastAsia="en-GB"/>
        </w:rPr>
        <w:t>V</w:t>
      </w:r>
      <w:r w:rsidRPr="005B217F">
        <w:rPr>
          <w:rFonts w:ascii="Book Antiqua" w:hAnsi="Book Antiqua"/>
          <w:color w:val="0E101A"/>
          <w:lang w:val="en-GB" w:eastAsia="en-GB"/>
        </w:rPr>
        <w:t>enture contract is a kind of tijarah contract as a contract of insecurity.</w:t>
      </w:r>
      <w:r>
        <w:rPr>
          <w:rFonts w:ascii="Book Antiqua" w:hAnsi="Book Antiqua"/>
          <w:color w:val="0E101A"/>
          <w:lang w:val="en-GB" w:eastAsia="en-GB"/>
        </w:rPr>
        <w:t xml:space="preserve"> </w:t>
      </w:r>
      <w:r w:rsidRPr="005B217F">
        <w:rPr>
          <w:rFonts w:ascii="Book Antiqua" w:hAnsi="Book Antiqua"/>
          <w:color w:val="0E101A"/>
          <w:lang w:val="en-GB" w:eastAsia="en-GB"/>
        </w:rPr>
        <w:t>The meetings as agreed are as follows:</w:t>
      </w:r>
    </w:p>
    <w:p w14:paraId="2B081371" w14:textId="38CFC15F" w:rsidR="005B217F" w:rsidRPr="005B217F" w:rsidRDefault="005B217F" w:rsidP="005B217F">
      <w:pPr>
        <w:pStyle w:val="ListParagraph"/>
        <w:numPr>
          <w:ilvl w:val="2"/>
          <w:numId w:val="15"/>
        </w:numPr>
        <w:jc w:val="both"/>
        <w:rPr>
          <w:rFonts w:ascii="Book Antiqua" w:eastAsia="Times New Roman" w:hAnsi="Book Antiqua"/>
          <w:color w:val="0E101A"/>
          <w:lang w:val="en-GB" w:eastAsia="en-GB"/>
        </w:rPr>
      </w:pPr>
      <w:r w:rsidRPr="005B217F">
        <w:rPr>
          <w:rFonts w:ascii="Book Antiqua" w:eastAsia="Times New Roman" w:hAnsi="Book Antiqua"/>
          <w:color w:val="0E101A"/>
          <w:lang w:val="en-GB" w:eastAsia="en-GB"/>
        </w:rPr>
        <w:t xml:space="preserve">The </w:t>
      </w:r>
      <w:proofErr w:type="spellStart"/>
      <w:r w:rsidRPr="005B217F">
        <w:rPr>
          <w:rFonts w:ascii="Book Antiqua" w:eastAsia="Times New Roman" w:hAnsi="Book Antiqua"/>
          <w:color w:val="0E101A"/>
          <w:lang w:val="en-GB" w:eastAsia="en-GB"/>
        </w:rPr>
        <w:t>Mudharabah</w:t>
      </w:r>
      <w:proofErr w:type="spellEnd"/>
      <w:r w:rsidRPr="005B217F">
        <w:rPr>
          <w:rFonts w:ascii="Book Antiqua" w:eastAsia="Times New Roman" w:hAnsi="Book Antiqua"/>
          <w:color w:val="0E101A"/>
          <w:lang w:val="en-GB" w:eastAsia="en-GB"/>
        </w:rPr>
        <w:t xml:space="preserve"> Agreement is a type of cooperation agreement between at least two meetings in which the owner of the capital (</w:t>
      </w:r>
      <w:proofErr w:type="spellStart"/>
      <w:r w:rsidRPr="005B217F">
        <w:rPr>
          <w:rFonts w:ascii="Book Antiqua" w:eastAsia="Times New Roman" w:hAnsi="Book Antiqua"/>
          <w:color w:val="0E101A"/>
          <w:lang w:val="en-GB" w:eastAsia="en-GB"/>
        </w:rPr>
        <w:t>shahibulmaal</w:t>
      </w:r>
      <w:proofErr w:type="spellEnd"/>
      <w:r w:rsidRPr="005B217F">
        <w:rPr>
          <w:rFonts w:ascii="Book Antiqua" w:eastAsia="Times New Roman" w:hAnsi="Book Antiqua"/>
          <w:color w:val="0E101A"/>
          <w:lang w:val="en-GB" w:eastAsia="en-GB"/>
        </w:rPr>
        <w:t>) shares a certain measure of capital with the supervisor (</w:t>
      </w:r>
      <w:proofErr w:type="spellStart"/>
      <w:r w:rsidRPr="005B217F">
        <w:rPr>
          <w:rFonts w:ascii="Book Antiqua" w:eastAsia="Times New Roman" w:hAnsi="Book Antiqua"/>
          <w:color w:val="0E101A"/>
          <w:lang w:val="en-GB" w:eastAsia="en-GB"/>
        </w:rPr>
        <w:t>mudharib</w:t>
      </w:r>
      <w:proofErr w:type="spellEnd"/>
      <w:r w:rsidRPr="005B217F">
        <w:rPr>
          <w:rFonts w:ascii="Book Antiqua" w:eastAsia="Times New Roman" w:hAnsi="Book Antiqua"/>
          <w:color w:val="0E101A"/>
          <w:lang w:val="en-GB" w:eastAsia="en-GB"/>
        </w:rPr>
        <w:t xml:space="preserve">) to complete a business exercise with a proportion or distribution of profits for the benefits obtained by the understanding of both parties or earlier. Meanwhile, assuming that there is a calamity, it is only borne by the asset owner as long as there is no purpose or carelessness of the </w:t>
      </w:r>
      <w:proofErr w:type="spellStart"/>
      <w:r w:rsidRPr="005B217F">
        <w:rPr>
          <w:rFonts w:ascii="Book Antiqua" w:eastAsia="Times New Roman" w:hAnsi="Book Antiqua"/>
          <w:color w:val="0E101A"/>
          <w:lang w:val="en-GB" w:eastAsia="en-GB"/>
        </w:rPr>
        <w:t>mudharib</w:t>
      </w:r>
      <w:proofErr w:type="spellEnd"/>
      <w:r w:rsidRPr="005B217F">
        <w:rPr>
          <w:rFonts w:ascii="Book Antiqua" w:eastAsia="Times New Roman" w:hAnsi="Book Antiqua"/>
          <w:color w:val="0E101A"/>
          <w:lang w:val="en-GB" w:eastAsia="en-GB"/>
        </w:rPr>
        <w:t>. This structure highlights the participation in the commitment of 100% of the capital of the owner of the capital and the mastery of the administrator.</w:t>
      </w:r>
    </w:p>
    <w:p w14:paraId="03698CE8" w14:textId="77777777" w:rsidR="005B217F" w:rsidRPr="005B217F" w:rsidRDefault="005B217F" w:rsidP="005B217F">
      <w:pPr>
        <w:pStyle w:val="ListParagraph"/>
        <w:numPr>
          <w:ilvl w:val="2"/>
          <w:numId w:val="15"/>
        </w:numPr>
        <w:jc w:val="both"/>
        <w:rPr>
          <w:rFonts w:ascii="Book Antiqua" w:eastAsia="Times New Roman" w:hAnsi="Book Antiqua"/>
          <w:color w:val="0E101A"/>
          <w:lang w:val="en-GB" w:eastAsia="en-GB"/>
        </w:rPr>
      </w:pPr>
      <w:r w:rsidRPr="005B217F">
        <w:rPr>
          <w:rFonts w:ascii="Book Antiqua" w:eastAsia="Times New Roman" w:hAnsi="Book Antiqua"/>
          <w:color w:val="0E101A"/>
          <w:lang w:val="en-GB" w:eastAsia="en-GB"/>
        </w:rPr>
        <w:t xml:space="preserve">The </w:t>
      </w:r>
      <w:proofErr w:type="spellStart"/>
      <w:r w:rsidRPr="005B217F">
        <w:rPr>
          <w:rFonts w:ascii="Book Antiqua" w:eastAsia="Times New Roman" w:hAnsi="Book Antiqua"/>
          <w:color w:val="0E101A"/>
          <w:lang w:val="en-GB" w:eastAsia="en-GB"/>
        </w:rPr>
        <w:t>Musyarokah</w:t>
      </w:r>
      <w:proofErr w:type="spellEnd"/>
      <w:r w:rsidRPr="005B217F">
        <w:rPr>
          <w:rFonts w:ascii="Book Antiqua" w:eastAsia="Times New Roman" w:hAnsi="Book Antiqua"/>
          <w:color w:val="0E101A"/>
          <w:lang w:val="en-GB" w:eastAsia="en-GB"/>
        </w:rPr>
        <w:t xml:space="preserve"> Agreement is an agreement in a cooperation agreement that occurs between the owner of capital (local capital owner) to unite capital and lead the business together in a partnership, with a proportion of mutually agreed profit sharing. At the same time, misfortune is borne relatively according to the committed capital. This type of commitment from participating in meetings can be assets, supplies, business, talent, ownership, equipment or licensing, trust, or fame.</w:t>
      </w:r>
    </w:p>
    <w:p w14:paraId="1BBE6ECD" w14:textId="77777777" w:rsidR="005B217F" w:rsidRPr="005B217F" w:rsidRDefault="005B217F" w:rsidP="005B217F">
      <w:pPr>
        <w:pStyle w:val="NormalWeb"/>
        <w:numPr>
          <w:ilvl w:val="2"/>
          <w:numId w:val="15"/>
        </w:numPr>
        <w:jc w:val="both"/>
        <w:rPr>
          <w:rFonts w:ascii="Book Antiqua" w:hAnsi="Book Antiqua"/>
          <w:color w:val="0E101A"/>
          <w:lang w:val="en-GB" w:eastAsia="en-GB"/>
        </w:rPr>
      </w:pPr>
      <w:r w:rsidRPr="005B217F">
        <w:rPr>
          <w:rFonts w:ascii="Book Antiqua" w:hAnsi="Book Antiqua"/>
          <w:color w:val="0E101A"/>
          <w:lang w:val="en-GB" w:eastAsia="en-GB"/>
        </w:rPr>
        <w:t>Sukuk, commonly called Islamic bonds, is the protection of obligations with Islamic standards.</w:t>
      </w:r>
    </w:p>
    <w:p w14:paraId="73AD6F0F" w14:textId="6D8CB0B3" w:rsidR="005B217F" w:rsidRPr="005B217F" w:rsidRDefault="005B217F" w:rsidP="005B217F">
      <w:pPr>
        <w:pStyle w:val="NormalWeb"/>
        <w:numPr>
          <w:ilvl w:val="2"/>
          <w:numId w:val="15"/>
        </w:numPr>
        <w:jc w:val="both"/>
        <w:rPr>
          <w:rFonts w:ascii="Book Antiqua" w:hAnsi="Book Antiqua"/>
          <w:color w:val="0E101A"/>
          <w:lang w:val="en-GB" w:eastAsia="en-GB"/>
        </w:rPr>
      </w:pPr>
      <w:r w:rsidRPr="005B217F">
        <w:rPr>
          <w:rFonts w:ascii="Book Antiqua" w:hAnsi="Book Antiqua"/>
          <w:color w:val="0E101A"/>
          <w:lang w:val="en-GB" w:eastAsia="en-GB"/>
        </w:rPr>
        <w:t>Islamic stocks are goods that are consistent with Islam. A different condition is that the organization has somewhat lower exchange receivables compared to its unlimited resources below 45%, the organization must have few liabilities compared to the market capitalization value below 33%, and the organization has a small income payment below 5 %.</w:t>
      </w:r>
    </w:p>
    <w:p w14:paraId="4DAC3E1D" w14:textId="23798C15" w:rsidR="005B217F" w:rsidRDefault="005B217F" w:rsidP="005B217F">
      <w:pPr>
        <w:pStyle w:val="NormalWeb"/>
        <w:numPr>
          <w:ilvl w:val="1"/>
          <w:numId w:val="15"/>
        </w:numPr>
        <w:jc w:val="both"/>
        <w:rPr>
          <w:rFonts w:ascii="Book Antiqua" w:hAnsi="Book Antiqua"/>
          <w:color w:val="0E101A"/>
          <w:lang w:val="en-GB" w:eastAsia="en-GB"/>
        </w:rPr>
      </w:pPr>
      <w:bookmarkStart w:id="22" w:name="_Hlk106542308"/>
      <w:r w:rsidRPr="005B217F">
        <w:rPr>
          <w:rFonts w:ascii="Book Antiqua" w:hAnsi="Book Antiqua"/>
          <w:color w:val="0E101A"/>
          <w:lang w:val="en-GB" w:eastAsia="en-GB"/>
        </w:rPr>
        <w:lastRenderedPageBreak/>
        <w:t>The sale and purchase agreement or lease is said to be a kind of tijarah contract as a certainty.</w:t>
      </w:r>
      <w:r>
        <w:rPr>
          <w:rFonts w:ascii="Book Antiqua" w:hAnsi="Book Antiqua"/>
          <w:color w:val="0E101A"/>
          <w:lang w:val="en-GB" w:eastAsia="en-GB"/>
        </w:rPr>
        <w:t xml:space="preserve"> </w:t>
      </w:r>
      <w:r w:rsidRPr="005B217F">
        <w:rPr>
          <w:rFonts w:ascii="Book Antiqua" w:hAnsi="Book Antiqua"/>
          <w:color w:val="0E101A"/>
          <w:lang w:val="en-GB" w:eastAsia="en-GB"/>
        </w:rPr>
        <w:t>The Islamic monetary instruments remembered for this group of treaties are as follows:</w:t>
      </w:r>
    </w:p>
    <w:bookmarkEnd w:id="22"/>
    <w:p w14:paraId="4DB30369" w14:textId="77777777" w:rsidR="005B217F" w:rsidRPr="005B217F" w:rsidRDefault="005B217F" w:rsidP="005B217F">
      <w:pPr>
        <w:pStyle w:val="NormalWeb"/>
        <w:numPr>
          <w:ilvl w:val="2"/>
          <w:numId w:val="15"/>
        </w:numPr>
        <w:jc w:val="both"/>
        <w:rPr>
          <w:rFonts w:ascii="Book Antiqua" w:hAnsi="Book Antiqua"/>
          <w:color w:val="0E101A"/>
          <w:lang w:val="en-GB" w:eastAsia="en-GB"/>
        </w:rPr>
      </w:pPr>
      <w:proofErr w:type="spellStart"/>
      <w:r w:rsidRPr="005B217F">
        <w:rPr>
          <w:rFonts w:ascii="Book Antiqua" w:hAnsi="Book Antiqua"/>
          <w:color w:val="0E101A"/>
          <w:lang w:val="en-GB" w:eastAsia="en-GB"/>
        </w:rPr>
        <w:t>Murabahah</w:t>
      </w:r>
      <w:proofErr w:type="spellEnd"/>
      <w:r w:rsidRPr="005B217F">
        <w:rPr>
          <w:rFonts w:ascii="Book Antiqua" w:hAnsi="Book Antiqua"/>
          <w:color w:val="0E101A"/>
          <w:lang w:val="en-GB" w:eastAsia="en-GB"/>
        </w:rPr>
        <w:t xml:space="preserve"> contract is the exchange of sales proceeds on the condition that the acquisition price and net income are achieved between the seller and the buyer. Also, a fee agreed upon between the buyer and the dealer on the hours of exchange should not change.</w:t>
      </w:r>
    </w:p>
    <w:p w14:paraId="6796C2DC" w14:textId="4EB6DAE7" w:rsidR="005B217F" w:rsidRPr="005B217F" w:rsidRDefault="005B217F" w:rsidP="005B217F">
      <w:pPr>
        <w:pStyle w:val="NormalWeb"/>
        <w:numPr>
          <w:ilvl w:val="2"/>
          <w:numId w:val="15"/>
        </w:numPr>
        <w:jc w:val="both"/>
        <w:rPr>
          <w:rFonts w:ascii="Book Antiqua" w:hAnsi="Book Antiqua"/>
          <w:color w:val="0E101A"/>
          <w:lang w:val="en-GB" w:eastAsia="en-GB"/>
        </w:rPr>
      </w:pPr>
      <w:r w:rsidRPr="005B217F">
        <w:rPr>
          <w:rFonts w:ascii="Book Antiqua" w:hAnsi="Book Antiqua"/>
          <w:color w:val="0E101A"/>
          <w:lang w:val="en-GB" w:eastAsia="en-GB"/>
        </w:rPr>
        <w:t xml:space="preserve">A greeting contract is a contract for buying and selling goods whose merchandise does not yet exist. So, the merchandise is still suspended, but the </w:t>
      </w:r>
      <w:proofErr w:type="spellStart"/>
      <w:r w:rsidRPr="005B217F">
        <w:rPr>
          <w:rFonts w:ascii="Book Antiqua" w:hAnsi="Book Antiqua"/>
          <w:color w:val="0E101A"/>
          <w:lang w:val="en-GB" w:eastAsia="en-GB"/>
        </w:rPr>
        <w:t>installments</w:t>
      </w:r>
      <w:proofErr w:type="spellEnd"/>
      <w:r w:rsidRPr="005B217F">
        <w:rPr>
          <w:rFonts w:ascii="Book Antiqua" w:hAnsi="Book Antiqua"/>
          <w:color w:val="0E101A"/>
          <w:lang w:val="en-GB" w:eastAsia="en-GB"/>
        </w:rPr>
        <w:t xml:space="preserve"> are done with real </w:t>
      </w:r>
      <w:r w:rsidR="009A2FA0">
        <w:rPr>
          <w:rFonts w:ascii="Book Antiqua" w:hAnsi="Book Antiqua"/>
          <w:color w:val="0E101A"/>
          <w:lang w:val="en-GB" w:eastAsia="en-GB"/>
        </w:rPr>
        <w:t>finance</w:t>
      </w:r>
      <w:r w:rsidRPr="005B217F">
        <w:rPr>
          <w:rFonts w:ascii="Book Antiqua" w:hAnsi="Book Antiqua"/>
          <w:color w:val="0E101A"/>
          <w:lang w:val="en-GB" w:eastAsia="en-GB"/>
        </w:rPr>
        <w:t>. From the beginning, this exchange looked like a conquest (a prohibited buying and selling practice due to some risks of obscurity). However, in this transaction, the quantity, quality, price, and time of delivery of goods must be determined definitively and, of course, by agreement of both parties.</w:t>
      </w:r>
    </w:p>
    <w:p w14:paraId="08FFB7BB" w14:textId="2FBA3CEC" w:rsidR="005B217F" w:rsidRDefault="005B217F" w:rsidP="005B217F">
      <w:pPr>
        <w:pStyle w:val="NormalWeb"/>
        <w:numPr>
          <w:ilvl w:val="2"/>
          <w:numId w:val="15"/>
        </w:numPr>
        <w:jc w:val="both"/>
        <w:rPr>
          <w:rFonts w:ascii="Book Antiqua" w:hAnsi="Book Antiqua"/>
          <w:color w:val="0E101A"/>
          <w:lang w:val="en-GB" w:eastAsia="en-GB"/>
        </w:rPr>
      </w:pPr>
      <w:proofErr w:type="spellStart"/>
      <w:r w:rsidRPr="005B217F">
        <w:rPr>
          <w:rFonts w:ascii="Book Antiqua" w:hAnsi="Book Antiqua"/>
          <w:color w:val="0E101A"/>
          <w:lang w:val="en-GB" w:eastAsia="en-GB"/>
        </w:rPr>
        <w:t>Istishna</w:t>
      </w:r>
      <w:proofErr w:type="spellEnd"/>
      <w:r w:rsidRPr="005B217F">
        <w:rPr>
          <w:rFonts w:ascii="Book Antiqua" w:hAnsi="Book Antiqua"/>
          <w:color w:val="0E101A"/>
          <w:lang w:val="en-GB" w:eastAsia="en-GB"/>
        </w:rPr>
        <w:t xml:space="preserve">' is a contract like a greeting, but in the </w:t>
      </w:r>
      <w:proofErr w:type="spellStart"/>
      <w:r w:rsidRPr="005B217F">
        <w:rPr>
          <w:rFonts w:ascii="Book Antiqua" w:hAnsi="Book Antiqua"/>
          <w:color w:val="0E101A"/>
          <w:lang w:val="en-GB" w:eastAsia="en-GB"/>
        </w:rPr>
        <w:t>istishna</w:t>
      </w:r>
      <w:proofErr w:type="spellEnd"/>
      <w:r w:rsidRPr="005B217F">
        <w:rPr>
          <w:rFonts w:ascii="Book Antiqua" w:hAnsi="Book Antiqua"/>
          <w:color w:val="0E101A"/>
          <w:lang w:val="en-GB" w:eastAsia="en-GB"/>
        </w:rPr>
        <w:t xml:space="preserve"> contract, ' </w:t>
      </w:r>
      <w:proofErr w:type="spellStart"/>
      <w:r w:rsidRPr="005B217F">
        <w:rPr>
          <w:rFonts w:ascii="Book Antiqua" w:hAnsi="Book Antiqua"/>
          <w:color w:val="0E101A"/>
          <w:lang w:val="en-GB" w:eastAsia="en-GB"/>
        </w:rPr>
        <w:t>installments</w:t>
      </w:r>
      <w:proofErr w:type="spellEnd"/>
      <w:r w:rsidRPr="005B217F">
        <w:rPr>
          <w:rFonts w:ascii="Book Antiqua" w:hAnsi="Book Antiqua"/>
          <w:color w:val="0E101A"/>
          <w:lang w:val="en-GB" w:eastAsia="en-GB"/>
        </w:rPr>
        <w:t xml:space="preserve"> are made beforehand and can be paid in portions (conditions) or conceded for a certain period. </w:t>
      </w:r>
      <w:proofErr w:type="spellStart"/>
      <w:r w:rsidRPr="005B217F">
        <w:rPr>
          <w:rFonts w:ascii="Book Antiqua" w:hAnsi="Book Antiqua"/>
          <w:color w:val="0E101A"/>
          <w:lang w:val="en-GB" w:eastAsia="en-GB"/>
        </w:rPr>
        <w:t>Istishna's</w:t>
      </w:r>
      <w:proofErr w:type="spellEnd"/>
      <w:r w:rsidRPr="005B217F">
        <w:rPr>
          <w:rFonts w:ascii="Book Antiqua" w:hAnsi="Book Antiqua"/>
          <w:color w:val="0E101A"/>
          <w:lang w:val="en-GB" w:eastAsia="en-GB"/>
        </w:rPr>
        <w:t xml:space="preserve"> contract is usually applied to assembly and development financing with an exceptional request purchase of merchandise. The buyer arranges for the maker (al-</w:t>
      </w:r>
      <w:proofErr w:type="spellStart"/>
      <w:r w:rsidRPr="005B217F">
        <w:rPr>
          <w:rFonts w:ascii="Book Antiqua" w:hAnsi="Book Antiqua"/>
          <w:color w:val="0E101A"/>
          <w:lang w:val="en-GB" w:eastAsia="en-GB"/>
        </w:rPr>
        <w:t>sani</w:t>
      </w:r>
      <w:proofErr w:type="spellEnd"/>
      <w:r w:rsidRPr="005B217F">
        <w:rPr>
          <w:rFonts w:ascii="Book Antiqua" w:hAnsi="Book Antiqua"/>
          <w:color w:val="0E101A"/>
          <w:lang w:val="en-GB" w:eastAsia="en-GB"/>
        </w:rPr>
        <w:t>') to provide al-</w:t>
      </w:r>
      <w:proofErr w:type="spellStart"/>
      <w:r w:rsidRPr="005B217F">
        <w:rPr>
          <w:rFonts w:ascii="Book Antiqua" w:hAnsi="Book Antiqua"/>
          <w:color w:val="0E101A"/>
          <w:lang w:val="en-GB" w:eastAsia="en-GB"/>
        </w:rPr>
        <w:t>mashnu</w:t>
      </w:r>
      <w:proofErr w:type="spellEnd"/>
      <w:r w:rsidRPr="005B217F">
        <w:rPr>
          <w:rFonts w:ascii="Book Antiqua" w:hAnsi="Book Antiqua"/>
          <w:color w:val="0E101A"/>
          <w:lang w:val="en-GB" w:eastAsia="en-GB"/>
        </w:rPr>
        <w:t xml:space="preserve"> (the requested product), as indicated by the details required by the buyer (al-</w:t>
      </w:r>
      <w:proofErr w:type="spellStart"/>
      <w:r w:rsidRPr="005B217F">
        <w:rPr>
          <w:rFonts w:ascii="Book Antiqua" w:hAnsi="Book Antiqua"/>
          <w:color w:val="0E101A"/>
          <w:lang w:val="en-GB" w:eastAsia="en-GB"/>
        </w:rPr>
        <w:t>mustasni</w:t>
      </w:r>
      <w:proofErr w:type="spellEnd"/>
      <w:r w:rsidRPr="005B217F">
        <w:rPr>
          <w:rFonts w:ascii="Book Antiqua" w:hAnsi="Book Antiqua"/>
          <w:color w:val="0E101A"/>
          <w:lang w:val="en-GB" w:eastAsia="en-GB"/>
        </w:rPr>
        <w:t>'), and exchanges it for a mutually agreed fee.</w:t>
      </w:r>
    </w:p>
    <w:p w14:paraId="16BFF63D" w14:textId="5031A343" w:rsidR="005B217F" w:rsidRDefault="005B217F" w:rsidP="00427ED0">
      <w:pPr>
        <w:pStyle w:val="ListParagraph"/>
        <w:numPr>
          <w:ilvl w:val="2"/>
          <w:numId w:val="15"/>
        </w:numPr>
        <w:rPr>
          <w:rFonts w:ascii="Book Antiqua" w:eastAsia="Times New Roman" w:hAnsi="Book Antiqua"/>
          <w:color w:val="0E101A"/>
          <w:lang w:val="en-GB" w:eastAsia="en-GB"/>
        </w:rPr>
      </w:pPr>
      <w:r w:rsidRPr="005B217F">
        <w:rPr>
          <w:rFonts w:ascii="Book Antiqua" w:eastAsia="Times New Roman" w:hAnsi="Book Antiqua"/>
          <w:color w:val="0E101A"/>
          <w:lang w:val="en-GB" w:eastAsia="en-GB"/>
        </w:rPr>
        <w:t>Ijarah agreement is a lease agreement between the owner of the leased object and the tenant to obtain a profit on the leased object.</w:t>
      </w:r>
    </w:p>
    <w:p w14:paraId="46377776" w14:textId="6072A440" w:rsidR="00427ED0" w:rsidRDefault="00427ED0" w:rsidP="00427ED0">
      <w:pPr>
        <w:pStyle w:val="NormalWeb"/>
        <w:numPr>
          <w:ilvl w:val="1"/>
          <w:numId w:val="15"/>
        </w:numPr>
        <w:jc w:val="both"/>
        <w:rPr>
          <w:rFonts w:ascii="Book Antiqua" w:hAnsi="Book Antiqua"/>
          <w:color w:val="0E101A"/>
          <w:lang w:val="en-GB" w:eastAsia="en-GB"/>
        </w:rPr>
      </w:pPr>
      <w:r w:rsidRPr="005B217F">
        <w:rPr>
          <w:rFonts w:ascii="Book Antiqua" w:hAnsi="Book Antiqua"/>
          <w:color w:val="0E101A"/>
          <w:lang w:val="en-GB" w:eastAsia="en-GB"/>
        </w:rPr>
        <w:t xml:space="preserve">The </w:t>
      </w:r>
      <w:r>
        <w:rPr>
          <w:rFonts w:ascii="Book Antiqua" w:hAnsi="Book Antiqua"/>
          <w:color w:val="0E101A"/>
          <w:lang w:val="en-GB" w:eastAsia="en-GB"/>
        </w:rPr>
        <w:t>o</w:t>
      </w:r>
      <w:r w:rsidRPr="00427ED0">
        <w:rPr>
          <w:rFonts w:ascii="Book Antiqua" w:hAnsi="Book Antiqua"/>
          <w:color w:val="0E101A"/>
          <w:lang w:val="en-GB" w:eastAsia="en-GB"/>
        </w:rPr>
        <w:t>ther contracts</w:t>
      </w:r>
      <w:r>
        <w:rPr>
          <w:rFonts w:ascii="Book Antiqua" w:hAnsi="Book Antiqua"/>
          <w:color w:val="0E101A"/>
          <w:lang w:val="en-GB" w:eastAsia="en-GB"/>
        </w:rPr>
        <w:t xml:space="preserve"> </w:t>
      </w:r>
      <w:r w:rsidRPr="00427ED0">
        <w:rPr>
          <w:rFonts w:ascii="Book Antiqua" w:hAnsi="Book Antiqua"/>
          <w:color w:val="0E101A"/>
          <w:lang w:val="en-GB" w:eastAsia="en-GB"/>
        </w:rPr>
        <w:t>in the Islamic economy include</w:t>
      </w:r>
      <w:r>
        <w:rPr>
          <w:rFonts w:ascii="Book Antiqua" w:hAnsi="Book Antiqua"/>
          <w:color w:val="0E101A"/>
          <w:lang w:val="en-GB" w:eastAsia="en-GB"/>
        </w:rPr>
        <w:t>:</w:t>
      </w:r>
    </w:p>
    <w:p w14:paraId="7FFF00AA" w14:textId="77777777" w:rsidR="00427ED0" w:rsidRPr="00427ED0" w:rsidRDefault="00427ED0" w:rsidP="00427ED0">
      <w:pPr>
        <w:pStyle w:val="NormalWeb"/>
        <w:numPr>
          <w:ilvl w:val="2"/>
          <w:numId w:val="15"/>
        </w:numPr>
        <w:jc w:val="both"/>
        <w:rPr>
          <w:rFonts w:ascii="Book Antiqua" w:hAnsi="Book Antiqua"/>
          <w:color w:val="0E101A"/>
          <w:lang w:val="en-GB" w:eastAsia="en-GB"/>
        </w:rPr>
      </w:pPr>
      <w:proofErr w:type="spellStart"/>
      <w:r w:rsidRPr="00427ED0">
        <w:rPr>
          <w:rFonts w:ascii="Book Antiqua" w:hAnsi="Book Antiqua"/>
          <w:color w:val="0E101A"/>
          <w:lang w:val="en-GB" w:eastAsia="en-GB"/>
        </w:rPr>
        <w:t>Sharf</w:t>
      </w:r>
      <w:proofErr w:type="spellEnd"/>
      <w:r w:rsidRPr="00427ED0">
        <w:rPr>
          <w:rFonts w:ascii="Book Antiqua" w:hAnsi="Book Antiqua"/>
          <w:color w:val="0E101A"/>
          <w:lang w:val="en-GB" w:eastAsia="en-GB"/>
        </w:rPr>
        <w:t xml:space="preserve"> agreement is an agreement to arrange the sale and purchase of money from one another. Foreign money trading exchange (foreign trade) can be carried out in an equivalent or unique monetary form.</w:t>
      </w:r>
    </w:p>
    <w:p w14:paraId="1B512E83" w14:textId="485CB8E8" w:rsidR="00427ED0" w:rsidRPr="00427ED0" w:rsidRDefault="00427ED0" w:rsidP="00C566FD">
      <w:pPr>
        <w:pStyle w:val="NormalWeb"/>
        <w:numPr>
          <w:ilvl w:val="2"/>
          <w:numId w:val="15"/>
        </w:numPr>
        <w:jc w:val="both"/>
        <w:rPr>
          <w:rFonts w:ascii="Book Antiqua" w:hAnsi="Book Antiqua"/>
          <w:color w:val="0E101A"/>
          <w:lang w:val="en-GB" w:eastAsia="en-GB"/>
        </w:rPr>
      </w:pPr>
      <w:proofErr w:type="spellStart"/>
      <w:r w:rsidRPr="00427ED0">
        <w:rPr>
          <w:rFonts w:ascii="Book Antiqua" w:hAnsi="Book Antiqua"/>
          <w:color w:val="0E101A"/>
          <w:lang w:val="en-GB" w:eastAsia="en-GB"/>
        </w:rPr>
        <w:t>Wadiah</w:t>
      </w:r>
      <w:proofErr w:type="spellEnd"/>
      <w:r w:rsidRPr="00427ED0">
        <w:rPr>
          <w:rFonts w:ascii="Book Antiqua" w:hAnsi="Book Antiqua"/>
          <w:color w:val="0E101A"/>
          <w:lang w:val="en-GB" w:eastAsia="en-GB"/>
        </w:rPr>
        <w:t xml:space="preserve"> contract is a protection contract from the party who owns the money or goods to the party who gets the store with a note that at any point the store is taken, the heirs of the store are obliged to return the cash or merchandise store. </w:t>
      </w:r>
      <w:proofErr w:type="spellStart"/>
      <w:r w:rsidRPr="00427ED0">
        <w:rPr>
          <w:rFonts w:ascii="Book Antiqua" w:hAnsi="Book Antiqua"/>
          <w:color w:val="0E101A"/>
          <w:lang w:val="en-GB" w:eastAsia="en-GB"/>
        </w:rPr>
        <w:t>Wadiah</w:t>
      </w:r>
      <w:proofErr w:type="spellEnd"/>
      <w:r w:rsidRPr="00427ED0">
        <w:rPr>
          <w:rFonts w:ascii="Book Antiqua" w:hAnsi="Book Antiqua"/>
          <w:color w:val="0E101A"/>
          <w:lang w:val="en-GB" w:eastAsia="en-GB"/>
        </w:rPr>
        <w:t xml:space="preserve"> is isolated in two, namely </w:t>
      </w:r>
      <w:proofErr w:type="spellStart"/>
      <w:r w:rsidRPr="00427ED0">
        <w:rPr>
          <w:rFonts w:ascii="Book Antiqua" w:hAnsi="Book Antiqua"/>
          <w:color w:val="0E101A"/>
          <w:lang w:val="en-GB" w:eastAsia="en-GB"/>
        </w:rPr>
        <w:t>Wadiah</w:t>
      </w:r>
      <w:proofErr w:type="spellEnd"/>
      <w:r w:rsidRPr="00427ED0">
        <w:rPr>
          <w:rFonts w:ascii="Book Antiqua" w:hAnsi="Book Antiqua"/>
          <w:color w:val="0E101A"/>
          <w:lang w:val="en-GB" w:eastAsia="en-GB"/>
        </w:rPr>
        <w:t xml:space="preserve"> Amanah and </w:t>
      </w:r>
      <w:proofErr w:type="spellStart"/>
      <w:r w:rsidRPr="00427ED0">
        <w:rPr>
          <w:rFonts w:ascii="Book Antiqua" w:hAnsi="Book Antiqua"/>
          <w:color w:val="0E101A"/>
          <w:lang w:val="en-GB" w:eastAsia="en-GB"/>
        </w:rPr>
        <w:t>Wadiah</w:t>
      </w:r>
      <w:proofErr w:type="spellEnd"/>
      <w:r w:rsidRPr="00427ED0">
        <w:rPr>
          <w:rFonts w:ascii="Book Antiqua" w:hAnsi="Book Antiqua"/>
          <w:color w:val="0E101A"/>
          <w:lang w:val="en-GB" w:eastAsia="en-GB"/>
        </w:rPr>
        <w:t xml:space="preserve"> </w:t>
      </w:r>
      <w:proofErr w:type="spellStart"/>
      <w:r w:rsidRPr="00427ED0">
        <w:rPr>
          <w:rFonts w:ascii="Book Antiqua" w:hAnsi="Book Antiqua"/>
          <w:color w:val="0E101A"/>
          <w:lang w:val="en-GB" w:eastAsia="en-GB"/>
        </w:rPr>
        <w:t>Yadhamanah</w:t>
      </w:r>
      <w:proofErr w:type="spellEnd"/>
      <w:r>
        <w:rPr>
          <w:rFonts w:ascii="Book Antiqua" w:hAnsi="Book Antiqua"/>
          <w:color w:val="0E101A"/>
          <w:lang w:val="en-GB" w:eastAsia="en-GB"/>
        </w:rPr>
        <w:t>.</w:t>
      </w:r>
    </w:p>
    <w:p w14:paraId="34A78F05" w14:textId="1AEF89EC" w:rsidR="00427ED0" w:rsidRDefault="00427ED0" w:rsidP="00427ED0">
      <w:pPr>
        <w:pStyle w:val="NormalWeb"/>
        <w:numPr>
          <w:ilvl w:val="1"/>
          <w:numId w:val="15"/>
        </w:numPr>
        <w:jc w:val="both"/>
        <w:rPr>
          <w:rFonts w:ascii="Book Antiqua" w:hAnsi="Book Antiqua"/>
          <w:color w:val="0E101A"/>
          <w:lang w:val="en-GB" w:eastAsia="en-GB"/>
        </w:rPr>
      </w:pPr>
      <w:r w:rsidRPr="005B217F">
        <w:rPr>
          <w:rFonts w:ascii="Book Antiqua" w:hAnsi="Book Antiqua"/>
          <w:color w:val="0E101A"/>
          <w:lang w:val="en-GB" w:eastAsia="en-GB"/>
        </w:rPr>
        <w:t xml:space="preserve">The </w:t>
      </w:r>
      <w:r w:rsidRPr="00427ED0">
        <w:rPr>
          <w:rFonts w:ascii="Book Antiqua" w:hAnsi="Book Antiqua"/>
          <w:color w:val="0E101A"/>
          <w:lang w:val="en-GB" w:eastAsia="en-GB"/>
        </w:rPr>
        <w:t xml:space="preserve">Development of Islamic </w:t>
      </w:r>
      <w:r>
        <w:rPr>
          <w:rFonts w:ascii="Book Antiqua" w:hAnsi="Book Antiqua"/>
          <w:color w:val="0E101A"/>
          <w:lang w:val="en-GB" w:eastAsia="en-GB"/>
        </w:rPr>
        <w:t>Monetary</w:t>
      </w:r>
      <w:r w:rsidRPr="00427ED0">
        <w:rPr>
          <w:rFonts w:ascii="Book Antiqua" w:hAnsi="Book Antiqua"/>
          <w:color w:val="0E101A"/>
          <w:lang w:val="en-GB" w:eastAsia="en-GB"/>
        </w:rPr>
        <w:t xml:space="preserve"> Instruments</w:t>
      </w:r>
      <w:r>
        <w:rPr>
          <w:rFonts w:ascii="Book Antiqua" w:hAnsi="Book Antiqua"/>
          <w:color w:val="0E101A"/>
          <w:lang w:val="en-GB" w:eastAsia="en-GB"/>
        </w:rPr>
        <w:t>, a</w:t>
      </w:r>
      <w:r w:rsidRPr="00427ED0">
        <w:rPr>
          <w:rFonts w:ascii="Book Antiqua" w:hAnsi="Book Antiqua"/>
          <w:color w:val="0E101A"/>
          <w:lang w:val="en-GB" w:eastAsia="en-GB"/>
        </w:rPr>
        <w:t xml:space="preserve">part from the existence of primary monetary instruments, future improvements </w:t>
      </w:r>
      <w:r w:rsidRPr="00427ED0">
        <w:rPr>
          <w:rFonts w:ascii="Book Antiqua" w:hAnsi="Book Antiqua"/>
          <w:color w:val="0E101A"/>
          <w:lang w:val="en-GB" w:eastAsia="en-GB"/>
        </w:rPr>
        <w:lastRenderedPageBreak/>
        <w:t>require additional thinking about the existence of other monetary instruments as material for study in Islamic law, namely:</w:t>
      </w:r>
    </w:p>
    <w:p w14:paraId="479BC010" w14:textId="77777777" w:rsidR="00427ED0" w:rsidRPr="00427ED0" w:rsidRDefault="00427ED0" w:rsidP="00427ED0">
      <w:pPr>
        <w:pStyle w:val="NormalWeb"/>
        <w:numPr>
          <w:ilvl w:val="2"/>
          <w:numId w:val="15"/>
        </w:numPr>
        <w:jc w:val="both"/>
        <w:rPr>
          <w:rFonts w:ascii="Book Antiqua" w:hAnsi="Book Antiqua"/>
          <w:color w:val="0E101A"/>
          <w:lang w:val="en-GB" w:eastAsia="en-GB"/>
        </w:rPr>
      </w:pPr>
      <w:r w:rsidRPr="00427ED0">
        <w:rPr>
          <w:rFonts w:ascii="Book Antiqua" w:hAnsi="Book Antiqua"/>
          <w:color w:val="0E101A"/>
          <w:lang w:val="en-GB" w:eastAsia="en-GB"/>
        </w:rPr>
        <w:t>Option or choice</w:t>
      </w:r>
    </w:p>
    <w:p w14:paraId="3D23F529" w14:textId="77777777" w:rsidR="00427ED0" w:rsidRPr="00427ED0" w:rsidRDefault="00427ED0" w:rsidP="00427ED0">
      <w:pPr>
        <w:pStyle w:val="NormalWeb"/>
        <w:numPr>
          <w:ilvl w:val="2"/>
          <w:numId w:val="15"/>
        </w:numPr>
        <w:jc w:val="both"/>
        <w:rPr>
          <w:rFonts w:ascii="Book Antiqua" w:hAnsi="Book Antiqua"/>
          <w:color w:val="0E101A"/>
          <w:lang w:val="en-GB" w:eastAsia="en-GB"/>
        </w:rPr>
      </w:pPr>
      <w:r w:rsidRPr="00427ED0">
        <w:rPr>
          <w:rFonts w:ascii="Book Antiqua" w:hAnsi="Book Antiqua"/>
          <w:color w:val="0E101A"/>
          <w:lang w:val="en-GB" w:eastAsia="en-GB"/>
        </w:rPr>
        <w:t>A futures contract is a derivative contract that obliges the first parties to transact a particular asset at a predetermined date and price in the future.</w:t>
      </w:r>
    </w:p>
    <w:p w14:paraId="27810D72" w14:textId="77777777" w:rsidR="00427ED0" w:rsidRPr="00427ED0" w:rsidRDefault="00427ED0" w:rsidP="00427ED0">
      <w:pPr>
        <w:pStyle w:val="NormalWeb"/>
        <w:numPr>
          <w:ilvl w:val="2"/>
          <w:numId w:val="15"/>
        </w:numPr>
        <w:jc w:val="both"/>
        <w:rPr>
          <w:rFonts w:ascii="Book Antiqua" w:hAnsi="Book Antiqua"/>
          <w:color w:val="0E101A"/>
          <w:lang w:val="en-GB" w:eastAsia="en-GB"/>
        </w:rPr>
      </w:pPr>
      <w:r w:rsidRPr="00427ED0">
        <w:rPr>
          <w:rFonts w:ascii="Book Antiqua" w:hAnsi="Book Antiqua"/>
          <w:color w:val="0E101A"/>
          <w:lang w:val="en-GB" w:eastAsia="en-GB"/>
        </w:rPr>
        <w:t>Forward Purchased is a foreign exchange pre-purchase contract between a customer and a Foreign Exchange Bank.</w:t>
      </w:r>
    </w:p>
    <w:p w14:paraId="1CEDA94E" w14:textId="77777777" w:rsidR="00427ED0" w:rsidRPr="00427ED0" w:rsidRDefault="00427ED0" w:rsidP="00427ED0">
      <w:pPr>
        <w:pStyle w:val="NormalWeb"/>
        <w:numPr>
          <w:ilvl w:val="2"/>
          <w:numId w:val="15"/>
        </w:numPr>
        <w:jc w:val="both"/>
        <w:rPr>
          <w:rFonts w:ascii="Book Antiqua" w:hAnsi="Book Antiqua"/>
          <w:color w:val="0E101A"/>
          <w:lang w:val="en-GB" w:eastAsia="en-GB"/>
        </w:rPr>
      </w:pPr>
      <w:r w:rsidRPr="00427ED0">
        <w:rPr>
          <w:rFonts w:ascii="Book Antiqua" w:hAnsi="Book Antiqua"/>
          <w:color w:val="0E101A"/>
          <w:lang w:val="en-GB" w:eastAsia="en-GB"/>
        </w:rPr>
        <w:t>Interest Rate Cap is an understanding or plan that protects the borrower from increasing the cost of a particular loan to the highest so that the borrower will not pay more than that financing fee; on a credit arrangement, the borrower is charged a fee.</w:t>
      </w:r>
    </w:p>
    <w:p w14:paraId="6484D579" w14:textId="77777777" w:rsidR="00427ED0" w:rsidRPr="00427ED0" w:rsidRDefault="00427ED0" w:rsidP="00427ED0">
      <w:pPr>
        <w:pStyle w:val="NormalWeb"/>
        <w:numPr>
          <w:ilvl w:val="2"/>
          <w:numId w:val="15"/>
        </w:numPr>
        <w:jc w:val="both"/>
        <w:rPr>
          <w:rFonts w:ascii="Book Antiqua" w:hAnsi="Book Antiqua"/>
          <w:color w:val="0E101A"/>
          <w:lang w:val="en-GB" w:eastAsia="en-GB"/>
        </w:rPr>
      </w:pPr>
      <w:r w:rsidRPr="00427ED0">
        <w:rPr>
          <w:rFonts w:ascii="Book Antiqua" w:hAnsi="Book Antiqua"/>
          <w:color w:val="0E101A"/>
          <w:lang w:val="en-GB" w:eastAsia="en-GB"/>
        </w:rPr>
        <w:t>A forward Rate Agreement is an interest rate agreement challenging an agreement between two parties that agrees on an interest rate to be paid in the future on a specific date.</w:t>
      </w:r>
    </w:p>
    <w:p w14:paraId="728AF11B" w14:textId="7275E803" w:rsidR="00427ED0" w:rsidRDefault="00427ED0" w:rsidP="00427ED0">
      <w:pPr>
        <w:pStyle w:val="NormalWeb"/>
        <w:numPr>
          <w:ilvl w:val="2"/>
          <w:numId w:val="15"/>
        </w:numPr>
        <w:spacing w:before="0" w:beforeAutospacing="0" w:after="0" w:afterAutospacing="0"/>
        <w:jc w:val="both"/>
        <w:rPr>
          <w:rFonts w:ascii="Book Antiqua" w:hAnsi="Book Antiqua"/>
          <w:color w:val="0E101A"/>
          <w:lang w:val="en-GB" w:eastAsia="en-GB"/>
        </w:rPr>
      </w:pPr>
      <w:r w:rsidRPr="00427ED0">
        <w:rPr>
          <w:rFonts w:ascii="Book Antiqua" w:hAnsi="Book Antiqua"/>
          <w:color w:val="0E101A"/>
          <w:lang w:val="en-GB" w:eastAsia="en-GB"/>
        </w:rPr>
        <w:t xml:space="preserve">Repo Rate (Repurchase Agreement) is a transaction of buying and selling securities simultaneously on different settlement dates. </w:t>
      </w:r>
    </w:p>
    <w:p w14:paraId="3052BA65" w14:textId="5F1356BC" w:rsidR="00427ED0" w:rsidRDefault="00427ED0" w:rsidP="00427ED0">
      <w:pPr>
        <w:jc w:val="both"/>
        <w:rPr>
          <w:rFonts w:ascii="Book Antiqua" w:hAnsi="Book Antiqua"/>
          <w:lang w:val="en-GB"/>
        </w:rPr>
      </w:pPr>
      <w:r w:rsidRPr="00427ED0">
        <w:rPr>
          <w:rFonts w:ascii="Book Antiqua" w:hAnsi="Book Antiqua"/>
          <w:lang w:val="en-GB"/>
        </w:rPr>
        <w:t>Next are some of the protections that are allowed or with accompanying notes:</w:t>
      </w:r>
    </w:p>
    <w:p w14:paraId="41C8EDE1" w14:textId="5F56D9B7" w:rsidR="00427ED0" w:rsidRPr="00427ED0" w:rsidRDefault="00427ED0" w:rsidP="00505081">
      <w:pPr>
        <w:pStyle w:val="ListParagraph"/>
        <w:numPr>
          <w:ilvl w:val="0"/>
          <w:numId w:val="16"/>
        </w:numPr>
        <w:jc w:val="both"/>
        <w:rPr>
          <w:rFonts w:ascii="Book Antiqua" w:eastAsia="Times New Roman" w:hAnsi="Book Antiqua"/>
          <w:color w:val="0E101A"/>
          <w:lang w:val="en-GB" w:eastAsia="en-GB"/>
        </w:rPr>
      </w:pPr>
      <w:r w:rsidRPr="00427ED0">
        <w:rPr>
          <w:rFonts w:ascii="Book Antiqua" w:eastAsia="Times New Roman" w:hAnsi="Book Antiqua"/>
          <w:color w:val="0E101A"/>
          <w:lang w:val="en-GB" w:eastAsia="en-GB"/>
        </w:rPr>
        <w:t>Shares/Equity (Value or Offering)</w:t>
      </w:r>
      <w:r w:rsidR="00505081">
        <w:rPr>
          <w:rFonts w:ascii="Book Antiqua" w:eastAsia="Times New Roman" w:hAnsi="Book Antiqua"/>
          <w:color w:val="0E101A"/>
          <w:lang w:val="en-GB" w:eastAsia="en-GB"/>
        </w:rPr>
        <w:t>, i</w:t>
      </w:r>
      <w:r w:rsidR="00505081" w:rsidRPr="00505081">
        <w:rPr>
          <w:rFonts w:ascii="Book Antiqua" w:eastAsia="Times New Roman" w:hAnsi="Book Antiqua"/>
          <w:color w:val="0E101A"/>
          <w:lang w:val="en-GB" w:eastAsia="en-GB"/>
        </w:rPr>
        <w:t xml:space="preserve">nterest in stocks should be a tendency for Muslim financial advocates to replace interest in interest-generating securities or store authentication, regardless of whether the old-style </w:t>
      </w:r>
      <w:proofErr w:type="spellStart"/>
      <w:r w:rsidR="00505081" w:rsidRPr="00505081">
        <w:rPr>
          <w:rFonts w:ascii="Book Antiqua" w:eastAsia="Times New Roman" w:hAnsi="Book Antiqua"/>
          <w:color w:val="0E101A"/>
          <w:lang w:val="en-GB" w:eastAsia="en-GB"/>
        </w:rPr>
        <w:t>fiqh</w:t>
      </w:r>
      <w:proofErr w:type="spellEnd"/>
      <w:r w:rsidR="00505081" w:rsidRPr="00505081">
        <w:rPr>
          <w:rFonts w:ascii="Book Antiqua" w:eastAsia="Times New Roman" w:hAnsi="Book Antiqua"/>
          <w:color w:val="0E101A"/>
          <w:lang w:val="en-GB" w:eastAsia="en-GB"/>
        </w:rPr>
        <w:t xml:space="preserve"> later states that its value cannot be compared with Islamic monetary instruments because of the </w:t>
      </w:r>
      <w:proofErr w:type="spellStart"/>
      <w:r w:rsidR="00505081" w:rsidRPr="00505081">
        <w:rPr>
          <w:rFonts w:ascii="Book Antiqua" w:eastAsia="Times New Roman" w:hAnsi="Book Antiqua"/>
          <w:color w:val="0E101A"/>
          <w:lang w:val="en-GB" w:eastAsia="en-GB"/>
        </w:rPr>
        <w:t>mudharabah</w:t>
      </w:r>
      <w:proofErr w:type="spellEnd"/>
      <w:r w:rsidR="00505081" w:rsidRPr="00505081">
        <w:rPr>
          <w:rFonts w:ascii="Book Antiqua" w:eastAsia="Times New Roman" w:hAnsi="Book Antiqua"/>
          <w:color w:val="0E101A"/>
          <w:lang w:val="en-GB" w:eastAsia="en-GB"/>
        </w:rPr>
        <w:t xml:space="preserve"> or </w:t>
      </w:r>
      <w:proofErr w:type="spellStart"/>
      <w:r w:rsidR="00505081" w:rsidRPr="00505081">
        <w:rPr>
          <w:rFonts w:ascii="Book Antiqua" w:eastAsia="Times New Roman" w:hAnsi="Book Antiqua"/>
          <w:color w:val="0E101A"/>
          <w:lang w:val="en-GB" w:eastAsia="en-GB"/>
        </w:rPr>
        <w:t>musyarakah</w:t>
      </w:r>
      <w:proofErr w:type="spellEnd"/>
      <w:r w:rsidR="00505081" w:rsidRPr="00505081">
        <w:rPr>
          <w:rFonts w:ascii="Book Antiqua" w:eastAsia="Times New Roman" w:hAnsi="Book Antiqua"/>
          <w:color w:val="0E101A"/>
          <w:lang w:val="en-GB" w:eastAsia="en-GB"/>
        </w:rPr>
        <w:t xml:space="preserve"> contract. Value can be sold at any time in the optional marketplace without requiring support from the organization providing the offer. Meanwhile, </w:t>
      </w:r>
      <w:proofErr w:type="spellStart"/>
      <w:r w:rsidR="00505081" w:rsidRPr="00505081">
        <w:rPr>
          <w:rFonts w:ascii="Book Antiqua" w:eastAsia="Times New Roman" w:hAnsi="Book Antiqua"/>
          <w:color w:val="0E101A"/>
          <w:lang w:val="en-GB" w:eastAsia="en-GB"/>
        </w:rPr>
        <w:t>mudharabah</w:t>
      </w:r>
      <w:proofErr w:type="spellEnd"/>
      <w:r w:rsidR="00505081" w:rsidRPr="00505081">
        <w:rPr>
          <w:rFonts w:ascii="Book Antiqua" w:eastAsia="Times New Roman" w:hAnsi="Book Antiqua"/>
          <w:color w:val="0E101A"/>
          <w:lang w:val="en-GB" w:eastAsia="en-GB"/>
        </w:rPr>
        <w:t xml:space="preserve"> and unregulated depend on the support of </w:t>
      </w:r>
      <w:proofErr w:type="spellStart"/>
      <w:r w:rsidR="00505081" w:rsidRPr="00505081">
        <w:rPr>
          <w:rFonts w:ascii="Book Antiqua" w:eastAsia="Times New Roman" w:hAnsi="Book Antiqua"/>
          <w:color w:val="0E101A"/>
          <w:lang w:val="en-GB" w:eastAsia="en-GB"/>
        </w:rPr>
        <w:t>shahibul</w:t>
      </w:r>
      <w:proofErr w:type="spellEnd"/>
      <w:r w:rsidR="00505081" w:rsidRPr="00505081">
        <w:rPr>
          <w:rFonts w:ascii="Book Antiqua" w:eastAsia="Times New Roman" w:hAnsi="Book Antiqua"/>
          <w:color w:val="0E101A"/>
          <w:lang w:val="en-GB" w:eastAsia="en-GB"/>
        </w:rPr>
        <w:t xml:space="preserve"> mal (financial supporters) and organizations such as </w:t>
      </w:r>
      <w:proofErr w:type="spellStart"/>
      <w:r w:rsidR="00505081" w:rsidRPr="00505081">
        <w:rPr>
          <w:rFonts w:ascii="Book Antiqua" w:eastAsia="Times New Roman" w:hAnsi="Book Antiqua"/>
          <w:color w:val="0E101A"/>
          <w:lang w:val="en-GB" w:eastAsia="en-GB"/>
        </w:rPr>
        <w:t>mudharib</w:t>
      </w:r>
      <w:proofErr w:type="spellEnd"/>
      <w:r w:rsidR="00505081" w:rsidRPr="00505081">
        <w:rPr>
          <w:rFonts w:ascii="Book Antiqua" w:eastAsia="Times New Roman" w:hAnsi="Book Antiqua"/>
          <w:color w:val="0E101A"/>
          <w:lang w:val="en-GB" w:eastAsia="en-GB"/>
        </w:rPr>
        <w:t>.</w:t>
      </w:r>
    </w:p>
    <w:p w14:paraId="7383BFA6" w14:textId="62D92312" w:rsidR="00505081" w:rsidRPr="00505081" w:rsidRDefault="00505081" w:rsidP="00505081">
      <w:pPr>
        <w:pStyle w:val="ListParagraph"/>
        <w:numPr>
          <w:ilvl w:val="0"/>
          <w:numId w:val="16"/>
        </w:numPr>
        <w:jc w:val="both"/>
        <w:rPr>
          <w:rFonts w:ascii="Book Antiqua" w:eastAsia="Times New Roman" w:hAnsi="Book Antiqua"/>
          <w:color w:val="0E101A"/>
          <w:lang w:val="en-GB" w:eastAsia="en-GB"/>
        </w:rPr>
      </w:pPr>
      <w:r w:rsidRPr="00505081">
        <w:rPr>
          <w:rFonts w:ascii="Book Antiqua" w:eastAsia="Times New Roman" w:hAnsi="Book Antiqua"/>
          <w:color w:val="0E101A"/>
          <w:lang w:val="en-GB" w:eastAsia="en-GB"/>
        </w:rPr>
        <w:t>Market (Secondary) Islamic Auxiliary</w:t>
      </w:r>
      <w:r>
        <w:rPr>
          <w:rFonts w:ascii="Book Antiqua" w:eastAsia="Times New Roman" w:hAnsi="Book Antiqua"/>
          <w:color w:val="0E101A"/>
          <w:lang w:val="en-GB" w:eastAsia="en-GB"/>
        </w:rPr>
        <w:t xml:space="preserve">, it </w:t>
      </w:r>
      <w:r w:rsidRPr="00505081">
        <w:rPr>
          <w:rFonts w:ascii="Book Antiqua" w:eastAsia="Times New Roman" w:hAnsi="Book Antiqua"/>
          <w:color w:val="0E101A"/>
          <w:lang w:val="en-GB" w:eastAsia="en-GB"/>
        </w:rPr>
        <w:t>makes sense to trade stocks at market prices, allowing the setting up and acquisition of deals on stock exchanges as an extra market. The capital market is a method for the process of capital portion. Likewise, the capital market also serves as a consistent appraiser of the value of an organization. In monetary writing, productive capital markets must provide liquidity with the most nominal exchange fees to develop cost proficiency. Values that are supposed to reflect the natural value of an organization. A sane capital market is an event of intelligent behaviour in the cost of shares that corresponds to a reasonable profit level and assumptions.</w:t>
      </w:r>
    </w:p>
    <w:p w14:paraId="3BEA99DE" w14:textId="765553C4" w:rsidR="00427ED0" w:rsidRDefault="00505081" w:rsidP="00505081">
      <w:pPr>
        <w:pStyle w:val="NormalWeb"/>
        <w:numPr>
          <w:ilvl w:val="0"/>
          <w:numId w:val="16"/>
        </w:numPr>
        <w:spacing w:before="0" w:beforeAutospacing="0" w:after="0" w:afterAutospacing="0"/>
        <w:jc w:val="both"/>
        <w:rPr>
          <w:rFonts w:ascii="Book Antiqua" w:hAnsi="Book Antiqua"/>
          <w:color w:val="0E101A"/>
          <w:lang w:val="en-GB" w:eastAsia="en-GB"/>
        </w:rPr>
      </w:pPr>
      <w:r w:rsidRPr="00505081">
        <w:rPr>
          <w:rFonts w:ascii="Book Antiqua" w:hAnsi="Book Antiqua"/>
          <w:color w:val="0E101A"/>
          <w:lang w:val="en-GB" w:eastAsia="en-GB"/>
        </w:rPr>
        <w:t>Margin Trading (Edge Exchange)</w:t>
      </w:r>
      <w:r>
        <w:rPr>
          <w:rFonts w:ascii="Book Antiqua" w:hAnsi="Book Antiqua"/>
          <w:color w:val="0E101A"/>
          <w:lang w:val="en-GB" w:eastAsia="en-GB"/>
        </w:rPr>
        <w:t>, i</w:t>
      </w:r>
      <w:r w:rsidRPr="00505081">
        <w:rPr>
          <w:rFonts w:ascii="Book Antiqua" w:hAnsi="Book Antiqua"/>
          <w:color w:val="0E101A"/>
          <w:lang w:val="en-GB" w:eastAsia="en-GB"/>
        </w:rPr>
        <w:t>t is the credit sales movement. When selling shares on edge, financial supporters must have a store with an intermediary whose value is the exact level of the offer to be purchased. Then, at that time, the specialist initially lent assets to buy the shares.</w:t>
      </w:r>
    </w:p>
    <w:p w14:paraId="427B7AA4" w14:textId="1AC0DD8F" w:rsidR="00505081" w:rsidRDefault="00505081" w:rsidP="00505081">
      <w:pPr>
        <w:pStyle w:val="NormalWeb"/>
        <w:numPr>
          <w:ilvl w:val="0"/>
          <w:numId w:val="16"/>
        </w:numPr>
        <w:spacing w:before="0" w:beforeAutospacing="0" w:after="0" w:afterAutospacing="0"/>
        <w:jc w:val="both"/>
        <w:rPr>
          <w:rFonts w:ascii="Book Antiqua" w:hAnsi="Book Antiqua"/>
          <w:color w:val="0E101A"/>
          <w:lang w:val="en-GB" w:eastAsia="en-GB"/>
        </w:rPr>
      </w:pPr>
      <w:r w:rsidRPr="00505081">
        <w:rPr>
          <w:rFonts w:ascii="Book Antiqua" w:hAnsi="Book Antiqua"/>
          <w:color w:val="0E101A"/>
          <w:lang w:val="en-GB" w:eastAsia="en-GB"/>
        </w:rPr>
        <w:lastRenderedPageBreak/>
        <w:t>The type of contract in Islam that can be equated with buying and selling is bai-</w:t>
      </w:r>
      <w:proofErr w:type="spellStart"/>
      <w:r w:rsidRPr="00505081">
        <w:rPr>
          <w:rFonts w:ascii="Book Antiqua" w:hAnsi="Book Antiqua"/>
          <w:color w:val="0E101A"/>
          <w:lang w:val="en-GB" w:eastAsia="en-GB"/>
        </w:rPr>
        <w:t>muajjal</w:t>
      </w:r>
      <w:proofErr w:type="spellEnd"/>
      <w:r w:rsidRPr="00505081">
        <w:rPr>
          <w:rFonts w:ascii="Book Antiqua" w:hAnsi="Book Antiqua"/>
          <w:color w:val="0E101A"/>
          <w:lang w:val="en-GB" w:eastAsia="en-GB"/>
        </w:rPr>
        <w:t xml:space="preserve"> or bai </w:t>
      </w:r>
      <w:proofErr w:type="spellStart"/>
      <w:r w:rsidRPr="00505081">
        <w:rPr>
          <w:rFonts w:ascii="Book Antiqua" w:hAnsi="Book Antiqua"/>
          <w:color w:val="0E101A"/>
          <w:lang w:val="en-GB" w:eastAsia="en-GB"/>
        </w:rPr>
        <w:t>murabahah</w:t>
      </w:r>
      <w:proofErr w:type="spellEnd"/>
      <w:r w:rsidRPr="00505081">
        <w:rPr>
          <w:rFonts w:ascii="Book Antiqua" w:hAnsi="Book Antiqua"/>
          <w:color w:val="0E101A"/>
          <w:lang w:val="en-GB" w:eastAsia="en-GB"/>
        </w:rPr>
        <w:t xml:space="preserve">, which is maintained in Islam. After all, there is a note that even though this agreement is allowed. That is, its inevitable use is not recommended for fear that it will continue the entry for hypotheses or bet on stock trading. </w:t>
      </w:r>
      <w:r>
        <w:rPr>
          <w:rFonts w:ascii="Book Antiqua" w:hAnsi="Book Antiqua"/>
          <w:color w:val="0E101A"/>
          <w:lang w:val="en-GB" w:eastAsia="en-GB"/>
        </w:rPr>
        <w:t>It</w:t>
      </w:r>
      <w:r w:rsidRPr="00505081">
        <w:rPr>
          <w:rFonts w:ascii="Book Antiqua" w:hAnsi="Book Antiqua"/>
          <w:color w:val="0E101A"/>
          <w:lang w:val="en-GB" w:eastAsia="en-GB"/>
        </w:rPr>
        <w:t xml:space="preserve"> is because theorists can develop their activities only with common prerequisites.</w:t>
      </w:r>
    </w:p>
    <w:p w14:paraId="74007A15" w14:textId="5AA1D0F8" w:rsidR="00505081" w:rsidRPr="00505081" w:rsidRDefault="00505081" w:rsidP="00505081">
      <w:pPr>
        <w:pStyle w:val="NormalWeb"/>
        <w:numPr>
          <w:ilvl w:val="0"/>
          <w:numId w:val="16"/>
        </w:numPr>
        <w:spacing w:before="0" w:beforeAutospacing="0" w:after="0" w:afterAutospacing="0"/>
        <w:jc w:val="both"/>
        <w:rPr>
          <w:rFonts w:ascii="Book Antiqua" w:hAnsi="Book Antiqua"/>
          <w:color w:val="0E101A"/>
          <w:lang w:val="en-GB" w:eastAsia="en-GB"/>
        </w:rPr>
      </w:pPr>
      <w:r w:rsidRPr="00EC66EE">
        <w:rPr>
          <w:rFonts w:ascii="Book Antiqua" w:hAnsi="Book Antiqua"/>
          <w:lang w:val="en-GB"/>
        </w:rPr>
        <w:t>Islamic Bond</w:t>
      </w:r>
      <w:r>
        <w:rPr>
          <w:rFonts w:ascii="Book Antiqua" w:hAnsi="Book Antiqua"/>
          <w:lang w:val="en-GB"/>
        </w:rPr>
        <w:t xml:space="preserve">s </w:t>
      </w:r>
      <w:r w:rsidRPr="00505081">
        <w:rPr>
          <w:rFonts w:ascii="Book Antiqua" w:hAnsi="Book Antiqua"/>
          <w:lang w:val="en-GB"/>
        </w:rPr>
        <w:t>(</w:t>
      </w:r>
      <w:proofErr w:type="spellStart"/>
      <w:r w:rsidRPr="00505081">
        <w:rPr>
          <w:rFonts w:ascii="Book Antiqua" w:hAnsi="Book Antiqua"/>
          <w:lang w:val="en-GB"/>
        </w:rPr>
        <w:t>muqaradah</w:t>
      </w:r>
      <w:proofErr w:type="spellEnd"/>
      <w:r w:rsidRPr="00505081">
        <w:rPr>
          <w:rFonts w:ascii="Book Antiqua" w:hAnsi="Book Antiqua"/>
          <w:lang w:val="en-GB"/>
        </w:rPr>
        <w:t xml:space="preserve"> bonds)</w:t>
      </w:r>
      <w:r>
        <w:rPr>
          <w:rFonts w:ascii="Book Antiqua" w:hAnsi="Book Antiqua"/>
          <w:lang w:val="en-GB"/>
        </w:rPr>
        <w:t xml:space="preserve">, it is </w:t>
      </w:r>
      <w:r w:rsidRPr="00505081">
        <w:rPr>
          <w:rFonts w:ascii="Book Antiqua" w:hAnsi="Book Antiqua"/>
          <w:lang w:val="en-GB"/>
        </w:rPr>
        <w:t>proposed as an option to attract bearing bonds. The Organisation of Islamic Cooperation</w:t>
      </w:r>
      <w:r>
        <w:rPr>
          <w:rFonts w:ascii="Book Antiqua" w:hAnsi="Book Antiqua"/>
          <w:lang w:val="en-GB"/>
        </w:rPr>
        <w:t xml:space="preserve"> (</w:t>
      </w:r>
      <w:proofErr w:type="spellStart"/>
      <w:r>
        <w:rPr>
          <w:rFonts w:ascii="Book Antiqua" w:hAnsi="Book Antiqua"/>
          <w:lang w:val="en-GB"/>
        </w:rPr>
        <w:t>OIC</w:t>
      </w:r>
      <w:proofErr w:type="spellEnd"/>
      <w:r>
        <w:rPr>
          <w:rFonts w:ascii="Book Antiqua" w:hAnsi="Book Antiqua"/>
          <w:lang w:val="en-GB"/>
        </w:rPr>
        <w:t>)</w:t>
      </w:r>
      <w:r w:rsidRPr="00505081">
        <w:rPr>
          <w:rFonts w:ascii="Book Antiqua" w:hAnsi="Book Antiqua"/>
          <w:lang w:val="en-GB"/>
        </w:rPr>
        <w:t xml:space="preserve"> has authorized this monetary instrument in Jordan. Islamic securities are awarded by organizations determined to support certain ventures run by the organization. This task is separate from the overall exercise of the organization. Benefits are delivered intermittently depending on a certain agreed level. This rate is a proportion of the revenue share, so it uses the premise of profit sharing of misfortune. The agreement also accommodates growing bond instalments.</w:t>
      </w:r>
    </w:p>
    <w:p w14:paraId="0CDAA53F" w14:textId="6EF2F71A" w:rsidR="00505081" w:rsidRPr="00505081" w:rsidRDefault="00505081" w:rsidP="00505081">
      <w:pPr>
        <w:pStyle w:val="NormalWeb"/>
        <w:numPr>
          <w:ilvl w:val="0"/>
          <w:numId w:val="16"/>
        </w:numPr>
        <w:spacing w:before="0" w:beforeAutospacing="0" w:after="0" w:afterAutospacing="0"/>
        <w:jc w:val="both"/>
        <w:rPr>
          <w:rFonts w:ascii="Book Antiqua" w:hAnsi="Book Antiqua"/>
          <w:color w:val="0E101A"/>
          <w:lang w:val="en-GB" w:eastAsia="en-GB"/>
        </w:rPr>
      </w:pPr>
      <w:r w:rsidRPr="00505081">
        <w:rPr>
          <w:rFonts w:ascii="Book Antiqua" w:hAnsi="Book Antiqua"/>
          <w:lang w:val="en-GB"/>
        </w:rPr>
        <w:t>Helper market (assistance) for Securities</w:t>
      </w:r>
      <w:r>
        <w:rPr>
          <w:rFonts w:ascii="Book Antiqua" w:hAnsi="Book Antiqua"/>
          <w:lang w:val="en-GB"/>
        </w:rPr>
        <w:t>, an</w:t>
      </w:r>
      <w:r w:rsidRPr="00505081">
        <w:rPr>
          <w:rFonts w:ascii="Book Antiqua" w:hAnsi="Book Antiqua"/>
          <w:lang w:val="en-GB"/>
        </w:rPr>
        <w:t xml:space="preserve"> optional market security exchange comes to the fore for liquidity purposes (as-</w:t>
      </w:r>
      <w:proofErr w:type="spellStart"/>
      <w:r w:rsidRPr="00505081">
        <w:rPr>
          <w:rFonts w:ascii="Book Antiqua" w:hAnsi="Book Antiqua"/>
          <w:lang w:val="en-GB"/>
        </w:rPr>
        <w:t>suyulah</w:t>
      </w:r>
      <w:proofErr w:type="spellEnd"/>
      <w:r w:rsidRPr="00505081">
        <w:rPr>
          <w:rFonts w:ascii="Book Antiqua" w:hAnsi="Book Antiqua"/>
          <w:lang w:val="en-GB"/>
        </w:rPr>
        <w:t>). Almost all Islamic bonds are purchased for long-term efforts for development. The exchange still took place, but it was only at its development at a reasonable cost, comparable to the real one stated in the al-</w:t>
      </w:r>
      <w:proofErr w:type="spellStart"/>
      <w:r w:rsidRPr="00505081">
        <w:rPr>
          <w:rFonts w:ascii="Book Antiqua" w:hAnsi="Book Antiqua"/>
          <w:lang w:val="en-GB"/>
        </w:rPr>
        <w:t>dayn</w:t>
      </w:r>
      <w:proofErr w:type="spellEnd"/>
      <w:r w:rsidRPr="00505081">
        <w:rPr>
          <w:rFonts w:ascii="Book Antiqua" w:hAnsi="Book Antiqua"/>
          <w:lang w:val="en-GB"/>
        </w:rPr>
        <w:t xml:space="preserve"> creed (the bond of wills). Islamic bonds are not allowed in Islam because they include trade obligations. It is usury. Obligations are still obligations, even though essential resources uphold them.</w:t>
      </w:r>
    </w:p>
    <w:p w14:paraId="37687FAA" w14:textId="68FB47B9" w:rsidR="00505081" w:rsidRDefault="00505081" w:rsidP="00505081">
      <w:pPr>
        <w:pStyle w:val="NormalWeb"/>
        <w:numPr>
          <w:ilvl w:val="0"/>
          <w:numId w:val="16"/>
        </w:numPr>
        <w:spacing w:before="0" w:beforeAutospacing="0" w:after="0" w:afterAutospacing="0"/>
        <w:jc w:val="both"/>
        <w:rPr>
          <w:rFonts w:ascii="Book Antiqua" w:hAnsi="Book Antiqua"/>
          <w:color w:val="0E101A"/>
          <w:lang w:val="en-GB" w:eastAsia="en-GB"/>
        </w:rPr>
      </w:pPr>
      <w:r w:rsidRPr="00505081">
        <w:rPr>
          <w:rFonts w:ascii="Book Antiqua" w:hAnsi="Book Antiqua"/>
          <w:color w:val="0E101A"/>
          <w:lang w:val="en-GB" w:eastAsia="en-GB"/>
        </w:rPr>
        <w:t xml:space="preserve">Subordinates an Islamic Point of </w:t>
      </w:r>
      <w:r w:rsidRPr="00505081">
        <w:rPr>
          <w:rFonts w:ascii="Book Antiqua" w:hAnsi="Book Antiqua"/>
          <w:color w:val="0E101A"/>
          <w:lang w:val="en-GB" w:eastAsia="en-GB"/>
        </w:rPr>
        <w:t>View</w:t>
      </w:r>
      <w:r>
        <w:rPr>
          <w:rFonts w:ascii="Book Antiqua" w:hAnsi="Book Antiqua"/>
          <w:color w:val="0E101A"/>
          <w:lang w:val="en-GB" w:eastAsia="en-GB"/>
        </w:rPr>
        <w:t>, s</w:t>
      </w:r>
      <w:r w:rsidRPr="00505081">
        <w:rPr>
          <w:rFonts w:ascii="Book Antiqua" w:hAnsi="Book Antiqua"/>
          <w:color w:val="0E101A"/>
          <w:lang w:val="en-GB" w:eastAsia="en-GB"/>
        </w:rPr>
        <w:t>ubordinates</w:t>
      </w:r>
      <w:r w:rsidRPr="00505081">
        <w:rPr>
          <w:rFonts w:ascii="Book Antiqua" w:hAnsi="Book Antiqua"/>
          <w:color w:val="0E101A"/>
          <w:lang w:val="en-GB" w:eastAsia="en-GB"/>
        </w:rPr>
        <w:t xml:space="preserve"> are a type of monetary design in planning innovative systems and answers to ensure danger. Things that are commonly used include the future/future and choices. Forward is an agreement to trade resources in the future at a set fee to be completed. At the same time, the choice is a right, not a commitment to trade hidden resources at an agreed cost and transport time</w:t>
      </w:r>
      <w:r>
        <w:rPr>
          <w:rFonts w:ascii="Book Antiqua" w:hAnsi="Book Antiqua"/>
          <w:color w:val="0E101A"/>
          <w:lang w:val="en-GB" w:eastAsia="en-GB"/>
        </w:rPr>
        <w:t>.</w:t>
      </w:r>
    </w:p>
    <w:p w14:paraId="03C71900" w14:textId="3CD3D58A" w:rsidR="00505081" w:rsidRPr="00505081" w:rsidRDefault="00505081" w:rsidP="00505081">
      <w:pPr>
        <w:pStyle w:val="NormalWeb"/>
        <w:spacing w:before="0" w:beforeAutospacing="0" w:after="0" w:afterAutospacing="0"/>
        <w:ind w:firstLine="720"/>
        <w:jc w:val="both"/>
        <w:rPr>
          <w:rFonts w:ascii="Book Antiqua" w:hAnsi="Book Antiqua"/>
          <w:color w:val="0E101A"/>
          <w:lang w:val="en-GB" w:eastAsia="en-GB"/>
        </w:rPr>
      </w:pPr>
      <w:r w:rsidRPr="00505081">
        <w:rPr>
          <w:rFonts w:ascii="Book Antiqua" w:hAnsi="Book Antiqua"/>
          <w:color w:val="0E101A"/>
          <w:lang w:val="en-GB" w:eastAsia="en-GB"/>
        </w:rPr>
        <w:t xml:space="preserve">It is strengthening the Islamic monetary institution, encouraging the increase of goods and ruthless Islamic-based administration, for example, having attractive goods that are shown by the quality of Islamic </w:t>
      </w:r>
      <w:r w:rsidR="009A2FA0">
        <w:rPr>
          <w:rFonts w:ascii="Book Antiqua" w:hAnsi="Book Antiqua"/>
          <w:color w:val="0E101A"/>
          <w:lang w:val="en-GB" w:eastAsia="en-GB"/>
        </w:rPr>
        <w:t>finance</w:t>
      </w:r>
      <w:r w:rsidRPr="00505081">
        <w:rPr>
          <w:rFonts w:ascii="Book Antiqua" w:hAnsi="Book Antiqua"/>
          <w:color w:val="0E101A"/>
          <w:lang w:val="en-GB" w:eastAsia="en-GB"/>
        </w:rPr>
        <w:t>, after encouraging the consolidation of three state-owned Islamic banks. While simultaneously satisfying the number and nature of talent in Islamic</w:t>
      </w:r>
      <w:r w:rsidR="009A2FA0">
        <w:rPr>
          <w:rFonts w:ascii="Book Antiqua" w:hAnsi="Book Antiqua"/>
          <w:color w:val="0E101A"/>
          <w:lang w:val="en-GB" w:eastAsia="en-GB"/>
        </w:rPr>
        <w:t xml:space="preserve"> finance</w:t>
      </w:r>
      <w:r w:rsidRPr="00505081">
        <w:rPr>
          <w:rFonts w:ascii="Book Antiqua" w:hAnsi="Book Antiqua"/>
          <w:color w:val="0E101A"/>
          <w:lang w:val="en-GB" w:eastAsia="en-GB"/>
        </w:rPr>
        <w:t>. The Financial Services Authority (</w:t>
      </w:r>
      <w:proofErr w:type="spellStart"/>
      <w:r w:rsidRPr="00505081">
        <w:rPr>
          <w:rFonts w:ascii="Book Antiqua" w:hAnsi="Book Antiqua"/>
          <w:color w:val="0E101A"/>
          <w:lang w:val="en-GB" w:eastAsia="en-GB"/>
        </w:rPr>
        <w:t>OJK</w:t>
      </w:r>
      <w:proofErr w:type="spellEnd"/>
      <w:r w:rsidRPr="00505081">
        <w:rPr>
          <w:rFonts w:ascii="Book Antiqua" w:hAnsi="Book Antiqua"/>
          <w:color w:val="0E101A"/>
          <w:lang w:val="en-GB" w:eastAsia="en-GB"/>
        </w:rPr>
        <w:t xml:space="preserve">) also supports the acceptance of innovations to develop administration further and improve proficiency. Such as strengthening Islamic monetary organizations, making Islamic monetary needs feasible, and empowering the advancement of the Islamic environment in coordination with halal businesses. The strengthening of Islamic monetary organizations, among other things, empowers the development of Islamic-based goods and a very aggressive administration, for example, possessing </w:t>
      </w:r>
      <w:r w:rsidRPr="00505081">
        <w:rPr>
          <w:rFonts w:ascii="Book Antiqua" w:hAnsi="Book Antiqua"/>
          <w:color w:val="0E101A"/>
          <w:lang w:val="en-GB" w:eastAsia="en-GB"/>
        </w:rPr>
        <w:lastRenderedPageBreak/>
        <w:t xml:space="preserve">extraordinary goods that are demonstrated by the nature of Islamic </w:t>
      </w:r>
      <w:r w:rsidR="009A2FA0">
        <w:rPr>
          <w:rFonts w:ascii="Book Antiqua" w:hAnsi="Book Antiqua"/>
          <w:color w:val="0E101A"/>
          <w:lang w:val="en-GB" w:eastAsia="en-GB"/>
        </w:rPr>
        <w:t xml:space="preserve">finance </w:t>
      </w:r>
      <w:r w:rsidR="00C40D96">
        <w:rPr>
          <w:rFonts w:ascii="Book Antiqua" w:hAnsi="Book Antiqua"/>
          <w:color w:val="0E101A"/>
          <w:lang w:val="en-GB" w:eastAsia="en-GB"/>
        </w:rPr>
        <w:t xml:space="preserve"> </w:t>
      </w:r>
      <w:r w:rsidR="00C40D96">
        <w:rPr>
          <w:rFonts w:ascii="Book Antiqua" w:hAnsi="Book Antiqua"/>
          <w:color w:val="0E101A"/>
          <w:lang w:val="en-GB" w:eastAsia="en-GB"/>
        </w:rPr>
        <w:fldChar w:fldCharType="begin" w:fldLock="1"/>
      </w:r>
      <w:r w:rsidR="00CC210E">
        <w:rPr>
          <w:rFonts w:ascii="Book Antiqua" w:hAnsi="Book Antiqua"/>
          <w:color w:val="0E101A"/>
          <w:lang w:val="en-GB" w:eastAsia="en-GB"/>
        </w:rPr>
        <w:instrText>ADDIN CSL_CITATION {"citationItems":[{"id":"ITEM-1","itemData":{"DOI":"http://dx.doi.org/10.21093/at.v6i2.2946","author":[{"dropping-particle":"","family":"Sofyan","given":"A Syathir","non-dropping-particle":"","parse-names":false,"suffix":""},{"dropping-particle":"","family":"Yunus","given":"Ayu Ruqayyah","non-dropping-particle":"","parse-names":false,"suffix":""},{"dropping-particle":"","family":"Muslihati","given":"","non-dropping-particle":"","parse-names":false,"suffix":""},{"dropping-particle":"","family":"Anwar","given":"Nurfiah","non-dropping-particle":"","parse-names":false,"suffix":""},{"dropping-particle":"","family":"Saidy","given":"Emily Nur","non-dropping-particle":"","parse-names":false,"suffix":""}],"container-title":"Al-Tijary: Jurnal Ekonomi dan Bisnis Islam","id":"ITEM-1","issue":"2","issued":{"date-parts":[["2021"]]},"page":"141-163","title":"Local Economic Practices in Developing Islamic Financial Products in Indonesia","type":"article-journal","volume":"6"},"uris":["http://www.mendeley.com/documents/?uuid=43b59eff-294e-4e5f-b3df-2e6bf0d1c432"]}],"mendeley":{"formattedCitation":"(Sofyan et al., 2021)","plainTextFormattedCitation":"(Sofyan et al., 2021)","previouslyFormattedCitation":"(Sofyan et al., 2021)"},"properties":{"noteIndex":0},"schema":"https://github.com/citation-style-language/schema/raw/master/csl-citation.json"}</w:instrText>
      </w:r>
      <w:r w:rsidR="00C40D96">
        <w:rPr>
          <w:rFonts w:ascii="Book Antiqua" w:hAnsi="Book Antiqua"/>
          <w:color w:val="0E101A"/>
          <w:lang w:val="en-GB" w:eastAsia="en-GB"/>
        </w:rPr>
        <w:fldChar w:fldCharType="separate"/>
      </w:r>
      <w:r w:rsidR="00C40D96" w:rsidRPr="00C40D96">
        <w:rPr>
          <w:rFonts w:ascii="Book Antiqua" w:hAnsi="Book Antiqua"/>
          <w:noProof/>
          <w:color w:val="0E101A"/>
          <w:lang w:val="en-GB" w:eastAsia="en-GB"/>
        </w:rPr>
        <w:t>(Sofyan et al., 2021)</w:t>
      </w:r>
      <w:r w:rsidR="00C40D96">
        <w:rPr>
          <w:rFonts w:ascii="Book Antiqua" w:hAnsi="Book Antiqua"/>
          <w:color w:val="0E101A"/>
          <w:lang w:val="en-GB" w:eastAsia="en-GB"/>
        </w:rPr>
        <w:fldChar w:fldCharType="end"/>
      </w:r>
      <w:r w:rsidRPr="00505081">
        <w:rPr>
          <w:rFonts w:ascii="Book Antiqua" w:hAnsi="Book Antiqua"/>
          <w:color w:val="0E101A"/>
          <w:lang w:val="en-GB" w:eastAsia="en-GB"/>
        </w:rPr>
        <w:t xml:space="preserve">. </w:t>
      </w:r>
    </w:p>
    <w:p w14:paraId="0AFB7414" w14:textId="150AC203" w:rsidR="00505081" w:rsidRPr="00505081" w:rsidRDefault="00505081" w:rsidP="00505081">
      <w:pPr>
        <w:pStyle w:val="NormalWeb"/>
        <w:spacing w:before="0" w:beforeAutospacing="0" w:after="0" w:afterAutospacing="0"/>
        <w:ind w:firstLine="720"/>
        <w:jc w:val="both"/>
        <w:rPr>
          <w:rFonts w:ascii="Book Antiqua" w:hAnsi="Book Antiqua"/>
          <w:color w:val="0E101A"/>
          <w:lang w:val="en-GB" w:eastAsia="en-GB"/>
        </w:rPr>
      </w:pPr>
      <w:r w:rsidRPr="00505081">
        <w:rPr>
          <w:rFonts w:ascii="Book Antiqua" w:hAnsi="Book Antiqua"/>
          <w:color w:val="0E101A"/>
          <w:lang w:val="en-GB" w:eastAsia="en-GB"/>
        </w:rPr>
        <w:t xml:space="preserve">Indonesia's Islamic financial capability of Islamic monetary implementation has even received worldwide recognition from the achievement of several profound assessments in various reports on the implementation of Islamic monetary services around the world. The </w:t>
      </w:r>
      <w:proofErr w:type="spellStart"/>
      <w:r w:rsidRPr="00505081">
        <w:rPr>
          <w:rFonts w:ascii="Book Antiqua" w:hAnsi="Book Antiqua"/>
          <w:color w:val="0E101A"/>
          <w:lang w:val="en-GB" w:eastAsia="en-GB"/>
        </w:rPr>
        <w:t>OJK</w:t>
      </w:r>
      <w:proofErr w:type="spellEnd"/>
      <w:r w:rsidRPr="00505081">
        <w:rPr>
          <w:rFonts w:ascii="Book Antiqua" w:hAnsi="Book Antiqua"/>
          <w:color w:val="0E101A"/>
          <w:lang w:val="en-GB" w:eastAsia="en-GB"/>
        </w:rPr>
        <w:t xml:space="preserve"> stated that the enormous ability of Islamic</w:t>
      </w:r>
      <w:r w:rsidR="009A2FA0">
        <w:rPr>
          <w:rFonts w:ascii="Book Antiqua" w:hAnsi="Book Antiqua"/>
          <w:color w:val="0E101A"/>
          <w:lang w:val="en-GB" w:eastAsia="en-GB"/>
        </w:rPr>
        <w:t xml:space="preserve"> finance</w:t>
      </w:r>
      <w:r w:rsidRPr="00505081">
        <w:rPr>
          <w:rFonts w:ascii="Book Antiqua" w:hAnsi="Book Antiqua"/>
          <w:color w:val="0E101A"/>
          <w:lang w:val="en-GB" w:eastAsia="en-GB"/>
        </w:rPr>
        <w:t xml:space="preserve"> in Indonesia must be wasted. Therefore, the institution has three </w:t>
      </w:r>
      <w:proofErr w:type="spellStart"/>
      <w:r w:rsidRPr="00505081">
        <w:rPr>
          <w:rFonts w:ascii="Book Antiqua" w:hAnsi="Book Antiqua"/>
          <w:color w:val="0E101A"/>
          <w:lang w:val="en-GB" w:eastAsia="en-GB"/>
        </w:rPr>
        <w:t>centers</w:t>
      </w:r>
      <w:proofErr w:type="spellEnd"/>
      <w:r w:rsidRPr="00505081">
        <w:rPr>
          <w:rFonts w:ascii="Book Antiqua" w:hAnsi="Book Antiqua"/>
          <w:color w:val="0E101A"/>
          <w:lang w:val="en-GB" w:eastAsia="en-GB"/>
        </w:rPr>
        <w:t xml:space="preserve"> of approach to boosting the domestic Islamic economy and </w:t>
      </w:r>
      <w:r w:rsidR="009A2FA0">
        <w:rPr>
          <w:rFonts w:ascii="Book Antiqua" w:hAnsi="Book Antiqua"/>
          <w:color w:val="0E101A"/>
          <w:lang w:val="en-GB" w:eastAsia="en-GB"/>
        </w:rPr>
        <w:t>finance</w:t>
      </w:r>
      <w:r w:rsidRPr="00505081">
        <w:rPr>
          <w:rFonts w:ascii="Book Antiqua" w:hAnsi="Book Antiqua"/>
          <w:color w:val="0E101A"/>
          <w:lang w:val="en-GB" w:eastAsia="en-GB"/>
        </w:rPr>
        <w:t>. Among them is the strengthening of Islamic financial institutions, the creation of sustainable Islamic financial demand, and the development of an integrated Islamic financial ecosystem with the halal industry.</w:t>
      </w:r>
    </w:p>
    <w:p w14:paraId="03F350E1" w14:textId="4D8A1E6E" w:rsidR="00427ED0" w:rsidRDefault="00427ED0" w:rsidP="00427ED0">
      <w:pPr>
        <w:jc w:val="both"/>
        <w:rPr>
          <w:rFonts w:ascii="Book Antiqua" w:hAnsi="Book Antiqua"/>
          <w:lang w:val="en-GB"/>
        </w:rPr>
      </w:pPr>
    </w:p>
    <w:p w14:paraId="46BE2EB0" w14:textId="372A329D" w:rsidR="00EA28FC" w:rsidRPr="00EA28FC" w:rsidRDefault="00EA28FC" w:rsidP="00EA28FC">
      <w:pPr>
        <w:jc w:val="both"/>
        <w:rPr>
          <w:rFonts w:ascii="Book Antiqua" w:hAnsi="Book Antiqua"/>
          <w:b/>
          <w:bCs/>
          <w:lang w:val="en-GB"/>
        </w:rPr>
      </w:pPr>
      <w:r w:rsidRPr="00EA28FC">
        <w:rPr>
          <w:rFonts w:ascii="Book Antiqua" w:hAnsi="Book Antiqua"/>
          <w:b/>
          <w:bCs/>
          <w:lang w:val="en-GB"/>
        </w:rPr>
        <w:t>Conventional Monetary Financial System</w:t>
      </w:r>
    </w:p>
    <w:p w14:paraId="56465EF7" w14:textId="00927396" w:rsidR="005B217F" w:rsidRDefault="00EA28FC" w:rsidP="00EA28FC">
      <w:pPr>
        <w:pStyle w:val="NormalWeb"/>
        <w:spacing w:before="0" w:beforeAutospacing="0" w:after="0" w:afterAutospacing="0"/>
        <w:jc w:val="both"/>
        <w:rPr>
          <w:rFonts w:ascii="Book Antiqua" w:hAnsi="Book Antiqua"/>
          <w:color w:val="0E101A"/>
          <w:lang w:val="en-GB" w:eastAsia="en-GB"/>
        </w:rPr>
      </w:pPr>
      <w:r>
        <w:rPr>
          <w:rFonts w:ascii="Book Antiqua" w:hAnsi="Book Antiqua"/>
          <w:color w:val="0E101A"/>
          <w:lang w:val="en-GB" w:eastAsia="en-GB"/>
        </w:rPr>
        <w:tab/>
      </w:r>
      <w:bookmarkStart w:id="23" w:name="OLE_LINK25"/>
      <w:r w:rsidRPr="00EA28FC">
        <w:rPr>
          <w:rFonts w:ascii="Book Antiqua" w:hAnsi="Book Antiqua"/>
          <w:color w:val="0E101A"/>
          <w:lang w:val="en-GB" w:eastAsia="en-GB"/>
        </w:rPr>
        <w:t>Monetary Organization can be characterized as an element of business whose primary resource is a monetary resource or a case that can be offered, bonds, and advances, rather than as original resources such as structures, equipment, and unrefined substances</w:t>
      </w:r>
      <w:bookmarkEnd w:id="23"/>
      <w:r w:rsidR="003D01C8">
        <w:rPr>
          <w:rFonts w:ascii="Book Antiqua" w:hAnsi="Book Antiqua"/>
          <w:color w:val="0E101A"/>
          <w:lang w:val="en-GB" w:eastAsia="en-GB"/>
        </w:rPr>
        <w:t xml:space="preserve"> </w:t>
      </w:r>
      <w:r w:rsidR="003D01C8">
        <w:rPr>
          <w:rFonts w:ascii="Book Antiqua" w:hAnsi="Book Antiqua"/>
          <w:color w:val="0E101A"/>
          <w:lang w:val="en-GB" w:eastAsia="en-GB"/>
        </w:rPr>
        <w:fldChar w:fldCharType="begin" w:fldLock="1"/>
      </w:r>
      <w:r w:rsidR="003D01C8">
        <w:rPr>
          <w:rFonts w:ascii="Book Antiqua" w:hAnsi="Book Antiqua"/>
          <w:color w:val="0E101A"/>
          <w:lang w:val="en-GB" w:eastAsia="en-GB"/>
        </w:rPr>
        <w:instrText>ADDIN CSL_CITATION {"citationItems":[{"id":"ITEM-1","itemData":{"DOI":"10.1080/17530350.2015.1067827","ISSN":"1753-0350","author":[{"dropping-particle":"","family":"Sørensen","given":"Anders Ravn","non-dropping-particle":"","parse-names":false,"suffix":""}],"container-title":"Journal of Cultural Economy","id":"ITEM-1","issue":"2","issued":{"date-parts":[["2016","3","3"]]},"page":"173-185","title":"Monetary organization and national identity: a review and considerations","type":"article-journal","volume":"9"},"uris":["http://www.mendeley.com/documents/?uuid=62ee88b1-4510-4588-9159-e1845fc52d06"]}],"mendeley":{"formattedCitation":"(Sørensen, 2016)","plainTextFormattedCitation":"(Sørensen, 2016)","previouslyFormattedCitation":"(Sørensen, 2016)"},"properties":{"noteIndex":0},"schema":"https://github.com/citation-style-language/schema/raw/master/csl-citation.json"}</w:instrText>
      </w:r>
      <w:r w:rsidR="003D01C8">
        <w:rPr>
          <w:rFonts w:ascii="Book Antiqua" w:hAnsi="Book Antiqua"/>
          <w:color w:val="0E101A"/>
          <w:lang w:val="en-GB" w:eastAsia="en-GB"/>
        </w:rPr>
        <w:fldChar w:fldCharType="separate"/>
      </w:r>
      <w:r w:rsidR="003D01C8" w:rsidRPr="003D01C8">
        <w:rPr>
          <w:rFonts w:ascii="Book Antiqua" w:hAnsi="Book Antiqua"/>
          <w:noProof/>
          <w:color w:val="0E101A"/>
          <w:lang w:val="en-GB" w:eastAsia="en-GB"/>
        </w:rPr>
        <w:t>(Sørensen, 2016)</w:t>
      </w:r>
      <w:r w:rsidR="003D01C8">
        <w:rPr>
          <w:rFonts w:ascii="Book Antiqua" w:hAnsi="Book Antiqua"/>
          <w:color w:val="0E101A"/>
          <w:lang w:val="en-GB" w:eastAsia="en-GB"/>
        </w:rPr>
        <w:fldChar w:fldCharType="end"/>
      </w:r>
      <w:r w:rsidRPr="00EA28FC">
        <w:rPr>
          <w:rFonts w:ascii="Book Antiqua" w:hAnsi="Book Antiqua"/>
          <w:color w:val="0E101A"/>
          <w:lang w:val="en-GB" w:eastAsia="en-GB"/>
        </w:rPr>
        <w:t>. In law Number 14 of 1967 concerning Banking Standards, what is meant by the monetary organization is a large part of the substance that through exercises in the monetary field withdraws cash from the people in general and channels money back to the local area. That the monetary basis is the place of change or transfer of assets from parties experiencing an excess of reserves (excess of assets) to parties experiencing a shortfall of assets (shortfall of assets).</w:t>
      </w:r>
    </w:p>
    <w:p w14:paraId="091FEF26" w14:textId="40F983BF" w:rsidR="00EA28FC" w:rsidRDefault="00EA28FC" w:rsidP="00EA28FC">
      <w:pPr>
        <w:pStyle w:val="NormalWeb"/>
        <w:spacing w:before="0" w:beforeAutospacing="0" w:after="0" w:afterAutospacing="0"/>
        <w:jc w:val="both"/>
        <w:rPr>
          <w:rFonts w:ascii="Book Antiqua" w:hAnsi="Book Antiqua"/>
          <w:color w:val="0E101A"/>
          <w:lang w:val="en-GB" w:eastAsia="en-GB"/>
        </w:rPr>
      </w:pPr>
      <w:r>
        <w:rPr>
          <w:rFonts w:ascii="Book Antiqua" w:hAnsi="Book Antiqua"/>
          <w:color w:val="0E101A"/>
          <w:lang w:val="en-GB" w:eastAsia="en-GB"/>
        </w:rPr>
        <w:tab/>
      </w:r>
      <w:r w:rsidRPr="00EA28FC">
        <w:rPr>
          <w:rFonts w:ascii="Book Antiqua" w:hAnsi="Book Antiqua"/>
          <w:color w:val="0E101A"/>
          <w:lang w:val="en-GB" w:eastAsia="en-GB"/>
        </w:rPr>
        <w:t>Generally, the types of Monetary Institutions are divided into 2 (two) namely Bank and Non-Bank Institutions</w:t>
      </w:r>
      <w:r w:rsidR="003D01C8">
        <w:rPr>
          <w:rFonts w:ascii="Book Antiqua" w:hAnsi="Book Antiqua"/>
          <w:color w:val="0E101A"/>
          <w:lang w:val="en-GB" w:eastAsia="en-GB"/>
        </w:rPr>
        <w:t xml:space="preserve"> </w:t>
      </w:r>
      <w:r w:rsidR="003D01C8">
        <w:rPr>
          <w:rFonts w:ascii="Book Antiqua" w:hAnsi="Book Antiqua"/>
          <w:color w:val="0E101A"/>
          <w:lang w:val="en-GB" w:eastAsia="en-GB"/>
        </w:rPr>
        <w:fldChar w:fldCharType="begin" w:fldLock="1"/>
      </w:r>
      <w:r w:rsidR="003D01C8">
        <w:rPr>
          <w:rFonts w:ascii="Book Antiqua" w:hAnsi="Book Antiqua"/>
          <w:color w:val="0E101A"/>
          <w:lang w:val="en-GB" w:eastAsia="en-GB"/>
        </w:rPr>
        <w:instrText>ADDIN CSL_CITATION {"citationItems":[{"id":"ITEM-1","itemData":{"DOI":"10.1007/s10693-009-0077-4","ISSN":"0920-8550","author":[{"dropping-particle":"","family":"Cheng","given":"Xiaoqiang","non-dropping-particle":"","parse-names":false,"suffix":""},{"dropping-particle":"","family":"Degryse","given":"Hans","non-dropping-particle":"","parse-names":false,"suffix":""}],"container-title":"Journal of Financial Services Research","id":"ITEM-1","issue":"2-3","issued":{"date-parts":[["2010","6","11"]]},"page":"179-199","title":"The Impact of Bank and Non-Bank Financial Institutions on Local Economic Growth in China","type":"article-journal","volume":"37"},"uris":["http://www.mendeley.com/documents/?uuid=30647a26-561b-4a77-a563-81c8809f4063"]}],"mendeley":{"formattedCitation":"(Cheng &amp; Degryse, 2010)","plainTextFormattedCitation":"(Cheng &amp; Degryse, 2010)","previouslyFormattedCitation":"(Cheng &amp; Degryse, 2010)"},"properties":{"noteIndex":0},"schema":"https://github.com/citation-style-language/schema/raw/master/csl-citation.json"}</w:instrText>
      </w:r>
      <w:r w:rsidR="003D01C8">
        <w:rPr>
          <w:rFonts w:ascii="Book Antiqua" w:hAnsi="Book Antiqua"/>
          <w:color w:val="0E101A"/>
          <w:lang w:val="en-GB" w:eastAsia="en-GB"/>
        </w:rPr>
        <w:fldChar w:fldCharType="separate"/>
      </w:r>
      <w:r w:rsidR="003D01C8" w:rsidRPr="003D01C8">
        <w:rPr>
          <w:rFonts w:ascii="Book Antiqua" w:hAnsi="Book Antiqua"/>
          <w:noProof/>
          <w:color w:val="0E101A"/>
          <w:lang w:val="en-GB" w:eastAsia="en-GB"/>
        </w:rPr>
        <w:t>(Cheng &amp; Degryse, 2010)</w:t>
      </w:r>
      <w:r w:rsidR="003D01C8">
        <w:rPr>
          <w:rFonts w:ascii="Book Antiqua" w:hAnsi="Book Antiqua"/>
          <w:color w:val="0E101A"/>
          <w:lang w:val="en-GB" w:eastAsia="en-GB"/>
        </w:rPr>
        <w:fldChar w:fldCharType="end"/>
      </w:r>
      <w:r w:rsidRPr="00EA28FC">
        <w:rPr>
          <w:rFonts w:ascii="Book Antiqua" w:hAnsi="Book Antiqua"/>
          <w:color w:val="0E101A"/>
          <w:lang w:val="en-GB" w:eastAsia="en-GB"/>
        </w:rPr>
        <w:t>. Both have different capacities and organizations</w:t>
      </w:r>
      <w:r>
        <w:rPr>
          <w:rFonts w:ascii="Book Antiqua" w:hAnsi="Book Antiqua"/>
          <w:color w:val="0E101A"/>
          <w:lang w:val="en-GB" w:eastAsia="en-GB"/>
        </w:rPr>
        <w:t>, as follows:</w:t>
      </w:r>
    </w:p>
    <w:p w14:paraId="19DAA382" w14:textId="1D97047A" w:rsidR="00EA28FC" w:rsidRDefault="00EA28FC" w:rsidP="00EA28FC">
      <w:pPr>
        <w:pStyle w:val="NormalWeb"/>
        <w:numPr>
          <w:ilvl w:val="0"/>
          <w:numId w:val="17"/>
        </w:numPr>
        <w:spacing w:before="0" w:beforeAutospacing="0" w:after="0" w:afterAutospacing="0"/>
        <w:jc w:val="both"/>
        <w:rPr>
          <w:rFonts w:ascii="Book Antiqua" w:hAnsi="Book Antiqua"/>
          <w:color w:val="0E101A"/>
          <w:lang w:val="en-GB" w:eastAsia="en-GB"/>
        </w:rPr>
      </w:pPr>
      <w:bookmarkStart w:id="24" w:name="OLE_LINK26"/>
      <w:r w:rsidRPr="00EA28FC">
        <w:rPr>
          <w:rFonts w:ascii="Book Antiqua" w:hAnsi="Book Antiqua"/>
          <w:color w:val="0E101A"/>
          <w:lang w:val="en-GB" w:eastAsia="en-GB"/>
        </w:rPr>
        <w:t xml:space="preserve">Bank (distribution </w:t>
      </w:r>
      <w:proofErr w:type="spellStart"/>
      <w:r w:rsidRPr="00EA28FC">
        <w:rPr>
          <w:rFonts w:ascii="Book Antiqua" w:hAnsi="Book Antiqua"/>
          <w:color w:val="0E101A"/>
          <w:lang w:val="en-GB" w:eastAsia="en-GB"/>
        </w:rPr>
        <w:t>center</w:t>
      </w:r>
      <w:proofErr w:type="spellEnd"/>
      <w:r w:rsidRPr="00EA28FC">
        <w:rPr>
          <w:rFonts w:ascii="Book Antiqua" w:hAnsi="Book Antiqua"/>
          <w:color w:val="0E101A"/>
          <w:lang w:val="en-GB" w:eastAsia="en-GB"/>
        </w:rPr>
        <w:t>)</w:t>
      </w:r>
      <w:r>
        <w:rPr>
          <w:rFonts w:ascii="Book Antiqua" w:hAnsi="Book Antiqua"/>
          <w:color w:val="0E101A"/>
          <w:lang w:val="en-GB" w:eastAsia="en-GB"/>
        </w:rPr>
        <w:t xml:space="preserve">, </w:t>
      </w:r>
      <w:r w:rsidRPr="00EA28FC">
        <w:rPr>
          <w:rFonts w:ascii="Book Antiqua" w:hAnsi="Book Antiqua"/>
          <w:color w:val="0E101A"/>
          <w:lang w:val="en-GB" w:eastAsia="en-GB"/>
        </w:rPr>
        <w:t>as referred to in Law no. 10 of 1998. It is a business substance that collects abundance from the entire population as a deposit reserve</w:t>
      </w:r>
      <w:bookmarkEnd w:id="24"/>
      <w:r w:rsidR="003D01C8">
        <w:rPr>
          <w:rFonts w:ascii="Book Antiqua" w:hAnsi="Book Antiqua"/>
          <w:color w:val="0E101A"/>
          <w:lang w:val="en-GB" w:eastAsia="en-GB"/>
        </w:rPr>
        <w:t xml:space="preserve"> </w:t>
      </w:r>
      <w:r w:rsidR="003D01C8">
        <w:rPr>
          <w:rFonts w:ascii="Book Antiqua" w:hAnsi="Book Antiqua"/>
          <w:color w:val="0E101A"/>
          <w:lang w:val="en-GB" w:eastAsia="en-GB"/>
        </w:rPr>
        <w:fldChar w:fldCharType="begin" w:fldLock="1"/>
      </w:r>
      <w:r w:rsidR="00C40D96">
        <w:rPr>
          <w:rFonts w:ascii="Book Antiqua" w:hAnsi="Book Antiqua"/>
          <w:color w:val="0E101A"/>
          <w:lang w:val="en-GB" w:eastAsia="en-GB"/>
        </w:rPr>
        <w:instrText>ADDIN CSL_CITATION {"citationItems":[{"id":"ITEM-1","itemData":{"DOI":"10.21272/fmir.4(1).76-85.2020","ISSN":"2521-1242","abstract":"The article is devoted to the analysis of tendencies and research of approaches to the definition of strategic management of the bank in the scientific literature, to the identification of future perspective directions of research of this problem. VOSviewer software was used for bibliometric analysis, the object of the study was 5901 articles in scientific journals indexed by Scopus and Web of Science scientific databases, the study period was the time interval from 1991 to 2019. The article substantiates that in 2007-2009 the focus of the study has shifted from general strategic management issues to risk management issues of the bank’s business strategy. In 2019, the number of papers devoted to strategic bank management increased rapidly – by 343% compared to 2007. The use of the VOSviewer tool revealed 5 clusters of the relationship between strategic bank management theory and other theories based on scientific concepts. The largest research cluster combines the expertise of researchers who study strategic bank management in close connection with concepts that study the bank’s business models, business strategy, competition, banking performance, banking services, and more. The second-largest cluster brought together scholars who study the theory of strategic bank management at the intersection with the theories of strategic planning, finance, commerce, e-commerce, management, information management, planning, investing, technological development, and more. The third-largest cluster brings together scholars who consider strategic bank management through the lens of corporate governance, corporate strategy, financial market trends, retail banking, bank profitability, and more. The conducted research leads to the conclusion that business strategy, profitability, and strategic risk management are the priority components of banking strategic management. Keywords: bank, banking, strategy, strategic management, business strategy, business model.","author":[{"dropping-particle":"","family":"Kryvych","given":"Yana","non-dropping-particle":"","parse-names":false,"suffix":""},{"dropping-particle":"","family":"Goncharenko","given":"Tetiana","non-dropping-particle":"","parse-names":false,"suffix":""}],"container-title":"Financial Markets, Institutions and Risks","id":"ITEM-1","issue":"1","issued":{"date-parts":[["2020"]]},"page":"76-85","title":"Banking strategic management and business model: bibliometric analysis","type":"article-journal","volume":"4"},"uris":["http://www.mendeley.com/documents/?uuid=c844fba1-1c37-49e9-aac8-dd1e5551035f"]}],"mendeley":{"formattedCitation":"(Kryvych &amp; Goncharenko, 2020)","plainTextFormattedCitation":"(Kryvych &amp; Goncharenko, 2020)","previouslyFormattedCitation":"(Kryvych &amp; Goncharenko, 2020)"},"properties":{"noteIndex":0},"schema":"https://github.com/citation-style-language/schema/raw/master/csl-citation.json"}</w:instrText>
      </w:r>
      <w:r w:rsidR="003D01C8">
        <w:rPr>
          <w:rFonts w:ascii="Book Antiqua" w:hAnsi="Book Antiqua"/>
          <w:color w:val="0E101A"/>
          <w:lang w:val="en-GB" w:eastAsia="en-GB"/>
        </w:rPr>
        <w:fldChar w:fldCharType="separate"/>
      </w:r>
      <w:r w:rsidR="003D01C8" w:rsidRPr="003D01C8">
        <w:rPr>
          <w:rFonts w:ascii="Book Antiqua" w:hAnsi="Book Antiqua"/>
          <w:noProof/>
          <w:color w:val="0E101A"/>
          <w:lang w:val="en-GB" w:eastAsia="en-GB"/>
        </w:rPr>
        <w:t>(Kryvych &amp; Goncharenko, 2020)</w:t>
      </w:r>
      <w:r w:rsidR="003D01C8">
        <w:rPr>
          <w:rFonts w:ascii="Book Antiqua" w:hAnsi="Book Antiqua"/>
          <w:color w:val="0E101A"/>
          <w:lang w:val="en-GB" w:eastAsia="en-GB"/>
        </w:rPr>
        <w:fldChar w:fldCharType="end"/>
      </w:r>
      <w:r w:rsidRPr="00EA28FC">
        <w:rPr>
          <w:rFonts w:ascii="Book Antiqua" w:hAnsi="Book Antiqua"/>
          <w:color w:val="0E101A"/>
          <w:lang w:val="en-GB" w:eastAsia="en-GB"/>
        </w:rPr>
        <w:t xml:space="preserve">. It disseminates it throughout the population as a credit or construction that may be unique to facing the individual's way of life. Banking Associations in Indonesia:  </w:t>
      </w:r>
    </w:p>
    <w:p w14:paraId="5B011B03" w14:textId="2F69E374" w:rsidR="00EA28FC" w:rsidRDefault="00EA28FC" w:rsidP="00EA28FC">
      <w:pPr>
        <w:pStyle w:val="NormalWeb"/>
        <w:numPr>
          <w:ilvl w:val="1"/>
          <w:numId w:val="17"/>
        </w:numPr>
        <w:spacing w:before="0" w:beforeAutospacing="0" w:after="0" w:afterAutospacing="0"/>
        <w:jc w:val="both"/>
        <w:rPr>
          <w:rFonts w:ascii="Book Antiqua" w:hAnsi="Book Antiqua"/>
          <w:color w:val="0E101A"/>
          <w:lang w:val="en-GB" w:eastAsia="en-GB"/>
        </w:rPr>
      </w:pPr>
      <w:r w:rsidRPr="00EA28FC">
        <w:rPr>
          <w:rFonts w:ascii="Book Antiqua" w:hAnsi="Book Antiqua"/>
          <w:color w:val="0E101A"/>
          <w:lang w:val="en-GB" w:eastAsia="en-GB"/>
        </w:rPr>
        <w:t xml:space="preserve">National Bank (National Bank) is a bank with an administration responsible for managing, maintaining, and maintaining the integrity of the value of </w:t>
      </w:r>
      <w:r w:rsidR="009A2FA0">
        <w:rPr>
          <w:rFonts w:ascii="Book Antiqua" w:hAnsi="Book Antiqua"/>
          <w:color w:val="0E101A"/>
          <w:lang w:val="en-GB" w:eastAsia="en-GB"/>
        </w:rPr>
        <w:t xml:space="preserve">financial </w:t>
      </w:r>
      <w:r w:rsidRPr="00EA28FC">
        <w:rPr>
          <w:rFonts w:ascii="Book Antiqua" w:hAnsi="Book Antiqua"/>
          <w:color w:val="0E101A"/>
          <w:lang w:val="en-GB" w:eastAsia="en-GB"/>
        </w:rPr>
        <w:t>state, directing the implementation of financial arrangements, as well as planning, encouraging, and regulating all banks.</w:t>
      </w:r>
    </w:p>
    <w:p w14:paraId="0D557E7A" w14:textId="63C8D239" w:rsidR="00EA28FC" w:rsidRDefault="00EA28FC" w:rsidP="00EA28FC">
      <w:pPr>
        <w:pStyle w:val="NormalWeb"/>
        <w:numPr>
          <w:ilvl w:val="1"/>
          <w:numId w:val="17"/>
        </w:numPr>
        <w:spacing w:before="0" w:beforeAutospacing="0" w:after="0" w:afterAutospacing="0"/>
        <w:jc w:val="both"/>
        <w:rPr>
          <w:rFonts w:ascii="Book Antiqua" w:hAnsi="Book Antiqua"/>
          <w:color w:val="0E101A"/>
          <w:lang w:val="en-GB" w:eastAsia="en-GB"/>
        </w:rPr>
      </w:pPr>
      <w:bookmarkStart w:id="25" w:name="OLE_LINK30"/>
      <w:r w:rsidRPr="00EA28FC">
        <w:rPr>
          <w:rFonts w:ascii="Book Antiqua" w:hAnsi="Book Antiqua"/>
          <w:color w:val="0E101A"/>
          <w:lang w:val="en-GB" w:eastAsia="en-GB"/>
        </w:rPr>
        <w:t xml:space="preserve">Business Bank (Commercial Bank) is a business entity that runs an ordinary business that, in its implementation, offers this type of assistance in </w:t>
      </w:r>
      <w:proofErr w:type="spellStart"/>
      <w:r w:rsidRPr="00EA28FC">
        <w:rPr>
          <w:rFonts w:ascii="Book Antiqua" w:hAnsi="Book Antiqua"/>
          <w:color w:val="0E101A"/>
          <w:lang w:val="en-GB" w:eastAsia="en-GB"/>
        </w:rPr>
        <w:t>installment</w:t>
      </w:r>
      <w:proofErr w:type="spellEnd"/>
      <w:r w:rsidRPr="00EA28FC">
        <w:rPr>
          <w:rFonts w:ascii="Book Antiqua" w:hAnsi="Book Antiqua"/>
          <w:color w:val="0E101A"/>
          <w:lang w:val="en-GB" w:eastAsia="en-GB"/>
        </w:rPr>
        <w:t xml:space="preserve"> traffic</w:t>
      </w:r>
      <w:bookmarkEnd w:id="25"/>
      <w:r w:rsidR="008E4154">
        <w:rPr>
          <w:rFonts w:ascii="Book Antiqua" w:hAnsi="Book Antiqua"/>
          <w:color w:val="0E101A"/>
          <w:lang w:val="en-GB" w:eastAsia="en-GB"/>
        </w:rPr>
        <w:t xml:space="preserve"> </w:t>
      </w:r>
      <w:r w:rsidR="009A2FA0">
        <w:rPr>
          <w:rFonts w:ascii="Book Antiqua" w:hAnsi="Book Antiqua"/>
          <w:color w:val="0E101A"/>
          <w:lang w:val="en-GB" w:eastAsia="en-GB"/>
        </w:rPr>
        <w:fldChar w:fldCharType="begin" w:fldLock="1"/>
      </w:r>
      <w:r w:rsidR="009A2FA0">
        <w:rPr>
          <w:rFonts w:ascii="Book Antiqua" w:hAnsi="Book Antiqua"/>
          <w:color w:val="0E101A"/>
          <w:lang w:val="en-GB" w:eastAsia="en-GB"/>
        </w:rPr>
        <w:instrText>ADDIN CSL_CITATION {"citationItems":[{"id":"ITEM-1","itemData":{"DOI":"10.1007/978-3-319-54894-4_7","ISBN":"978-3-319-54893-7","author":[{"dropping-particle":"","family":"Cosma","given":"Stefano","non-dropping-particle":"","parse-names":false,"suffix":""},{"dropping-particle":"","family":"Ferretti","given":"Riccardo","non-dropping-particle":"","parse-names":false,"suffix":""},{"dropping-particle":"","family":"Gualandri","given":"Elisabetta","non-dropping-particle":"","parse-names":false,"suffix":""},{"dropping-particle":"","family":"Landi","given":"Andrea","non-dropping-particle":"","parse-names":false,"suffix":""},{"dropping-particle":"","family":"Venturelli","given":"Valeria","non-dropping-particle":"","parse-names":false,"suffix":""}],"container-title":"The Business of Banking","editor":[{"dropping-particle":"","family":"Chesini","given":"Giusy","non-dropping-particle":"","parse-names":false,"suffix":""},{"dropping-particle":"","family":"Giaretta","given":"Elisa","non-dropping-particle":"","parse-names":false,"suffix":""},{"dropping-particle":"","family":"Paltrinieri","given":"Andrea","non-dropping-particle":"","parse-names":false,"suffix":""}],"id":"ITEM-1","issued":{"date-parts":[["2017"]]},"page":"131-167","publisher":"Springer International Publishing","publisher-place":"Cham","title":"The Business Model of Banks: A Review of the Theoretical and Empirical Literature","type":"chapter"},"uris":["http://www.mendeley.com/documents/?uuid=a9b34445-4479-4406-abe9-de99d09dce2a"]}],"mendeley":{"formattedCitation":"(Cosma et al., 2017)","plainTextFormattedCitation":"(Cosma et al., 2017)"},"properties":{"noteIndex":0},"schema":"https://github.com/citation-style-language/schema/raw/master/csl-citation.json"}</w:instrText>
      </w:r>
      <w:r w:rsidR="009A2FA0">
        <w:rPr>
          <w:rFonts w:ascii="Book Antiqua" w:hAnsi="Book Antiqua"/>
          <w:color w:val="0E101A"/>
          <w:lang w:val="en-GB" w:eastAsia="en-GB"/>
        </w:rPr>
        <w:fldChar w:fldCharType="separate"/>
      </w:r>
      <w:r w:rsidR="009A2FA0" w:rsidRPr="009A2FA0">
        <w:rPr>
          <w:rFonts w:ascii="Book Antiqua" w:hAnsi="Book Antiqua"/>
          <w:noProof/>
          <w:color w:val="0E101A"/>
          <w:lang w:val="en-GB" w:eastAsia="en-GB"/>
        </w:rPr>
        <w:t>(Cosma et al., 2017)</w:t>
      </w:r>
      <w:r w:rsidR="009A2FA0">
        <w:rPr>
          <w:rFonts w:ascii="Book Antiqua" w:hAnsi="Book Antiqua"/>
          <w:color w:val="0E101A"/>
          <w:lang w:val="en-GB" w:eastAsia="en-GB"/>
        </w:rPr>
        <w:fldChar w:fldCharType="end"/>
      </w:r>
      <w:r w:rsidRPr="00EA28FC">
        <w:rPr>
          <w:rFonts w:ascii="Book Antiqua" w:hAnsi="Book Antiqua"/>
          <w:color w:val="0E101A"/>
          <w:lang w:val="en-GB" w:eastAsia="en-GB"/>
        </w:rPr>
        <w:t xml:space="preserve">. Financial design in Indonesia consists of </w:t>
      </w:r>
      <w:r>
        <w:rPr>
          <w:rFonts w:ascii="Book Antiqua" w:hAnsi="Book Antiqua"/>
          <w:color w:val="0E101A"/>
          <w:lang w:val="en-GB" w:eastAsia="en-GB"/>
        </w:rPr>
        <w:t>Commercial Bank (</w:t>
      </w:r>
      <w:r w:rsidRPr="00EA28FC">
        <w:rPr>
          <w:rFonts w:ascii="Book Antiqua" w:hAnsi="Book Antiqua"/>
          <w:color w:val="0E101A"/>
          <w:lang w:val="en-GB" w:eastAsia="en-GB"/>
        </w:rPr>
        <w:t>BU</w:t>
      </w:r>
      <w:r>
        <w:rPr>
          <w:rFonts w:ascii="Book Antiqua" w:hAnsi="Book Antiqua"/>
          <w:color w:val="0E101A"/>
          <w:lang w:val="en-GB" w:eastAsia="en-GB"/>
        </w:rPr>
        <w:t>)</w:t>
      </w:r>
      <w:r w:rsidRPr="00EA28FC">
        <w:rPr>
          <w:rFonts w:ascii="Book Antiqua" w:hAnsi="Book Antiqua"/>
          <w:color w:val="0E101A"/>
          <w:lang w:val="en-GB" w:eastAsia="en-GB"/>
        </w:rPr>
        <w:t xml:space="preserve"> and</w:t>
      </w:r>
      <w:r>
        <w:rPr>
          <w:rFonts w:ascii="Book Antiqua" w:hAnsi="Book Antiqua"/>
          <w:color w:val="0E101A"/>
          <w:lang w:val="en-GB" w:eastAsia="en-GB"/>
        </w:rPr>
        <w:t xml:space="preserve"> Rural Banks</w:t>
      </w:r>
      <w:r w:rsidRPr="00EA28FC">
        <w:rPr>
          <w:rFonts w:ascii="Book Antiqua" w:hAnsi="Book Antiqua"/>
          <w:color w:val="0E101A"/>
          <w:lang w:val="en-GB" w:eastAsia="en-GB"/>
        </w:rPr>
        <w:t xml:space="preserve"> </w:t>
      </w:r>
      <w:r>
        <w:rPr>
          <w:rFonts w:ascii="Book Antiqua" w:hAnsi="Book Antiqua"/>
          <w:color w:val="0E101A"/>
          <w:lang w:val="en-GB" w:eastAsia="en-GB"/>
        </w:rPr>
        <w:t>(</w:t>
      </w:r>
      <w:proofErr w:type="spellStart"/>
      <w:r w:rsidRPr="00EA28FC">
        <w:rPr>
          <w:rFonts w:ascii="Book Antiqua" w:hAnsi="Book Antiqua"/>
          <w:color w:val="0E101A"/>
          <w:lang w:val="en-GB" w:eastAsia="en-GB"/>
        </w:rPr>
        <w:t>BPR</w:t>
      </w:r>
      <w:proofErr w:type="spellEnd"/>
      <w:r>
        <w:rPr>
          <w:rFonts w:ascii="Book Antiqua" w:hAnsi="Book Antiqua"/>
          <w:color w:val="0E101A"/>
          <w:lang w:val="en-GB" w:eastAsia="en-GB"/>
        </w:rPr>
        <w:t>)</w:t>
      </w:r>
      <w:r w:rsidRPr="00EA28FC">
        <w:rPr>
          <w:rFonts w:ascii="Book Antiqua" w:hAnsi="Book Antiqua"/>
          <w:color w:val="0E101A"/>
          <w:lang w:val="en-GB" w:eastAsia="en-GB"/>
        </w:rPr>
        <w:t xml:space="preserve">. The difference in both is as far as functional exercise. </w:t>
      </w:r>
      <w:proofErr w:type="spellStart"/>
      <w:r w:rsidRPr="00EA28FC">
        <w:rPr>
          <w:rFonts w:ascii="Book Antiqua" w:hAnsi="Book Antiqua"/>
          <w:color w:val="0E101A"/>
          <w:lang w:val="en-GB" w:eastAsia="en-GB"/>
        </w:rPr>
        <w:t>BPR</w:t>
      </w:r>
      <w:proofErr w:type="spellEnd"/>
      <w:r w:rsidRPr="00EA28FC">
        <w:rPr>
          <w:rFonts w:ascii="Book Antiqua" w:hAnsi="Book Antiqua"/>
          <w:color w:val="0E101A"/>
          <w:lang w:val="en-GB" w:eastAsia="en-GB"/>
        </w:rPr>
        <w:t xml:space="preserve"> cannot spur interest stores and has a limited range and functional exercises. The main elements of the bank are:</w:t>
      </w:r>
    </w:p>
    <w:p w14:paraId="4210465C" w14:textId="677705AC" w:rsidR="00EA28FC" w:rsidRPr="00EA28FC" w:rsidRDefault="00EA28FC" w:rsidP="00EA28FC">
      <w:pPr>
        <w:pStyle w:val="NormalWeb"/>
        <w:numPr>
          <w:ilvl w:val="2"/>
          <w:numId w:val="17"/>
        </w:numPr>
        <w:jc w:val="both"/>
        <w:rPr>
          <w:rFonts w:ascii="Book Antiqua" w:hAnsi="Book Antiqua"/>
          <w:color w:val="0E101A"/>
          <w:lang w:val="en-GB" w:eastAsia="en-GB"/>
        </w:rPr>
      </w:pPr>
      <w:r w:rsidRPr="00EA28FC">
        <w:rPr>
          <w:rFonts w:ascii="Book Antiqua" w:hAnsi="Book Antiqua"/>
          <w:color w:val="0E101A"/>
          <w:lang w:val="en-GB" w:eastAsia="en-GB"/>
        </w:rPr>
        <w:lastRenderedPageBreak/>
        <w:t>Collecting public assets as a reserve fund.</w:t>
      </w:r>
    </w:p>
    <w:p w14:paraId="05681FBA" w14:textId="43510259" w:rsidR="00EA28FC" w:rsidRPr="00EA28FC" w:rsidRDefault="00EA28FC" w:rsidP="00EA28FC">
      <w:pPr>
        <w:pStyle w:val="NormalWeb"/>
        <w:numPr>
          <w:ilvl w:val="2"/>
          <w:numId w:val="17"/>
        </w:numPr>
        <w:jc w:val="both"/>
        <w:rPr>
          <w:rFonts w:ascii="Book Antiqua" w:hAnsi="Book Antiqua"/>
          <w:color w:val="0E101A"/>
          <w:lang w:val="en-GB" w:eastAsia="en-GB"/>
        </w:rPr>
      </w:pPr>
      <w:r w:rsidRPr="00EA28FC">
        <w:rPr>
          <w:rFonts w:ascii="Book Antiqua" w:hAnsi="Book Antiqua"/>
          <w:color w:val="0E101A"/>
          <w:lang w:val="en-GB" w:eastAsia="en-GB"/>
        </w:rPr>
        <w:t>Conveying assets to the general public as credit.</w:t>
      </w:r>
    </w:p>
    <w:p w14:paraId="185806FC" w14:textId="46D43DDC" w:rsidR="00EA28FC" w:rsidRDefault="00EA28FC" w:rsidP="00EA28FC">
      <w:pPr>
        <w:pStyle w:val="NormalWeb"/>
        <w:numPr>
          <w:ilvl w:val="2"/>
          <w:numId w:val="17"/>
        </w:numPr>
        <w:spacing w:before="0" w:beforeAutospacing="0" w:after="0" w:afterAutospacing="0"/>
        <w:jc w:val="both"/>
        <w:rPr>
          <w:rFonts w:ascii="Book Antiqua" w:hAnsi="Book Antiqua"/>
          <w:color w:val="0E101A"/>
          <w:lang w:val="en-GB" w:eastAsia="en-GB"/>
        </w:rPr>
      </w:pPr>
      <w:r w:rsidRPr="00EA28FC">
        <w:rPr>
          <w:rFonts w:ascii="Book Antiqua" w:hAnsi="Book Antiqua"/>
          <w:color w:val="0E101A"/>
          <w:lang w:val="en-GB" w:eastAsia="en-GB"/>
        </w:rPr>
        <w:t>Streamline exchange and cash flow.</w:t>
      </w:r>
    </w:p>
    <w:p w14:paraId="4439932B" w14:textId="7493B60B" w:rsidR="00EA28FC" w:rsidRDefault="00EA28FC" w:rsidP="00EA28FC">
      <w:pPr>
        <w:pStyle w:val="NormalWeb"/>
        <w:numPr>
          <w:ilvl w:val="0"/>
          <w:numId w:val="17"/>
        </w:numPr>
        <w:spacing w:before="0" w:beforeAutospacing="0" w:after="0" w:afterAutospacing="0"/>
        <w:jc w:val="both"/>
        <w:rPr>
          <w:rFonts w:ascii="Book Antiqua" w:hAnsi="Book Antiqua"/>
          <w:color w:val="0E101A"/>
          <w:lang w:val="en-GB" w:eastAsia="en-GB"/>
        </w:rPr>
      </w:pPr>
      <w:r w:rsidRPr="00EA28FC">
        <w:rPr>
          <w:rFonts w:ascii="Book Antiqua" w:hAnsi="Book Antiqua"/>
          <w:color w:val="0E101A"/>
          <w:lang w:val="en-GB" w:eastAsia="en-GB"/>
        </w:rPr>
        <w:t xml:space="preserve">Non-Bank (non-deposit), Non-Bank Financial Organizations are business institutions that complete exercises in the </w:t>
      </w:r>
      <w:r w:rsidR="009A2FA0">
        <w:rPr>
          <w:rFonts w:ascii="Book Antiqua" w:hAnsi="Book Antiqua"/>
          <w:color w:val="0E101A"/>
          <w:lang w:val="en-GB" w:eastAsia="en-GB"/>
        </w:rPr>
        <w:t>financial</w:t>
      </w:r>
      <w:r w:rsidRPr="00EA28FC">
        <w:rPr>
          <w:rFonts w:ascii="Book Antiqua" w:hAnsi="Book Antiqua"/>
          <w:color w:val="0E101A"/>
          <w:lang w:val="en-GB" w:eastAsia="en-GB"/>
        </w:rPr>
        <w:t xml:space="preserve">-related field, either directly or indirectly, collecting resources from the entire population and transferring them back to environmentally valuable exercises. The practice of Non-Bank Financial Associations revolves around one </w:t>
      </w:r>
      <w:r w:rsidR="009A2FA0">
        <w:rPr>
          <w:rFonts w:ascii="Book Antiqua" w:hAnsi="Book Antiqua"/>
          <w:color w:val="0E101A"/>
          <w:lang w:val="en-GB" w:eastAsia="en-GB"/>
        </w:rPr>
        <w:t>financial</w:t>
      </w:r>
      <w:r w:rsidRPr="00EA28FC">
        <w:rPr>
          <w:rFonts w:ascii="Book Antiqua" w:hAnsi="Book Antiqua"/>
          <w:color w:val="0E101A"/>
          <w:lang w:val="en-GB" w:eastAsia="en-GB"/>
        </w:rPr>
        <w:t>-related measure</w:t>
      </w:r>
      <w:r w:rsidR="003D01C8">
        <w:rPr>
          <w:rFonts w:ascii="Book Antiqua" w:hAnsi="Book Antiqua"/>
          <w:color w:val="0E101A"/>
          <w:lang w:val="en-GB" w:eastAsia="en-GB"/>
        </w:rPr>
        <w:t xml:space="preserve"> </w:t>
      </w:r>
      <w:r w:rsidR="003D01C8">
        <w:rPr>
          <w:rFonts w:ascii="Book Antiqua" w:hAnsi="Book Antiqua"/>
          <w:color w:val="0E101A"/>
          <w:lang w:val="en-GB" w:eastAsia="en-GB"/>
        </w:rPr>
        <w:fldChar w:fldCharType="begin" w:fldLock="1"/>
      </w:r>
      <w:r w:rsidR="003D01C8">
        <w:rPr>
          <w:rFonts w:ascii="Book Antiqua" w:hAnsi="Book Antiqua"/>
          <w:color w:val="0E101A"/>
          <w:lang w:val="en-GB" w:eastAsia="en-GB"/>
        </w:rPr>
        <w:instrText>ADDIN CSL_CITATION {"citationItems":[{"id":"ITEM-1","itemData":{"author":[{"dropping-particle":"","family":"Financial Stability Board","given":"","non-dropping-particle":"","parse-names":false,"suffix":""}],"id":"ITEM-1","issued":{"date-parts":[["2021"]]},"number-of-pages":"1-71","title":"Global Monitoring Report on Non-Bank Financial Intermediation","type":"report"},"uris":["http://www.mendeley.com/documents/?uuid=470acddf-2232-4a7a-aba1-c17685c377f0"]}],"mendeley":{"formattedCitation":"(Financial Stability Board, 2021)","plainTextFormattedCitation":"(Financial Stability Board, 2021)","previouslyFormattedCitation":"(Financial Stability Board, 2021)"},"properties":{"noteIndex":0},"schema":"https://github.com/citation-style-language/schema/raw/master/csl-citation.json"}</w:instrText>
      </w:r>
      <w:r w:rsidR="003D01C8">
        <w:rPr>
          <w:rFonts w:ascii="Book Antiqua" w:hAnsi="Book Antiqua"/>
          <w:color w:val="0E101A"/>
          <w:lang w:val="en-GB" w:eastAsia="en-GB"/>
        </w:rPr>
        <w:fldChar w:fldCharType="separate"/>
      </w:r>
      <w:r w:rsidR="003D01C8" w:rsidRPr="003D01C8">
        <w:rPr>
          <w:rFonts w:ascii="Book Antiqua" w:hAnsi="Book Antiqua"/>
          <w:noProof/>
          <w:color w:val="0E101A"/>
          <w:lang w:val="en-GB" w:eastAsia="en-GB"/>
        </w:rPr>
        <w:t>(Financial Stability Board, 2021)</w:t>
      </w:r>
      <w:r w:rsidR="003D01C8">
        <w:rPr>
          <w:rFonts w:ascii="Book Antiqua" w:hAnsi="Book Antiqua"/>
          <w:color w:val="0E101A"/>
          <w:lang w:val="en-GB" w:eastAsia="en-GB"/>
        </w:rPr>
        <w:fldChar w:fldCharType="end"/>
      </w:r>
      <w:r w:rsidRPr="00EA28FC">
        <w:rPr>
          <w:rFonts w:ascii="Book Antiqua" w:hAnsi="Book Antiqua"/>
          <w:color w:val="0E101A"/>
          <w:lang w:val="en-GB" w:eastAsia="en-GB"/>
        </w:rPr>
        <w:t>. Various Associations Related to Non-Bank in Indonesia:</w:t>
      </w:r>
    </w:p>
    <w:p w14:paraId="34D4EEF5"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Venture Capital (Investment Financing) is a business that runs a financing business as a value of cooperation in an organization that receives financing assistance for a certain period.</w:t>
      </w:r>
    </w:p>
    <w:p w14:paraId="67E00112"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Factoring is a business entity that conducts financing exercises through purchases and transfers and supervises momentary receivables and cases of an organization (debt holder) from a local or foreign exchange.</w:t>
      </w:r>
    </w:p>
    <w:p w14:paraId="1796081A"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 xml:space="preserve">Insurance (Protection) is a definition between at least two meetings in which a backup plan binds itself to the guaranteed one by obtaining a protection fee to compensate the protected due to misfortune, loss, or loss of anticipated benefits. Alternatively, conversely a lawful obligation to an outsider that can be borne by the protected person arising out of an unlikely event or to give </w:t>
      </w:r>
      <w:proofErr w:type="spellStart"/>
      <w:r w:rsidRPr="00EA28FC">
        <w:rPr>
          <w:rFonts w:ascii="Book Antiqua" w:hAnsi="Book Antiqua"/>
          <w:color w:val="0E101A"/>
          <w:lang w:val="en-GB" w:eastAsia="en-GB"/>
        </w:rPr>
        <w:t>installments</w:t>
      </w:r>
      <w:proofErr w:type="spellEnd"/>
      <w:r w:rsidRPr="00EA28FC">
        <w:rPr>
          <w:rFonts w:ascii="Book Antiqua" w:hAnsi="Book Antiqua"/>
          <w:color w:val="0E101A"/>
          <w:lang w:val="en-GB" w:eastAsia="en-GB"/>
        </w:rPr>
        <w:t xml:space="preserve"> that depend on the death or life of the protected person.</w:t>
      </w:r>
    </w:p>
    <w:p w14:paraId="71C18AE2"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A Pension Fund (Annuity reserve benefit deposit) is an institution or legitimate substance that relates to a defined benefit program to provide government assistance to representatives of the organization, particularly individuals who have resigned.</w:t>
      </w:r>
    </w:p>
    <w:p w14:paraId="28F9FE35"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A pawnshop is a service organization in the field of credit to the broader community by holding an item as a down payment guarantee.</w:t>
      </w:r>
    </w:p>
    <w:p w14:paraId="199A05B5"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The Capital Market is a market that exchanges various long-term monetary instruments (protection), both as obligations and values provided by privately owned businesses.</w:t>
      </w:r>
    </w:p>
    <w:p w14:paraId="44D9AB0C" w14:textId="77777777" w:rsidR="00EA28FC" w:rsidRPr="00EA28FC" w:rsidRDefault="00EA28FC" w:rsidP="00EA28FC">
      <w:pPr>
        <w:pStyle w:val="NormalWeb"/>
        <w:numPr>
          <w:ilvl w:val="1"/>
          <w:numId w:val="17"/>
        </w:numPr>
        <w:jc w:val="both"/>
        <w:rPr>
          <w:rFonts w:ascii="Book Antiqua" w:hAnsi="Book Antiqua"/>
          <w:color w:val="0E101A"/>
          <w:lang w:val="en-GB" w:eastAsia="en-GB"/>
        </w:rPr>
      </w:pPr>
      <w:r w:rsidRPr="00EA28FC">
        <w:rPr>
          <w:rFonts w:ascii="Book Antiqua" w:hAnsi="Book Antiqua"/>
          <w:color w:val="0E101A"/>
          <w:lang w:val="en-GB" w:eastAsia="en-GB"/>
        </w:rPr>
        <w:t>The currency market is a market (office) that provides instantaneous financing (under one year). The currency market does not have an actual place like the capital market.</w:t>
      </w:r>
    </w:p>
    <w:p w14:paraId="308D98F4" w14:textId="4F76E91B" w:rsidR="00EA28FC" w:rsidRDefault="00EA28FC" w:rsidP="00EA28FC">
      <w:pPr>
        <w:pStyle w:val="NormalWeb"/>
        <w:numPr>
          <w:ilvl w:val="1"/>
          <w:numId w:val="17"/>
        </w:numPr>
        <w:spacing w:before="0" w:beforeAutospacing="0" w:after="0" w:afterAutospacing="0"/>
        <w:jc w:val="both"/>
        <w:rPr>
          <w:rFonts w:ascii="Book Antiqua" w:hAnsi="Book Antiqua"/>
          <w:color w:val="0E101A"/>
          <w:lang w:val="en-GB" w:eastAsia="en-GB"/>
        </w:rPr>
      </w:pPr>
      <w:r w:rsidRPr="00EA28FC">
        <w:rPr>
          <w:rFonts w:ascii="Book Antiqua" w:hAnsi="Book Antiqua"/>
          <w:color w:val="0E101A"/>
          <w:lang w:val="en-GB" w:eastAsia="en-GB"/>
        </w:rPr>
        <w:t>Common Assets Common Assets are holders that collect assets from local financial support areas to add resources into a protection portfolio by venture directors. Protection portfolios include stocks, securities, currency market instruments, shops, and cash.</w:t>
      </w:r>
    </w:p>
    <w:p w14:paraId="1FD99BE2" w14:textId="7581A9FF" w:rsidR="00EA28FC" w:rsidRPr="00EA28FC" w:rsidRDefault="00C40D96" w:rsidP="00EA28FC">
      <w:pPr>
        <w:pStyle w:val="NormalWeb"/>
        <w:spacing w:before="0" w:beforeAutospacing="0" w:after="0" w:afterAutospacing="0"/>
        <w:ind w:firstLine="720"/>
        <w:jc w:val="both"/>
        <w:rPr>
          <w:rFonts w:ascii="Book Antiqua" w:hAnsi="Book Antiqua"/>
          <w:color w:val="0E101A"/>
          <w:lang w:val="en-GB" w:eastAsia="en-GB"/>
        </w:rPr>
      </w:pPr>
      <w:r>
        <w:rPr>
          <w:rFonts w:ascii="Book Antiqua" w:hAnsi="Book Antiqua"/>
          <w:color w:val="0E101A"/>
          <w:lang w:val="en-GB" w:eastAsia="en-GB"/>
        </w:rPr>
        <w:lastRenderedPageBreak/>
        <w:t>I</w:t>
      </w:r>
      <w:r w:rsidR="00EA28FC" w:rsidRPr="00EA28FC">
        <w:rPr>
          <w:rFonts w:ascii="Book Antiqua" w:hAnsi="Book Antiqua"/>
          <w:color w:val="0E101A"/>
          <w:lang w:val="en-GB" w:eastAsia="en-GB"/>
        </w:rPr>
        <w:t xml:space="preserve">t tends to be made clear that almost all monetary institutions, both bank, and non-bank financial institutions, are still overwhelmed by the traditional framework, even though each institution opens Islamic administration, both general administrations. Moreover, the administration of </w:t>
      </w:r>
      <w:bookmarkStart w:id="26" w:name="OLE_LINK33"/>
      <w:r w:rsidR="00EA28FC" w:rsidRPr="00EA28FC">
        <w:rPr>
          <w:rFonts w:ascii="Book Antiqua" w:hAnsi="Book Antiqua"/>
          <w:color w:val="0E101A"/>
          <w:lang w:val="en-GB" w:eastAsia="en-GB"/>
        </w:rPr>
        <w:t>Islamic units is not 100% pure Islamic</w:t>
      </w:r>
      <w:bookmarkEnd w:id="26"/>
      <w:r w:rsidR="00EA28FC" w:rsidRPr="00EA28FC">
        <w:rPr>
          <w:rFonts w:ascii="Book Antiqua" w:hAnsi="Book Antiqua"/>
          <w:color w:val="0E101A"/>
          <w:lang w:val="en-GB" w:eastAsia="en-GB"/>
        </w:rPr>
        <w:t>. Since producers' approach generally works, it changes from indigenous banking and monetary organizations, where their framework considers or is still "spooky" from the usual framework.</w:t>
      </w:r>
    </w:p>
    <w:p w14:paraId="12C822FC" w14:textId="47C7545E" w:rsidR="00177ED7" w:rsidRPr="00177ED7" w:rsidRDefault="00177ED7" w:rsidP="00177ED7">
      <w:pPr>
        <w:pStyle w:val="IEEEAuthorName"/>
        <w:spacing w:before="0" w:after="0"/>
        <w:rPr>
          <w:rFonts w:ascii="Book Antiqua" w:hAnsi="Book Antiqua"/>
          <w:color w:val="4472C4"/>
          <w:sz w:val="24"/>
          <w:lang w:val="en-AU" w:eastAsia="zh-CN"/>
        </w:rPr>
      </w:pPr>
    </w:p>
    <w:bookmarkEnd w:id="17"/>
    <w:bookmarkEnd w:id="18"/>
    <w:bookmarkEnd w:id="19"/>
    <w:p w14:paraId="6F28F63B" w14:textId="4C64AA84" w:rsidR="00244B70" w:rsidRDefault="00244B70" w:rsidP="00B22C63">
      <w:pPr>
        <w:numPr>
          <w:ilvl w:val="0"/>
          <w:numId w:val="11"/>
        </w:numPr>
        <w:ind w:left="270" w:hanging="270"/>
        <w:rPr>
          <w:rFonts w:ascii="Book Antiqua" w:eastAsia="Times New Roman" w:hAnsi="Book Antiqua" w:cs="Angsana New"/>
          <w:b/>
          <w:bCs/>
          <w:color w:val="FF0000"/>
          <w:kern w:val="32"/>
          <w:lang w:eastAsia="en-US"/>
        </w:rPr>
      </w:pPr>
      <w:r w:rsidRPr="00FF4F9B">
        <w:rPr>
          <w:rFonts w:ascii="Book Antiqua" w:hAnsi="Book Antiqua"/>
          <w:b/>
          <w:bCs/>
        </w:rPr>
        <w:t>Conclusions</w:t>
      </w:r>
    </w:p>
    <w:p w14:paraId="117B25E7" w14:textId="504457DF" w:rsidR="00FF4F9B" w:rsidRDefault="00FF4F9B" w:rsidP="00FF4F9B">
      <w:pPr>
        <w:pStyle w:val="IEEEAuthorName"/>
        <w:spacing w:before="0" w:after="0"/>
        <w:rPr>
          <w:rFonts w:ascii="Book Antiqua" w:hAnsi="Book Antiqua"/>
          <w:color w:val="4472C4"/>
          <w:sz w:val="24"/>
          <w:lang w:val="en-AU" w:eastAsia="zh-CN"/>
        </w:rPr>
      </w:pPr>
    </w:p>
    <w:p w14:paraId="2AA022C4" w14:textId="0D5B66CD" w:rsidR="006E0692" w:rsidRDefault="00EA28FC" w:rsidP="006E0692">
      <w:pPr>
        <w:pStyle w:val="IEEEParagraph"/>
        <w:ind w:firstLine="720"/>
        <w:rPr>
          <w:rFonts w:ascii="Book Antiqua" w:hAnsi="Book Antiqua"/>
          <w:color w:val="FF0000"/>
          <w:lang w:val="en-US"/>
        </w:rPr>
      </w:pPr>
      <w:r w:rsidRPr="00EA28FC">
        <w:rPr>
          <w:rFonts w:ascii="Book Antiqua" w:hAnsi="Book Antiqua"/>
          <w:bCs/>
          <w:lang w:val="en-US"/>
        </w:rPr>
        <w:t xml:space="preserve">It can be very well concluded that Islamic financial instruments are zakat, the prohibition of usury, financial participation, government-backed pensions, the prohibition of a messy strategic approach, and the duties of the state within the financial framework. Fundamentally more to add up to the monetary resource, which is about 20%. Therefore, public authorities, national banks, and monetary specialists concerned with the Islamic monetary framework must work more seriously. A monetary instrument is also an agreement or agreement whereby the agreement will determine the hazard and benefit profile of the instrument by its principles. Business-related agreements and arrangements can be described into four general characterizations, explicit contingent arrangements, financing contracts, intermediation arrangements, and social government assistance contracts. It is feasible to design contracts related to </w:t>
      </w:r>
      <w:r w:rsidR="009A2FA0">
        <w:rPr>
          <w:rFonts w:ascii="Book Antiqua" w:hAnsi="Book Antiqua"/>
          <w:bCs/>
          <w:lang w:val="en-US"/>
        </w:rPr>
        <w:t>financial</w:t>
      </w:r>
      <w:r w:rsidRPr="00EA28FC">
        <w:rPr>
          <w:rFonts w:ascii="Book Antiqua" w:hAnsi="Book Antiqua"/>
          <w:bCs/>
          <w:lang w:val="en-US"/>
        </w:rPr>
        <w:t xml:space="preserve"> that became known as fundamental financial instruments, including </w:t>
      </w:r>
      <w:proofErr w:type="spellStart"/>
      <w:r w:rsidRPr="00EA28FC">
        <w:rPr>
          <w:rFonts w:ascii="Book Antiqua" w:hAnsi="Book Antiqua"/>
          <w:bCs/>
          <w:lang w:val="en-US"/>
        </w:rPr>
        <w:t>mudharabah</w:t>
      </w:r>
      <w:proofErr w:type="spellEnd"/>
      <w:r w:rsidRPr="00EA28FC">
        <w:rPr>
          <w:rFonts w:ascii="Book Antiqua" w:hAnsi="Book Antiqua"/>
          <w:bCs/>
          <w:lang w:val="en-US"/>
        </w:rPr>
        <w:t xml:space="preserve">, </w:t>
      </w:r>
      <w:proofErr w:type="spellStart"/>
      <w:r w:rsidRPr="00EA28FC">
        <w:rPr>
          <w:rFonts w:ascii="Book Antiqua" w:hAnsi="Book Antiqua"/>
          <w:bCs/>
          <w:lang w:val="en-US"/>
        </w:rPr>
        <w:t>musyarakah</w:t>
      </w:r>
      <w:proofErr w:type="spellEnd"/>
      <w:r w:rsidRPr="00EA28FC">
        <w:rPr>
          <w:rFonts w:ascii="Book Antiqua" w:hAnsi="Book Antiqua"/>
          <w:bCs/>
          <w:lang w:val="en-US"/>
        </w:rPr>
        <w:t xml:space="preserve">, </w:t>
      </w:r>
      <w:proofErr w:type="spellStart"/>
      <w:r w:rsidRPr="00EA28FC">
        <w:rPr>
          <w:rFonts w:ascii="Book Antiqua" w:hAnsi="Book Antiqua"/>
          <w:bCs/>
          <w:lang w:val="en-US"/>
        </w:rPr>
        <w:t>murabahah</w:t>
      </w:r>
      <w:proofErr w:type="spellEnd"/>
      <w:r w:rsidRPr="00EA28FC">
        <w:rPr>
          <w:rFonts w:ascii="Book Antiqua" w:hAnsi="Book Antiqua"/>
          <w:bCs/>
          <w:lang w:val="en-US"/>
        </w:rPr>
        <w:t xml:space="preserve">, encouraging and encouraging news, customized </w:t>
      </w:r>
      <w:proofErr w:type="spellStart"/>
      <w:r w:rsidRPr="00EA28FC">
        <w:rPr>
          <w:rFonts w:ascii="Book Antiqua" w:hAnsi="Book Antiqua"/>
          <w:bCs/>
          <w:lang w:val="en-US"/>
        </w:rPr>
        <w:t>istishna</w:t>
      </w:r>
      <w:proofErr w:type="spellEnd"/>
      <w:r w:rsidRPr="00EA28FC">
        <w:rPr>
          <w:rFonts w:ascii="Book Antiqua" w:hAnsi="Book Antiqua"/>
          <w:bCs/>
          <w:lang w:val="en-US"/>
        </w:rPr>
        <w:t xml:space="preserve">, and </w:t>
      </w:r>
      <w:proofErr w:type="spellStart"/>
      <w:r w:rsidRPr="00EA28FC">
        <w:rPr>
          <w:rFonts w:ascii="Book Antiqua" w:hAnsi="Book Antiqua"/>
          <w:bCs/>
          <w:lang w:val="en-US"/>
        </w:rPr>
        <w:t>istishna</w:t>
      </w:r>
      <w:proofErr w:type="spellEnd"/>
      <w:r w:rsidRPr="00EA28FC">
        <w:rPr>
          <w:rFonts w:ascii="Book Antiqua" w:hAnsi="Book Antiqua"/>
          <w:bCs/>
          <w:lang w:val="en-US"/>
        </w:rPr>
        <w:t xml:space="preserve">, </w:t>
      </w:r>
      <w:proofErr w:type="spellStart"/>
      <w:r w:rsidRPr="00EA28FC">
        <w:rPr>
          <w:rFonts w:ascii="Book Antiqua" w:hAnsi="Book Antiqua"/>
          <w:bCs/>
          <w:lang w:val="en-US"/>
        </w:rPr>
        <w:t>bittamlik</w:t>
      </w:r>
      <w:proofErr w:type="spellEnd"/>
      <w:r w:rsidRPr="00EA28FC">
        <w:rPr>
          <w:rFonts w:ascii="Book Antiqua" w:hAnsi="Book Antiqua"/>
          <w:bCs/>
          <w:lang w:val="en-US"/>
        </w:rPr>
        <w:t xml:space="preserve"> ijarah, and ijarah, </w:t>
      </w:r>
      <w:proofErr w:type="spellStart"/>
      <w:r w:rsidRPr="00EA28FC">
        <w:rPr>
          <w:rFonts w:ascii="Book Antiqua" w:hAnsi="Book Antiqua"/>
          <w:bCs/>
          <w:lang w:val="en-US"/>
        </w:rPr>
        <w:t>wadiah</w:t>
      </w:r>
      <w:proofErr w:type="spellEnd"/>
      <w:r w:rsidRPr="00EA28FC">
        <w:rPr>
          <w:rFonts w:ascii="Book Antiqua" w:hAnsi="Book Antiqua"/>
          <w:bCs/>
          <w:lang w:val="en-US"/>
        </w:rPr>
        <w:t xml:space="preserve">, </w:t>
      </w:r>
      <w:proofErr w:type="spellStart"/>
      <w:r w:rsidRPr="00EA28FC">
        <w:rPr>
          <w:rFonts w:ascii="Book Antiqua" w:hAnsi="Book Antiqua"/>
          <w:bCs/>
          <w:lang w:val="en-US"/>
        </w:rPr>
        <w:t>qardh</w:t>
      </w:r>
      <w:proofErr w:type="spellEnd"/>
      <w:r w:rsidRPr="00EA28FC">
        <w:rPr>
          <w:rFonts w:ascii="Book Antiqua" w:hAnsi="Book Antiqua"/>
          <w:bCs/>
          <w:lang w:val="en-US"/>
        </w:rPr>
        <w:t xml:space="preserve">. also, </w:t>
      </w:r>
      <w:proofErr w:type="spellStart"/>
      <w:r w:rsidRPr="00EA28FC">
        <w:rPr>
          <w:rFonts w:ascii="Book Antiqua" w:hAnsi="Book Antiqua"/>
          <w:bCs/>
          <w:lang w:val="en-US"/>
        </w:rPr>
        <w:t>qardhul</w:t>
      </w:r>
      <w:proofErr w:type="spellEnd"/>
      <w:r w:rsidRPr="00EA28FC">
        <w:rPr>
          <w:rFonts w:ascii="Book Antiqua" w:hAnsi="Book Antiqua"/>
          <w:bCs/>
          <w:lang w:val="en-US"/>
        </w:rPr>
        <w:t xml:space="preserve"> </w:t>
      </w:r>
      <w:proofErr w:type="spellStart"/>
      <w:r w:rsidRPr="00EA28FC">
        <w:rPr>
          <w:rFonts w:ascii="Book Antiqua" w:hAnsi="Book Antiqua"/>
          <w:bCs/>
          <w:lang w:val="en-US"/>
        </w:rPr>
        <w:t>hasan</w:t>
      </w:r>
      <w:proofErr w:type="spellEnd"/>
      <w:r w:rsidRPr="00EA28FC">
        <w:rPr>
          <w:rFonts w:ascii="Book Antiqua" w:hAnsi="Book Antiqua"/>
          <w:bCs/>
          <w:lang w:val="en-US"/>
        </w:rPr>
        <w:t xml:space="preserve">, </w:t>
      </w:r>
      <w:proofErr w:type="spellStart"/>
      <w:r w:rsidRPr="00EA28FC">
        <w:rPr>
          <w:rFonts w:ascii="Book Antiqua" w:hAnsi="Book Antiqua"/>
          <w:bCs/>
          <w:lang w:val="en-US"/>
        </w:rPr>
        <w:t>sharf</w:t>
      </w:r>
      <w:proofErr w:type="spellEnd"/>
      <w:r w:rsidRPr="00EA28FC">
        <w:rPr>
          <w:rFonts w:ascii="Book Antiqua" w:hAnsi="Book Antiqua"/>
          <w:bCs/>
          <w:lang w:val="en-US"/>
        </w:rPr>
        <w:t xml:space="preserve">, </w:t>
      </w:r>
      <w:proofErr w:type="spellStart"/>
      <w:r w:rsidRPr="00EA28FC">
        <w:rPr>
          <w:rFonts w:ascii="Book Antiqua" w:hAnsi="Book Antiqua"/>
          <w:bCs/>
          <w:lang w:val="en-US"/>
        </w:rPr>
        <w:t>wakalah</w:t>
      </w:r>
      <w:proofErr w:type="spellEnd"/>
      <w:r w:rsidRPr="00EA28FC">
        <w:rPr>
          <w:rFonts w:ascii="Book Antiqua" w:hAnsi="Book Antiqua"/>
          <w:bCs/>
          <w:lang w:val="en-US"/>
        </w:rPr>
        <w:t xml:space="preserve">, </w:t>
      </w:r>
      <w:proofErr w:type="spellStart"/>
      <w:r w:rsidRPr="00EA28FC">
        <w:rPr>
          <w:rFonts w:ascii="Book Antiqua" w:hAnsi="Book Antiqua"/>
          <w:bCs/>
          <w:lang w:val="en-US"/>
        </w:rPr>
        <w:t>kafalah</w:t>
      </w:r>
      <w:proofErr w:type="spellEnd"/>
      <w:r w:rsidRPr="00EA28FC">
        <w:rPr>
          <w:rFonts w:ascii="Book Antiqua" w:hAnsi="Book Antiqua"/>
          <w:bCs/>
          <w:lang w:val="en-US"/>
        </w:rPr>
        <w:t xml:space="preserve">, and </w:t>
      </w:r>
      <w:proofErr w:type="spellStart"/>
      <w:r w:rsidRPr="00EA28FC">
        <w:rPr>
          <w:rFonts w:ascii="Book Antiqua" w:hAnsi="Book Antiqua"/>
          <w:bCs/>
          <w:lang w:val="en-US"/>
        </w:rPr>
        <w:t>hiwalah</w:t>
      </w:r>
      <w:proofErr w:type="spellEnd"/>
      <w:r w:rsidRPr="00EA28FC">
        <w:rPr>
          <w:rFonts w:ascii="Book Antiqua" w:hAnsi="Book Antiqua"/>
          <w:bCs/>
          <w:lang w:val="en-US"/>
        </w:rPr>
        <w:t>. In addition to vital monetary instruments, future developments also require additional thinking about the existence of other monetary instruments as study material in Islamic law: Options, Futures Contracts, Forward Purchased, Interest Rate Cap, Forward Rate Agreement, and Repo Rate.</w:t>
      </w:r>
    </w:p>
    <w:p w14:paraId="25B49263" w14:textId="793AE3D5" w:rsidR="006E0692" w:rsidRDefault="006E0692" w:rsidP="006E0692">
      <w:pPr>
        <w:pStyle w:val="IEEEAuthorName"/>
        <w:spacing w:before="0" w:after="0"/>
        <w:rPr>
          <w:rFonts w:ascii="Book Antiqua" w:hAnsi="Book Antiqua"/>
          <w:color w:val="4472C4"/>
          <w:sz w:val="24"/>
          <w:lang w:val="en-AU" w:eastAsia="zh-CN"/>
        </w:rPr>
      </w:pPr>
    </w:p>
    <w:p w14:paraId="3C69DB1F" w14:textId="4337FE99" w:rsidR="00FF4F9B" w:rsidRPr="00620645" w:rsidRDefault="00FF4F9B" w:rsidP="00B02045">
      <w:pPr>
        <w:pStyle w:val="IEEEHeading2"/>
        <w:numPr>
          <w:ilvl w:val="0"/>
          <w:numId w:val="0"/>
        </w:numPr>
        <w:spacing w:before="0" w:after="0"/>
        <w:ind w:left="289" w:hanging="289"/>
        <w:rPr>
          <w:rFonts w:ascii="Book Antiqua" w:hAnsi="Book Antiqua"/>
          <w:b/>
          <w:i w:val="0"/>
          <w:iCs/>
          <w:sz w:val="24"/>
        </w:rPr>
      </w:pPr>
      <w:r w:rsidRPr="00620645">
        <w:rPr>
          <w:rFonts w:ascii="Book Antiqua" w:hAnsi="Book Antiqua"/>
          <w:b/>
          <w:i w:val="0"/>
          <w:iCs/>
          <w:sz w:val="24"/>
        </w:rPr>
        <w:t>References</w:t>
      </w:r>
    </w:p>
    <w:p w14:paraId="1ABA70C4" w14:textId="7C600FD2" w:rsidR="009A2FA0" w:rsidRPr="009A2FA0" w:rsidRDefault="00D32EEA" w:rsidP="00C14879">
      <w:pPr>
        <w:widowControl w:val="0"/>
        <w:autoSpaceDE w:val="0"/>
        <w:autoSpaceDN w:val="0"/>
        <w:adjustRightInd w:val="0"/>
        <w:ind w:left="480" w:hanging="480"/>
        <w:jc w:val="both"/>
        <w:rPr>
          <w:rFonts w:ascii="Book Antiqua" w:hAnsi="Book Antiqua"/>
          <w:noProof/>
        </w:rPr>
      </w:pPr>
      <w:r>
        <w:rPr>
          <w:rFonts w:ascii="Book Antiqua" w:hAnsi="Book Antiqua"/>
          <w:lang w:val="en-GB"/>
        </w:rPr>
        <w:fldChar w:fldCharType="begin" w:fldLock="1"/>
      </w:r>
      <w:r>
        <w:rPr>
          <w:rFonts w:ascii="Book Antiqua" w:hAnsi="Book Antiqua"/>
          <w:lang w:val="en-GB"/>
        </w:rPr>
        <w:instrText xml:space="preserve">ADDIN Mendeley Bibliography CSL_BIBLIOGRAPHY </w:instrText>
      </w:r>
      <w:r>
        <w:rPr>
          <w:rFonts w:ascii="Book Antiqua" w:hAnsi="Book Antiqua"/>
          <w:lang w:val="en-GB"/>
        </w:rPr>
        <w:fldChar w:fldCharType="separate"/>
      </w:r>
      <w:r w:rsidR="009A2FA0" w:rsidRPr="009A2FA0">
        <w:rPr>
          <w:rFonts w:ascii="Book Antiqua" w:hAnsi="Book Antiqua"/>
          <w:noProof/>
        </w:rPr>
        <w:t xml:space="preserve">Askari, H., Iqbal, Z., &amp; Mirakhor, A. (2014). Understanding Development in an Islamic Framework. </w:t>
      </w:r>
      <w:r w:rsidR="009A2FA0" w:rsidRPr="009A2FA0">
        <w:rPr>
          <w:rFonts w:ascii="Book Antiqua" w:hAnsi="Book Antiqua"/>
          <w:i/>
          <w:iCs/>
          <w:noProof/>
        </w:rPr>
        <w:t>Islamic Economic Studies</w:t>
      </w:r>
      <w:r w:rsidR="009A2FA0" w:rsidRPr="009A2FA0">
        <w:rPr>
          <w:rFonts w:ascii="Book Antiqua" w:hAnsi="Book Antiqua"/>
          <w:noProof/>
        </w:rPr>
        <w:t xml:space="preserve">, </w:t>
      </w:r>
      <w:r w:rsidR="009A2FA0" w:rsidRPr="009A2FA0">
        <w:rPr>
          <w:rFonts w:ascii="Book Antiqua" w:hAnsi="Book Antiqua"/>
          <w:i/>
          <w:iCs/>
          <w:noProof/>
        </w:rPr>
        <w:t>22</w:t>
      </w:r>
      <w:r w:rsidR="009A2FA0" w:rsidRPr="009A2FA0">
        <w:rPr>
          <w:rFonts w:ascii="Book Antiqua" w:hAnsi="Book Antiqua"/>
          <w:noProof/>
        </w:rPr>
        <w:t>(1), 1–36. https://doi.org/10.12816/0004129</w:t>
      </w:r>
    </w:p>
    <w:p w14:paraId="7D84BC3B"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Chamid, N. (2013). Tantangan Sistem Keuangan Islam Sebagai Alternatif Sistem Keuangan Global. </w:t>
      </w:r>
      <w:r w:rsidRPr="009A2FA0">
        <w:rPr>
          <w:rFonts w:ascii="Book Antiqua" w:hAnsi="Book Antiqua"/>
          <w:i/>
          <w:iCs/>
          <w:noProof/>
        </w:rPr>
        <w:t>Al-‘Adl</w:t>
      </w:r>
      <w:r w:rsidRPr="009A2FA0">
        <w:rPr>
          <w:rFonts w:ascii="Book Antiqua" w:hAnsi="Book Antiqua"/>
          <w:noProof/>
        </w:rPr>
        <w:t xml:space="preserve">, </w:t>
      </w:r>
      <w:r w:rsidRPr="009A2FA0">
        <w:rPr>
          <w:rFonts w:ascii="Book Antiqua" w:hAnsi="Book Antiqua"/>
          <w:i/>
          <w:iCs/>
          <w:noProof/>
        </w:rPr>
        <w:t>6</w:t>
      </w:r>
      <w:r w:rsidRPr="009A2FA0">
        <w:rPr>
          <w:rFonts w:ascii="Book Antiqua" w:hAnsi="Book Antiqua"/>
          <w:noProof/>
        </w:rPr>
        <w:t>(2). https://doi.org/http://dx.doi.org/10.31332/aladl.v6i2.203</w:t>
      </w:r>
    </w:p>
    <w:p w14:paraId="68362A01"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Cheng, X., &amp; Degryse, H. (2010). The Impact of Bank and Non-Bank Financial Institutions on Local Economic Growth in China. </w:t>
      </w:r>
      <w:r w:rsidRPr="009A2FA0">
        <w:rPr>
          <w:rFonts w:ascii="Book Antiqua" w:hAnsi="Book Antiqua"/>
          <w:i/>
          <w:iCs/>
          <w:noProof/>
        </w:rPr>
        <w:t>Journal of Financial Services Research</w:t>
      </w:r>
      <w:r w:rsidRPr="009A2FA0">
        <w:rPr>
          <w:rFonts w:ascii="Book Antiqua" w:hAnsi="Book Antiqua"/>
          <w:noProof/>
        </w:rPr>
        <w:t xml:space="preserve">, </w:t>
      </w:r>
      <w:r w:rsidRPr="009A2FA0">
        <w:rPr>
          <w:rFonts w:ascii="Book Antiqua" w:hAnsi="Book Antiqua"/>
          <w:i/>
          <w:iCs/>
          <w:noProof/>
        </w:rPr>
        <w:t>37</w:t>
      </w:r>
      <w:r w:rsidRPr="009A2FA0">
        <w:rPr>
          <w:rFonts w:ascii="Book Antiqua" w:hAnsi="Book Antiqua"/>
          <w:noProof/>
        </w:rPr>
        <w:t>(2–3), 179–199. https://doi.org/10.1007/s10693-009-0077-4</w:t>
      </w:r>
    </w:p>
    <w:p w14:paraId="00F64AE6"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Cosma, S., Ferretti, R., Gualandri, E., Landi, A., &amp; Venturelli, V. (2017). The Business Model of Banks: A Review of the Theoretical and Empirical </w:t>
      </w:r>
      <w:r w:rsidRPr="009A2FA0">
        <w:rPr>
          <w:rFonts w:ascii="Book Antiqua" w:hAnsi="Book Antiqua"/>
          <w:noProof/>
        </w:rPr>
        <w:lastRenderedPageBreak/>
        <w:t xml:space="preserve">Literature. In G. Chesini, E. Giaretta, &amp; A. Paltrinieri (Eds.), </w:t>
      </w:r>
      <w:r w:rsidRPr="009A2FA0">
        <w:rPr>
          <w:rFonts w:ascii="Book Antiqua" w:hAnsi="Book Antiqua"/>
          <w:i/>
          <w:iCs/>
          <w:noProof/>
        </w:rPr>
        <w:t>The Business of Banking</w:t>
      </w:r>
      <w:r w:rsidRPr="009A2FA0">
        <w:rPr>
          <w:rFonts w:ascii="Book Antiqua" w:hAnsi="Book Antiqua"/>
          <w:noProof/>
        </w:rPr>
        <w:t xml:space="preserve"> (pp. 131–167). Springer International Publishing. https://doi.org/10.1007/978-3-319-54894-4_7</w:t>
      </w:r>
    </w:p>
    <w:p w14:paraId="03A40791"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Financial Stability Board. (2021). </w:t>
      </w:r>
      <w:r w:rsidRPr="009A2FA0">
        <w:rPr>
          <w:rFonts w:ascii="Book Antiqua" w:hAnsi="Book Antiqua"/>
          <w:i/>
          <w:iCs/>
          <w:noProof/>
        </w:rPr>
        <w:t>Global Monitoring Report on Non-Bank Financial Intermediation</w:t>
      </w:r>
      <w:r w:rsidRPr="009A2FA0">
        <w:rPr>
          <w:rFonts w:ascii="Book Antiqua" w:hAnsi="Book Antiqua"/>
          <w:noProof/>
        </w:rPr>
        <w:t>. https://www.fsb.org/wp-content/uploads/P161221.pdf</w:t>
      </w:r>
    </w:p>
    <w:p w14:paraId="46C2E705"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Kholis, N. (2017). Potret Perkembangan dan Praktik Keuangan Islam di Dunia. </w:t>
      </w:r>
      <w:r w:rsidRPr="009A2FA0">
        <w:rPr>
          <w:rFonts w:ascii="Book Antiqua" w:hAnsi="Book Antiqua"/>
          <w:i/>
          <w:iCs/>
          <w:noProof/>
        </w:rPr>
        <w:t>Millah: Jurnal Studi Agama</w:t>
      </w:r>
      <w:r w:rsidRPr="009A2FA0">
        <w:rPr>
          <w:rFonts w:ascii="Book Antiqua" w:hAnsi="Book Antiqua"/>
          <w:noProof/>
        </w:rPr>
        <w:t xml:space="preserve">, </w:t>
      </w:r>
      <w:r w:rsidRPr="009A2FA0">
        <w:rPr>
          <w:rFonts w:ascii="Book Antiqua" w:hAnsi="Book Antiqua"/>
          <w:i/>
          <w:iCs/>
          <w:noProof/>
        </w:rPr>
        <w:t>XVII</w:t>
      </w:r>
      <w:r w:rsidRPr="009A2FA0">
        <w:rPr>
          <w:rFonts w:ascii="Book Antiqua" w:hAnsi="Book Antiqua"/>
          <w:noProof/>
        </w:rPr>
        <w:t>(1), 1–30. https://doi.org/https://doi.org/10.20885/millah.vol17.is s1.art1</w:t>
      </w:r>
    </w:p>
    <w:p w14:paraId="3E2589A2"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Kryvych, Y., &amp; Goncharenko, T. (2020). Banking strategic management and business model: bibliometric analysis. </w:t>
      </w:r>
      <w:r w:rsidRPr="009A2FA0">
        <w:rPr>
          <w:rFonts w:ascii="Book Antiqua" w:hAnsi="Book Antiqua"/>
          <w:i/>
          <w:iCs/>
          <w:noProof/>
        </w:rPr>
        <w:t>Financial Markets, Institutions and Risks</w:t>
      </w:r>
      <w:r w:rsidRPr="009A2FA0">
        <w:rPr>
          <w:rFonts w:ascii="Book Antiqua" w:hAnsi="Book Antiqua"/>
          <w:noProof/>
        </w:rPr>
        <w:t xml:space="preserve">, </w:t>
      </w:r>
      <w:r w:rsidRPr="009A2FA0">
        <w:rPr>
          <w:rFonts w:ascii="Book Antiqua" w:hAnsi="Book Antiqua"/>
          <w:i/>
          <w:iCs/>
          <w:noProof/>
        </w:rPr>
        <w:t>4</w:t>
      </w:r>
      <w:r w:rsidRPr="009A2FA0">
        <w:rPr>
          <w:rFonts w:ascii="Book Antiqua" w:hAnsi="Book Antiqua"/>
          <w:noProof/>
        </w:rPr>
        <w:t>(1), 76–85. https://doi.org/10.21272/fmir.4(1).76-85.2020</w:t>
      </w:r>
    </w:p>
    <w:p w14:paraId="411DEC22"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Razaly, M. Z., Redzuan, M. A., Mustaffa, M. Z., Saja, M., Nawi, S. M., Hatta, M. F. M., &amp; Raffi, N. E. N. M. (2015). Managing Investment in The Light of Quran and Sunnah: Textual Analysis. </w:t>
      </w:r>
      <w:r w:rsidRPr="009A2FA0">
        <w:rPr>
          <w:rFonts w:ascii="Book Antiqua" w:hAnsi="Book Antiqua"/>
          <w:i/>
          <w:iCs/>
          <w:noProof/>
        </w:rPr>
        <w:t>Procedia Economics and Finance</w:t>
      </w:r>
      <w:r w:rsidRPr="009A2FA0">
        <w:rPr>
          <w:rFonts w:ascii="Book Antiqua" w:hAnsi="Book Antiqua"/>
          <w:noProof/>
        </w:rPr>
        <w:t xml:space="preserve">, </w:t>
      </w:r>
      <w:r w:rsidRPr="009A2FA0">
        <w:rPr>
          <w:rFonts w:ascii="Book Antiqua" w:hAnsi="Book Antiqua"/>
          <w:i/>
          <w:iCs/>
          <w:noProof/>
        </w:rPr>
        <w:t>31</w:t>
      </w:r>
      <w:r w:rsidRPr="009A2FA0">
        <w:rPr>
          <w:rFonts w:ascii="Book Antiqua" w:hAnsi="Book Antiqua"/>
          <w:noProof/>
        </w:rPr>
        <w:t>, 380–386. https://doi.org/10.1016/S2212-5671(15)01213-7</w:t>
      </w:r>
    </w:p>
    <w:p w14:paraId="33F8BDDA"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Sofyan, A. S., Yunus, A. R., Muslihati, Anwar, N., &amp; Saidy, E. N. (2021). Local Economic Practices in Developing Islamic Financial Products in Indonesia. </w:t>
      </w:r>
      <w:r w:rsidRPr="009A2FA0">
        <w:rPr>
          <w:rFonts w:ascii="Book Antiqua" w:hAnsi="Book Antiqua"/>
          <w:i/>
          <w:iCs/>
          <w:noProof/>
        </w:rPr>
        <w:t>Al-Tijary: Jurnal Ekonomi Dan Bisnis Islam</w:t>
      </w:r>
      <w:r w:rsidRPr="009A2FA0">
        <w:rPr>
          <w:rFonts w:ascii="Book Antiqua" w:hAnsi="Book Antiqua"/>
          <w:noProof/>
        </w:rPr>
        <w:t xml:space="preserve">, </w:t>
      </w:r>
      <w:r w:rsidRPr="009A2FA0">
        <w:rPr>
          <w:rFonts w:ascii="Book Antiqua" w:hAnsi="Book Antiqua"/>
          <w:i/>
          <w:iCs/>
          <w:noProof/>
        </w:rPr>
        <w:t>6</w:t>
      </w:r>
      <w:r w:rsidRPr="009A2FA0">
        <w:rPr>
          <w:rFonts w:ascii="Book Antiqua" w:hAnsi="Book Antiqua"/>
          <w:noProof/>
        </w:rPr>
        <w:t>(2), 141–163. https://doi.org/http://dx.doi.org/10.21093/at.v6i2.2946</w:t>
      </w:r>
    </w:p>
    <w:p w14:paraId="68982471"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Sørensen, A. R. (2016). Monetary organization and national identity: a review and considerations. </w:t>
      </w:r>
      <w:r w:rsidRPr="009A2FA0">
        <w:rPr>
          <w:rFonts w:ascii="Book Antiqua" w:hAnsi="Book Antiqua"/>
          <w:i/>
          <w:iCs/>
          <w:noProof/>
        </w:rPr>
        <w:t>Journal of Cultural Economy</w:t>
      </w:r>
      <w:r w:rsidRPr="009A2FA0">
        <w:rPr>
          <w:rFonts w:ascii="Book Antiqua" w:hAnsi="Book Antiqua"/>
          <w:noProof/>
        </w:rPr>
        <w:t xml:space="preserve">, </w:t>
      </w:r>
      <w:r w:rsidRPr="009A2FA0">
        <w:rPr>
          <w:rFonts w:ascii="Book Antiqua" w:hAnsi="Book Antiqua"/>
          <w:i/>
          <w:iCs/>
          <w:noProof/>
        </w:rPr>
        <w:t>9</w:t>
      </w:r>
      <w:r w:rsidRPr="009A2FA0">
        <w:rPr>
          <w:rFonts w:ascii="Book Antiqua" w:hAnsi="Book Antiqua"/>
          <w:noProof/>
        </w:rPr>
        <w:t>(2), 173–185. https://doi.org/10.1080/17530350.2015.1067827</w:t>
      </w:r>
    </w:p>
    <w:p w14:paraId="2FBAF17F" w14:textId="77777777" w:rsidR="009A2FA0" w:rsidRPr="009A2FA0" w:rsidRDefault="009A2FA0" w:rsidP="00C14879">
      <w:pPr>
        <w:widowControl w:val="0"/>
        <w:autoSpaceDE w:val="0"/>
        <w:autoSpaceDN w:val="0"/>
        <w:adjustRightInd w:val="0"/>
        <w:ind w:left="480" w:hanging="480"/>
        <w:jc w:val="both"/>
        <w:rPr>
          <w:rFonts w:ascii="Book Antiqua" w:hAnsi="Book Antiqua"/>
          <w:noProof/>
        </w:rPr>
      </w:pPr>
      <w:r w:rsidRPr="009A2FA0">
        <w:rPr>
          <w:rFonts w:ascii="Book Antiqua" w:hAnsi="Book Antiqua"/>
          <w:noProof/>
        </w:rPr>
        <w:t xml:space="preserve">Warjiyo, P. (2021). Bank Indonesia’s response to Covid-19: Synergise to build optimism for economic recovery. In B. English, K. Forbes, &amp; A. Ubide (Eds.), </w:t>
      </w:r>
      <w:r w:rsidRPr="009A2FA0">
        <w:rPr>
          <w:rFonts w:ascii="Book Antiqua" w:hAnsi="Book Antiqua"/>
          <w:i/>
          <w:iCs/>
          <w:noProof/>
        </w:rPr>
        <w:t>Monetary Policy and Central Banking in the Covid Era</w:t>
      </w:r>
      <w:r w:rsidRPr="009A2FA0">
        <w:rPr>
          <w:rFonts w:ascii="Book Antiqua" w:hAnsi="Book Antiqua"/>
          <w:noProof/>
        </w:rPr>
        <w:t xml:space="preserve"> (pp. 255–307). CEPR Press. https://www.bi.go.id/id/bi-institute/policy-mix/Policy-Mix/Documents/CB_in_the_covid_era_2021.pdf</w:t>
      </w:r>
    </w:p>
    <w:p w14:paraId="669765B3" w14:textId="053BABEC" w:rsidR="00485134" w:rsidRDefault="00D32EEA" w:rsidP="00C14879">
      <w:pPr>
        <w:jc w:val="both"/>
        <w:rPr>
          <w:rFonts w:ascii="Book Antiqua" w:hAnsi="Book Antiqua"/>
          <w:lang w:val="en-GB"/>
        </w:rPr>
      </w:pPr>
      <w:r>
        <w:rPr>
          <w:rFonts w:ascii="Book Antiqua" w:hAnsi="Book Antiqua"/>
          <w:lang w:val="en-GB"/>
        </w:rPr>
        <w:fldChar w:fldCharType="end"/>
      </w:r>
    </w:p>
    <w:sectPr w:rsidR="00485134" w:rsidSect="005624F7">
      <w:type w:val="continuous"/>
      <w:pgSz w:w="11906" w:h="16838"/>
      <w:pgMar w:top="1985" w:right="1701" w:bottom="1985" w:left="1701" w:header="448" w:footer="709" w:gutter="0"/>
      <w:cols w:space="51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4AAA3" w14:textId="77777777" w:rsidR="0051523B" w:rsidRDefault="0051523B" w:rsidP="00025252">
      <w:r>
        <w:separator/>
      </w:r>
    </w:p>
  </w:endnote>
  <w:endnote w:type="continuationSeparator" w:id="0">
    <w:p w14:paraId="603C9AC1" w14:textId="77777777" w:rsidR="0051523B" w:rsidRDefault="0051523B" w:rsidP="0002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632950462"/>
      <w:docPartObj>
        <w:docPartGallery w:val="Page Numbers (Bottom of Page)"/>
        <w:docPartUnique/>
      </w:docPartObj>
    </w:sdtPr>
    <w:sdtEndPr>
      <w:rPr>
        <w:noProof/>
      </w:rPr>
    </w:sdtEndPr>
    <w:sdtContent>
      <w:p w14:paraId="7C78A490" w14:textId="3CE30AD3" w:rsidR="00FA5CC6" w:rsidRPr="00FA5CC6" w:rsidRDefault="00FA5CC6">
        <w:pPr>
          <w:pStyle w:val="Footer"/>
          <w:jc w:val="center"/>
          <w:rPr>
            <w:rFonts w:asciiTheme="minorHAnsi" w:hAnsiTheme="minorHAnsi" w:cstheme="minorHAnsi"/>
            <w:sz w:val="22"/>
            <w:szCs w:val="22"/>
          </w:rPr>
        </w:pPr>
        <w:r w:rsidRPr="00FA5CC6">
          <w:rPr>
            <w:rFonts w:asciiTheme="minorHAnsi" w:hAnsiTheme="minorHAnsi" w:cstheme="minorHAnsi"/>
            <w:sz w:val="22"/>
            <w:szCs w:val="22"/>
          </w:rPr>
          <w:fldChar w:fldCharType="begin"/>
        </w:r>
        <w:r w:rsidRPr="00FA5CC6">
          <w:rPr>
            <w:rFonts w:asciiTheme="minorHAnsi" w:hAnsiTheme="minorHAnsi" w:cstheme="minorHAnsi"/>
            <w:sz w:val="22"/>
            <w:szCs w:val="22"/>
          </w:rPr>
          <w:instrText xml:space="preserve"> PAGE   \* MERGEFORMAT </w:instrText>
        </w:r>
        <w:r w:rsidRPr="00FA5CC6">
          <w:rPr>
            <w:rFonts w:asciiTheme="minorHAnsi" w:hAnsiTheme="minorHAnsi" w:cstheme="minorHAnsi"/>
            <w:sz w:val="22"/>
            <w:szCs w:val="22"/>
          </w:rPr>
          <w:fldChar w:fldCharType="separate"/>
        </w:r>
        <w:r w:rsidRPr="00FA5CC6">
          <w:rPr>
            <w:rFonts w:asciiTheme="minorHAnsi" w:hAnsiTheme="minorHAnsi" w:cstheme="minorHAnsi"/>
            <w:noProof/>
            <w:sz w:val="22"/>
            <w:szCs w:val="22"/>
          </w:rPr>
          <w:t>2</w:t>
        </w:r>
        <w:r w:rsidRPr="00FA5CC6">
          <w:rPr>
            <w:rFonts w:asciiTheme="minorHAnsi" w:hAnsiTheme="minorHAnsi" w:cstheme="minorHAnsi"/>
            <w:noProof/>
            <w:sz w:val="22"/>
            <w:szCs w:val="22"/>
          </w:rPr>
          <w:fldChar w:fldCharType="end"/>
        </w:r>
      </w:p>
    </w:sdtContent>
  </w:sdt>
  <w:p w14:paraId="48927A97" w14:textId="77777777" w:rsidR="00FA5CC6" w:rsidRDefault="00FA5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75ACD" w14:textId="77777777" w:rsidR="0051523B" w:rsidRDefault="0051523B" w:rsidP="00025252">
      <w:r>
        <w:separator/>
      </w:r>
    </w:p>
  </w:footnote>
  <w:footnote w:type="continuationSeparator" w:id="0">
    <w:p w14:paraId="0303F3CB" w14:textId="77777777" w:rsidR="0051523B" w:rsidRDefault="0051523B" w:rsidP="00025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8DB61" w14:textId="7E7560C4" w:rsidR="0041768F" w:rsidRPr="005624F7" w:rsidRDefault="00612287" w:rsidP="0041768F">
    <w:pPr>
      <w:pStyle w:val="Header"/>
      <w:rPr>
        <w:rFonts w:ascii="Book Antiqua" w:hAnsi="Book Antiqua"/>
        <w:sz w:val="20"/>
        <w:szCs w:val="20"/>
      </w:rPr>
    </w:pPr>
    <w:r w:rsidRPr="005624F7">
      <w:rPr>
        <w:rFonts w:ascii="Book Antiqua" w:hAnsi="Book Antiqua"/>
        <w:noProof/>
      </w:rPr>
      <w:drawing>
        <wp:anchor distT="0" distB="0" distL="114300" distR="114300" simplePos="0" relativeHeight="251658240" behindDoc="0" locked="0" layoutInCell="1" allowOverlap="1" wp14:anchorId="1C6A82D1" wp14:editId="762E5C0A">
          <wp:simplePos x="0" y="0"/>
          <wp:positionH relativeFrom="column">
            <wp:posOffset>3733800</wp:posOffset>
          </wp:positionH>
          <wp:positionV relativeFrom="paragraph">
            <wp:posOffset>-61595</wp:posOffset>
          </wp:positionV>
          <wp:extent cx="1600200" cy="64452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68F" w:rsidRPr="005624F7">
      <w:rPr>
        <w:rFonts w:ascii="Book Antiqua" w:hAnsi="Book Antiqua"/>
        <w:sz w:val="20"/>
        <w:szCs w:val="20"/>
      </w:rPr>
      <w:t>Maliki Islamic Economics Journal (M-IEC Journal)</w:t>
    </w:r>
    <w:r w:rsidRPr="005624F7">
      <w:rPr>
        <w:rFonts w:ascii="Book Antiqua" w:hAnsi="Book Antiqua"/>
        <w:noProof/>
      </w:rPr>
      <w:t xml:space="preserve"> </w:t>
    </w:r>
  </w:p>
  <w:p w14:paraId="2BD4EF75" w14:textId="4FC04167" w:rsidR="0041768F" w:rsidRPr="005624F7" w:rsidRDefault="0041768F" w:rsidP="0041768F">
    <w:pPr>
      <w:pStyle w:val="Header"/>
      <w:rPr>
        <w:rFonts w:ascii="Book Antiqua" w:hAnsi="Book Antiqua"/>
        <w:sz w:val="20"/>
        <w:szCs w:val="20"/>
      </w:rPr>
    </w:pPr>
    <w:r w:rsidRPr="005624F7">
      <w:rPr>
        <w:rFonts w:ascii="Book Antiqua" w:hAnsi="Book Antiqua"/>
        <w:sz w:val="20"/>
        <w:szCs w:val="20"/>
      </w:rPr>
      <w:t xml:space="preserve">Volume </w:t>
    </w:r>
    <w:r w:rsidR="00DE5683">
      <w:rPr>
        <w:rFonts w:ascii="Book Antiqua" w:hAnsi="Book Antiqua"/>
        <w:sz w:val="20"/>
        <w:szCs w:val="20"/>
      </w:rPr>
      <w:t>-</w:t>
    </w:r>
    <w:r w:rsidRPr="005624F7">
      <w:rPr>
        <w:rFonts w:ascii="Book Antiqua" w:hAnsi="Book Antiqua"/>
        <w:sz w:val="20"/>
        <w:szCs w:val="20"/>
      </w:rPr>
      <w:t xml:space="preserve"> (</w:t>
    </w:r>
    <w:r w:rsidR="00DE5683">
      <w:rPr>
        <w:rFonts w:ascii="Book Antiqua" w:hAnsi="Book Antiqua"/>
        <w:sz w:val="20"/>
        <w:szCs w:val="20"/>
      </w:rPr>
      <w:t>-</w:t>
    </w:r>
    <w:r w:rsidRPr="005624F7">
      <w:rPr>
        <w:rFonts w:ascii="Book Antiqua" w:hAnsi="Book Antiqua"/>
        <w:sz w:val="20"/>
        <w:szCs w:val="20"/>
      </w:rPr>
      <w:t xml:space="preserve">), </w:t>
    </w:r>
    <w:r w:rsidR="00DE5683">
      <w:rPr>
        <w:rFonts w:ascii="Book Antiqua" w:hAnsi="Book Antiqua"/>
        <w:sz w:val="20"/>
        <w:szCs w:val="20"/>
      </w:rPr>
      <w:t>-</w:t>
    </w:r>
  </w:p>
  <w:p w14:paraId="09CE28AB" w14:textId="77777777" w:rsidR="00DE573E" w:rsidRPr="005624F7" w:rsidRDefault="00DE573E" w:rsidP="00DE573E">
    <w:pPr>
      <w:pStyle w:val="Header"/>
      <w:rPr>
        <w:rFonts w:ascii="Book Antiqua" w:hAnsi="Book Antiqua"/>
        <w:sz w:val="20"/>
        <w:szCs w:val="20"/>
      </w:rPr>
    </w:pPr>
    <w:bookmarkStart w:id="5" w:name="_Hlk75773239"/>
    <w:bookmarkStart w:id="6" w:name="_Hlk75773240"/>
    <w:r w:rsidRPr="005624F7">
      <w:rPr>
        <w:rFonts w:ascii="Book Antiqua" w:hAnsi="Book Antiqua"/>
        <w:sz w:val="20"/>
        <w:szCs w:val="20"/>
      </w:rPr>
      <w:t xml:space="preserve">P-ISSN: </w:t>
    </w:r>
    <w:r>
      <w:rPr>
        <w:rFonts w:ascii="Book Antiqua" w:hAnsi="Book Antiqua"/>
        <w:sz w:val="20"/>
        <w:szCs w:val="20"/>
      </w:rPr>
      <w:t>2798-0383</w:t>
    </w:r>
    <w:r w:rsidRPr="005624F7">
      <w:rPr>
        <w:rFonts w:ascii="Book Antiqua" w:hAnsi="Book Antiqua"/>
        <w:sz w:val="20"/>
        <w:szCs w:val="20"/>
      </w:rPr>
      <w:t xml:space="preserve">; E-ISSN: </w:t>
    </w:r>
    <w:r>
      <w:rPr>
        <w:rFonts w:ascii="Book Antiqua" w:hAnsi="Book Antiqua"/>
        <w:sz w:val="20"/>
        <w:szCs w:val="20"/>
      </w:rPr>
      <w:t>2797</w:t>
    </w:r>
    <w:r w:rsidRPr="005624F7">
      <w:rPr>
        <w:rFonts w:ascii="Book Antiqua" w:hAnsi="Book Antiqua"/>
        <w:sz w:val="20"/>
        <w:szCs w:val="20"/>
      </w:rPr>
      <w:t>-</w:t>
    </w:r>
    <w:r>
      <w:rPr>
        <w:rFonts w:ascii="Book Antiqua" w:hAnsi="Book Antiqua"/>
        <w:sz w:val="20"/>
        <w:szCs w:val="20"/>
      </w:rPr>
      <w:t>8125</w:t>
    </w:r>
    <w:bookmarkEnd w:id="5"/>
    <w:bookmarkEnd w:id="6"/>
  </w:p>
  <w:p w14:paraId="22F31F77" w14:textId="510A0E29" w:rsidR="0041768F" w:rsidRPr="005624F7" w:rsidRDefault="0041768F" w:rsidP="00DE573E">
    <w:pPr>
      <w:pStyle w:val="Header"/>
      <w:rPr>
        <w:rFonts w:ascii="Book Antiqua" w:hAnsi="Book Antiqu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FE1ABDCC"/>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AE45114"/>
    <w:multiLevelType w:val="multilevel"/>
    <w:tmpl w:val="79B228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BFB7C83"/>
    <w:multiLevelType w:val="multilevel"/>
    <w:tmpl w:val="05DC3816"/>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E750D67"/>
    <w:multiLevelType w:val="multilevel"/>
    <w:tmpl w:val="A568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1D37F6"/>
    <w:multiLevelType w:val="hybridMultilevel"/>
    <w:tmpl w:val="D940EE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8273D7"/>
    <w:multiLevelType w:val="multilevel"/>
    <w:tmpl w:val="9C8E938C"/>
    <w:numStyleLink w:val="IEEEBullet1"/>
  </w:abstractNum>
  <w:abstractNum w:abstractNumId="7" w15:restartNumberingAfterBreak="0">
    <w:nsid w:val="38C8203F"/>
    <w:multiLevelType w:val="hybridMultilevel"/>
    <w:tmpl w:val="D940EE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50232215"/>
    <w:multiLevelType w:val="multilevel"/>
    <w:tmpl w:val="C9AC4FC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FC555AF"/>
    <w:multiLevelType w:val="hybridMultilevel"/>
    <w:tmpl w:val="D054C46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15:restartNumberingAfterBreak="0">
    <w:nsid w:val="73BE155E"/>
    <w:multiLevelType w:val="hybridMultilevel"/>
    <w:tmpl w:val="D940EE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1"/>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0"/>
  </w:num>
  <w:num w:numId="8">
    <w:abstractNumId w:val="2"/>
  </w:num>
  <w:num w:numId="9">
    <w:abstractNumId w:val="0"/>
    <w:lvlOverride w:ilvl="0">
      <w:startOverride w:val="6"/>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0"/>
  </w:num>
  <w:num w:numId="13">
    <w:abstractNumId w:val="1"/>
  </w:num>
  <w:num w:numId="14">
    <w:abstractNumId w:val="4"/>
  </w:num>
  <w:num w:numId="15">
    <w:abstractNumId w:val="7"/>
  </w:num>
  <w:num w:numId="16">
    <w:abstractNumId w:val="5"/>
  </w:num>
  <w:num w:numId="1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0067b4"/>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459F"/>
    <w:rsid w:val="00017719"/>
    <w:rsid w:val="00025252"/>
    <w:rsid w:val="00027F1D"/>
    <w:rsid w:val="00031632"/>
    <w:rsid w:val="0003296C"/>
    <w:rsid w:val="00032D3D"/>
    <w:rsid w:val="00054421"/>
    <w:rsid w:val="00062E46"/>
    <w:rsid w:val="000719C3"/>
    <w:rsid w:val="00074AC8"/>
    <w:rsid w:val="00081408"/>
    <w:rsid w:val="00081EBE"/>
    <w:rsid w:val="00082809"/>
    <w:rsid w:val="00086EDC"/>
    <w:rsid w:val="000B36A3"/>
    <w:rsid w:val="000C013C"/>
    <w:rsid w:val="000C2AA0"/>
    <w:rsid w:val="000C5152"/>
    <w:rsid w:val="000E3F84"/>
    <w:rsid w:val="001056DF"/>
    <w:rsid w:val="00114025"/>
    <w:rsid w:val="00115593"/>
    <w:rsid w:val="001160D2"/>
    <w:rsid w:val="0013477C"/>
    <w:rsid w:val="001348A5"/>
    <w:rsid w:val="00142E4A"/>
    <w:rsid w:val="00151B8E"/>
    <w:rsid w:val="00167D77"/>
    <w:rsid w:val="0017463A"/>
    <w:rsid w:val="00177ED7"/>
    <w:rsid w:val="001928FB"/>
    <w:rsid w:val="00192BC7"/>
    <w:rsid w:val="001A4F94"/>
    <w:rsid w:val="001A50EA"/>
    <w:rsid w:val="001B0EED"/>
    <w:rsid w:val="001C35F6"/>
    <w:rsid w:val="001F16CD"/>
    <w:rsid w:val="001F1F83"/>
    <w:rsid w:val="001F47D2"/>
    <w:rsid w:val="001F4CE1"/>
    <w:rsid w:val="002010CD"/>
    <w:rsid w:val="0022285A"/>
    <w:rsid w:val="00224C61"/>
    <w:rsid w:val="00242EAF"/>
    <w:rsid w:val="00244B70"/>
    <w:rsid w:val="00246C66"/>
    <w:rsid w:val="00260EB7"/>
    <w:rsid w:val="00266F12"/>
    <w:rsid w:val="0027227B"/>
    <w:rsid w:val="00273AC7"/>
    <w:rsid w:val="00273B5D"/>
    <w:rsid w:val="00273D2C"/>
    <w:rsid w:val="00274B28"/>
    <w:rsid w:val="00275BFA"/>
    <w:rsid w:val="00283946"/>
    <w:rsid w:val="00285ECD"/>
    <w:rsid w:val="00290E1B"/>
    <w:rsid w:val="00291B17"/>
    <w:rsid w:val="00292B7A"/>
    <w:rsid w:val="002A59E3"/>
    <w:rsid w:val="002A6742"/>
    <w:rsid w:val="002C1A7F"/>
    <w:rsid w:val="002C4239"/>
    <w:rsid w:val="002C559D"/>
    <w:rsid w:val="002D2D42"/>
    <w:rsid w:val="002D2DDC"/>
    <w:rsid w:val="002D764A"/>
    <w:rsid w:val="002F72D0"/>
    <w:rsid w:val="003003AB"/>
    <w:rsid w:val="00304C4F"/>
    <w:rsid w:val="00311C49"/>
    <w:rsid w:val="0032119E"/>
    <w:rsid w:val="00321304"/>
    <w:rsid w:val="00331F84"/>
    <w:rsid w:val="00341EB9"/>
    <w:rsid w:val="003458F7"/>
    <w:rsid w:val="00346750"/>
    <w:rsid w:val="00352563"/>
    <w:rsid w:val="0037258A"/>
    <w:rsid w:val="003950A4"/>
    <w:rsid w:val="00397E5E"/>
    <w:rsid w:val="003C5154"/>
    <w:rsid w:val="003D01C8"/>
    <w:rsid w:val="003E27FD"/>
    <w:rsid w:val="003E3577"/>
    <w:rsid w:val="003E6F34"/>
    <w:rsid w:val="003F3A61"/>
    <w:rsid w:val="00404D2D"/>
    <w:rsid w:val="00410A5D"/>
    <w:rsid w:val="00414909"/>
    <w:rsid w:val="0041768F"/>
    <w:rsid w:val="00422026"/>
    <w:rsid w:val="00425A6A"/>
    <w:rsid w:val="004268B1"/>
    <w:rsid w:val="00426FBB"/>
    <w:rsid w:val="00427ED0"/>
    <w:rsid w:val="00440A17"/>
    <w:rsid w:val="00440AB7"/>
    <w:rsid w:val="00463D0B"/>
    <w:rsid w:val="0047429A"/>
    <w:rsid w:val="0048374C"/>
    <w:rsid w:val="00485134"/>
    <w:rsid w:val="00487164"/>
    <w:rsid w:val="0048729D"/>
    <w:rsid w:val="0048771D"/>
    <w:rsid w:val="004A2207"/>
    <w:rsid w:val="004A6605"/>
    <w:rsid w:val="004C45FA"/>
    <w:rsid w:val="004D568D"/>
    <w:rsid w:val="004E1BD8"/>
    <w:rsid w:val="004E452A"/>
    <w:rsid w:val="004E78E3"/>
    <w:rsid w:val="004F28DD"/>
    <w:rsid w:val="005004BF"/>
    <w:rsid w:val="00502B27"/>
    <w:rsid w:val="00502E89"/>
    <w:rsid w:val="00505081"/>
    <w:rsid w:val="00510E95"/>
    <w:rsid w:val="00513AB0"/>
    <w:rsid w:val="0051523B"/>
    <w:rsid w:val="00520445"/>
    <w:rsid w:val="00523BBC"/>
    <w:rsid w:val="00527D56"/>
    <w:rsid w:val="0053221F"/>
    <w:rsid w:val="00536FAE"/>
    <w:rsid w:val="00541C22"/>
    <w:rsid w:val="00541FB6"/>
    <w:rsid w:val="00542C85"/>
    <w:rsid w:val="00553510"/>
    <w:rsid w:val="00554186"/>
    <w:rsid w:val="005624F7"/>
    <w:rsid w:val="00572092"/>
    <w:rsid w:val="00572C08"/>
    <w:rsid w:val="005777DB"/>
    <w:rsid w:val="00585769"/>
    <w:rsid w:val="005875CA"/>
    <w:rsid w:val="00591130"/>
    <w:rsid w:val="00595971"/>
    <w:rsid w:val="005A3F28"/>
    <w:rsid w:val="005A40BE"/>
    <w:rsid w:val="005A5A98"/>
    <w:rsid w:val="005A7BCD"/>
    <w:rsid w:val="005B13E2"/>
    <w:rsid w:val="005B217F"/>
    <w:rsid w:val="005B47D7"/>
    <w:rsid w:val="005C5526"/>
    <w:rsid w:val="005C62C6"/>
    <w:rsid w:val="005D7B9E"/>
    <w:rsid w:val="005F0834"/>
    <w:rsid w:val="005F0BE8"/>
    <w:rsid w:val="005F6DC3"/>
    <w:rsid w:val="00601A8E"/>
    <w:rsid w:val="00612287"/>
    <w:rsid w:val="00615F3B"/>
    <w:rsid w:val="0062033E"/>
    <w:rsid w:val="00620645"/>
    <w:rsid w:val="00624482"/>
    <w:rsid w:val="006362EF"/>
    <w:rsid w:val="0064799C"/>
    <w:rsid w:val="00654156"/>
    <w:rsid w:val="006675D1"/>
    <w:rsid w:val="00687A40"/>
    <w:rsid w:val="006940EA"/>
    <w:rsid w:val="00695756"/>
    <w:rsid w:val="00695C80"/>
    <w:rsid w:val="006A481C"/>
    <w:rsid w:val="006B47CA"/>
    <w:rsid w:val="006C7AAA"/>
    <w:rsid w:val="006D1C2A"/>
    <w:rsid w:val="006D264F"/>
    <w:rsid w:val="006E0692"/>
    <w:rsid w:val="006E1C81"/>
    <w:rsid w:val="006E2A8D"/>
    <w:rsid w:val="006E7574"/>
    <w:rsid w:val="006F70B5"/>
    <w:rsid w:val="00703430"/>
    <w:rsid w:val="007069BE"/>
    <w:rsid w:val="0073441F"/>
    <w:rsid w:val="00736532"/>
    <w:rsid w:val="00737982"/>
    <w:rsid w:val="00742881"/>
    <w:rsid w:val="00745C86"/>
    <w:rsid w:val="00754AD9"/>
    <w:rsid w:val="0076254A"/>
    <w:rsid w:val="00764603"/>
    <w:rsid w:val="0076604D"/>
    <w:rsid w:val="00771DC9"/>
    <w:rsid w:val="00781855"/>
    <w:rsid w:val="00790909"/>
    <w:rsid w:val="007B5A07"/>
    <w:rsid w:val="007C2FFE"/>
    <w:rsid w:val="007C345F"/>
    <w:rsid w:val="007C6378"/>
    <w:rsid w:val="007D3E71"/>
    <w:rsid w:val="007D6255"/>
    <w:rsid w:val="007E5D6A"/>
    <w:rsid w:val="007E645D"/>
    <w:rsid w:val="007E681E"/>
    <w:rsid w:val="007F75CA"/>
    <w:rsid w:val="00800582"/>
    <w:rsid w:val="0081397B"/>
    <w:rsid w:val="00821E08"/>
    <w:rsid w:val="008235E2"/>
    <w:rsid w:val="008273AC"/>
    <w:rsid w:val="00834EFD"/>
    <w:rsid w:val="00840DD0"/>
    <w:rsid w:val="00844B24"/>
    <w:rsid w:val="0084515F"/>
    <w:rsid w:val="0085092D"/>
    <w:rsid w:val="0085440C"/>
    <w:rsid w:val="008713DD"/>
    <w:rsid w:val="00877D4C"/>
    <w:rsid w:val="0089763B"/>
    <w:rsid w:val="008B4E24"/>
    <w:rsid w:val="008B6AE3"/>
    <w:rsid w:val="008D1045"/>
    <w:rsid w:val="008D4AD4"/>
    <w:rsid w:val="008D735A"/>
    <w:rsid w:val="008E2C09"/>
    <w:rsid w:val="008E4154"/>
    <w:rsid w:val="008E5996"/>
    <w:rsid w:val="008F10B6"/>
    <w:rsid w:val="00900FC2"/>
    <w:rsid w:val="00901AE1"/>
    <w:rsid w:val="009205B4"/>
    <w:rsid w:val="00920C7B"/>
    <w:rsid w:val="00940871"/>
    <w:rsid w:val="009548F3"/>
    <w:rsid w:val="00955B59"/>
    <w:rsid w:val="0097004B"/>
    <w:rsid w:val="00970967"/>
    <w:rsid w:val="009741E0"/>
    <w:rsid w:val="00986F80"/>
    <w:rsid w:val="00992262"/>
    <w:rsid w:val="009926BC"/>
    <w:rsid w:val="00995661"/>
    <w:rsid w:val="009A2FA0"/>
    <w:rsid w:val="009A4319"/>
    <w:rsid w:val="009A6C3F"/>
    <w:rsid w:val="009B2572"/>
    <w:rsid w:val="009B73F2"/>
    <w:rsid w:val="009C09F8"/>
    <w:rsid w:val="009C12BD"/>
    <w:rsid w:val="009C50FE"/>
    <w:rsid w:val="009D2D72"/>
    <w:rsid w:val="009D3C51"/>
    <w:rsid w:val="009F0A68"/>
    <w:rsid w:val="00A03E75"/>
    <w:rsid w:val="00A17313"/>
    <w:rsid w:val="00A26A14"/>
    <w:rsid w:val="00A2787B"/>
    <w:rsid w:val="00A34767"/>
    <w:rsid w:val="00A35944"/>
    <w:rsid w:val="00A37D62"/>
    <w:rsid w:val="00A45CBF"/>
    <w:rsid w:val="00A45FCE"/>
    <w:rsid w:val="00A474BB"/>
    <w:rsid w:val="00A618F8"/>
    <w:rsid w:val="00A71991"/>
    <w:rsid w:val="00A75671"/>
    <w:rsid w:val="00A773CC"/>
    <w:rsid w:val="00A77B23"/>
    <w:rsid w:val="00A806DA"/>
    <w:rsid w:val="00A81BD1"/>
    <w:rsid w:val="00A9318B"/>
    <w:rsid w:val="00A94AC1"/>
    <w:rsid w:val="00A959AC"/>
    <w:rsid w:val="00AA0507"/>
    <w:rsid w:val="00AA3E0C"/>
    <w:rsid w:val="00AA556E"/>
    <w:rsid w:val="00AB18B7"/>
    <w:rsid w:val="00AC6CCA"/>
    <w:rsid w:val="00AD335D"/>
    <w:rsid w:val="00AD50E0"/>
    <w:rsid w:val="00AF792B"/>
    <w:rsid w:val="00B02045"/>
    <w:rsid w:val="00B20E63"/>
    <w:rsid w:val="00B22C63"/>
    <w:rsid w:val="00B32CFA"/>
    <w:rsid w:val="00B32D3D"/>
    <w:rsid w:val="00B36970"/>
    <w:rsid w:val="00B5011F"/>
    <w:rsid w:val="00B55D5E"/>
    <w:rsid w:val="00B65AA7"/>
    <w:rsid w:val="00B94516"/>
    <w:rsid w:val="00BB2855"/>
    <w:rsid w:val="00BD19C1"/>
    <w:rsid w:val="00BD25B8"/>
    <w:rsid w:val="00BD2FE0"/>
    <w:rsid w:val="00BD3626"/>
    <w:rsid w:val="00BD766E"/>
    <w:rsid w:val="00BE5514"/>
    <w:rsid w:val="00BF591A"/>
    <w:rsid w:val="00C012E1"/>
    <w:rsid w:val="00C06BB4"/>
    <w:rsid w:val="00C10D20"/>
    <w:rsid w:val="00C12E0C"/>
    <w:rsid w:val="00C14879"/>
    <w:rsid w:val="00C17E29"/>
    <w:rsid w:val="00C21916"/>
    <w:rsid w:val="00C31315"/>
    <w:rsid w:val="00C40D96"/>
    <w:rsid w:val="00C457CA"/>
    <w:rsid w:val="00C4611D"/>
    <w:rsid w:val="00C57804"/>
    <w:rsid w:val="00C57FB7"/>
    <w:rsid w:val="00C65F3F"/>
    <w:rsid w:val="00C72414"/>
    <w:rsid w:val="00C847D4"/>
    <w:rsid w:val="00C8667B"/>
    <w:rsid w:val="00CA196F"/>
    <w:rsid w:val="00CA4439"/>
    <w:rsid w:val="00CA4CE3"/>
    <w:rsid w:val="00CA52C9"/>
    <w:rsid w:val="00CB12E2"/>
    <w:rsid w:val="00CC210E"/>
    <w:rsid w:val="00CC2C34"/>
    <w:rsid w:val="00CD4F3F"/>
    <w:rsid w:val="00CD6691"/>
    <w:rsid w:val="00CE28DB"/>
    <w:rsid w:val="00CE2A97"/>
    <w:rsid w:val="00CE6FC3"/>
    <w:rsid w:val="00CF51CC"/>
    <w:rsid w:val="00D02015"/>
    <w:rsid w:val="00D04361"/>
    <w:rsid w:val="00D17251"/>
    <w:rsid w:val="00D311F8"/>
    <w:rsid w:val="00D32EEA"/>
    <w:rsid w:val="00D36B52"/>
    <w:rsid w:val="00D377C8"/>
    <w:rsid w:val="00D41274"/>
    <w:rsid w:val="00D43AA2"/>
    <w:rsid w:val="00D43BF3"/>
    <w:rsid w:val="00D71140"/>
    <w:rsid w:val="00D74C95"/>
    <w:rsid w:val="00D767BB"/>
    <w:rsid w:val="00D910F2"/>
    <w:rsid w:val="00D939B0"/>
    <w:rsid w:val="00DA5CF2"/>
    <w:rsid w:val="00DB16E0"/>
    <w:rsid w:val="00DB2D0B"/>
    <w:rsid w:val="00DB2DF9"/>
    <w:rsid w:val="00DB7E63"/>
    <w:rsid w:val="00DC2055"/>
    <w:rsid w:val="00DC7AA1"/>
    <w:rsid w:val="00DD71E8"/>
    <w:rsid w:val="00DD7F83"/>
    <w:rsid w:val="00DE5683"/>
    <w:rsid w:val="00DE573E"/>
    <w:rsid w:val="00E00FD9"/>
    <w:rsid w:val="00E0641E"/>
    <w:rsid w:val="00E06664"/>
    <w:rsid w:val="00E07C58"/>
    <w:rsid w:val="00E304BC"/>
    <w:rsid w:val="00E31D63"/>
    <w:rsid w:val="00E32853"/>
    <w:rsid w:val="00E401F8"/>
    <w:rsid w:val="00E46425"/>
    <w:rsid w:val="00E46444"/>
    <w:rsid w:val="00E47D0E"/>
    <w:rsid w:val="00E63D11"/>
    <w:rsid w:val="00E65018"/>
    <w:rsid w:val="00E72D69"/>
    <w:rsid w:val="00E758BC"/>
    <w:rsid w:val="00E904F2"/>
    <w:rsid w:val="00E91639"/>
    <w:rsid w:val="00E94339"/>
    <w:rsid w:val="00E97563"/>
    <w:rsid w:val="00EA28FC"/>
    <w:rsid w:val="00EB0B63"/>
    <w:rsid w:val="00EB0B7C"/>
    <w:rsid w:val="00EB7CF5"/>
    <w:rsid w:val="00EC265C"/>
    <w:rsid w:val="00EC686D"/>
    <w:rsid w:val="00ED61CB"/>
    <w:rsid w:val="00EF5723"/>
    <w:rsid w:val="00F04FB1"/>
    <w:rsid w:val="00F06A72"/>
    <w:rsid w:val="00F134BE"/>
    <w:rsid w:val="00F136F0"/>
    <w:rsid w:val="00F2073C"/>
    <w:rsid w:val="00F20BBB"/>
    <w:rsid w:val="00F22EA0"/>
    <w:rsid w:val="00F37DEB"/>
    <w:rsid w:val="00F4107F"/>
    <w:rsid w:val="00F43BD8"/>
    <w:rsid w:val="00F5382D"/>
    <w:rsid w:val="00F562F3"/>
    <w:rsid w:val="00F6637C"/>
    <w:rsid w:val="00F74B89"/>
    <w:rsid w:val="00F75133"/>
    <w:rsid w:val="00F772FF"/>
    <w:rsid w:val="00F81A99"/>
    <w:rsid w:val="00F83837"/>
    <w:rsid w:val="00F93817"/>
    <w:rsid w:val="00F93E64"/>
    <w:rsid w:val="00F96F3E"/>
    <w:rsid w:val="00FA24A0"/>
    <w:rsid w:val="00FA3899"/>
    <w:rsid w:val="00FA40C9"/>
    <w:rsid w:val="00FA4909"/>
    <w:rsid w:val="00FA5CC6"/>
    <w:rsid w:val="00FA6751"/>
    <w:rsid w:val="00FB1048"/>
    <w:rsid w:val="00FB62C4"/>
    <w:rsid w:val="00FB7701"/>
    <w:rsid w:val="00FC61B6"/>
    <w:rsid w:val="00FD1AC5"/>
    <w:rsid w:val="00FD5CF0"/>
    <w:rsid w:val="00FF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7b4"/>
    </o:shapedefaults>
    <o:shapelayout v:ext="edit">
      <o:idmap v:ext="edit" data="1"/>
    </o:shapelayout>
  </w:shapeDefaults>
  <w:decimalSymbol w:val=","/>
  <w:listSeparator w:val=";"/>
  <w14:docId w14:val="266F2C68"/>
  <w15:chartTrackingRefBased/>
  <w15:docId w15:val="{9DF97EDE-D315-4534-9DD9-580064889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Header">
    <w:name w:val="header"/>
    <w:basedOn w:val="Normal"/>
    <w:link w:val="HeaderChar"/>
    <w:uiPriority w:val="99"/>
    <w:unhideWhenUsed/>
    <w:rsid w:val="00025252"/>
    <w:pPr>
      <w:tabs>
        <w:tab w:val="center" w:pos="4513"/>
        <w:tab w:val="right" w:pos="9026"/>
      </w:tabs>
    </w:pPr>
  </w:style>
  <w:style w:type="character" w:customStyle="1" w:styleId="HeaderChar">
    <w:name w:val="Header Char"/>
    <w:link w:val="Header"/>
    <w:uiPriority w:val="99"/>
    <w:rsid w:val="00025252"/>
    <w:rPr>
      <w:sz w:val="24"/>
      <w:szCs w:val="24"/>
      <w:lang w:val="en-AU" w:eastAsia="zh-CN"/>
    </w:rPr>
  </w:style>
  <w:style w:type="paragraph" w:styleId="Footer">
    <w:name w:val="footer"/>
    <w:basedOn w:val="Normal"/>
    <w:link w:val="FooterChar"/>
    <w:uiPriority w:val="99"/>
    <w:unhideWhenUsed/>
    <w:rsid w:val="00025252"/>
    <w:pPr>
      <w:tabs>
        <w:tab w:val="center" w:pos="4513"/>
        <w:tab w:val="right" w:pos="9026"/>
      </w:tabs>
    </w:pPr>
  </w:style>
  <w:style w:type="character" w:customStyle="1" w:styleId="FooterChar">
    <w:name w:val="Footer Char"/>
    <w:link w:val="Footer"/>
    <w:uiPriority w:val="99"/>
    <w:rsid w:val="00025252"/>
    <w:rPr>
      <w:sz w:val="24"/>
      <w:szCs w:val="24"/>
      <w:lang w:val="en-AU" w:eastAsia="zh-CN"/>
    </w:rPr>
  </w:style>
  <w:style w:type="paragraph" w:styleId="BalloonText">
    <w:name w:val="Balloon Text"/>
    <w:basedOn w:val="Normal"/>
    <w:link w:val="BalloonTextChar"/>
    <w:uiPriority w:val="99"/>
    <w:semiHidden/>
    <w:unhideWhenUsed/>
    <w:rsid w:val="00025252"/>
    <w:rPr>
      <w:rFonts w:ascii="Tahoma" w:hAnsi="Tahoma"/>
      <w:sz w:val="16"/>
      <w:szCs w:val="16"/>
    </w:rPr>
  </w:style>
  <w:style w:type="character" w:customStyle="1" w:styleId="BalloonTextChar">
    <w:name w:val="Balloon Text Char"/>
    <w:link w:val="BalloonText"/>
    <w:uiPriority w:val="99"/>
    <w:semiHidden/>
    <w:rsid w:val="00025252"/>
    <w:rPr>
      <w:rFonts w:ascii="Tahoma" w:hAnsi="Tahoma" w:cs="Tahoma"/>
      <w:sz w:val="16"/>
      <w:szCs w:val="16"/>
      <w:lang w:val="en-AU" w:eastAsia="zh-CN"/>
    </w:rPr>
  </w:style>
  <w:style w:type="character" w:styleId="Hyperlink">
    <w:name w:val="Hyperlink"/>
    <w:uiPriority w:val="99"/>
    <w:unhideWhenUsed/>
    <w:rsid w:val="00840DD0"/>
    <w:rPr>
      <w:color w:val="0000FF"/>
      <w:u w:val="single"/>
    </w:rPr>
  </w:style>
  <w:style w:type="character" w:styleId="Strong">
    <w:name w:val="Strong"/>
    <w:uiPriority w:val="22"/>
    <w:qFormat/>
    <w:rsid w:val="00A618F8"/>
    <w:rPr>
      <w:b/>
      <w:bCs/>
    </w:rPr>
  </w:style>
  <w:style w:type="character" w:styleId="IntenseEmphasis">
    <w:name w:val="Intense Emphasis"/>
    <w:uiPriority w:val="21"/>
    <w:qFormat/>
    <w:rsid w:val="00A618F8"/>
    <w:rPr>
      <w:b/>
      <w:bCs/>
      <w:i/>
      <w:iCs/>
      <w:color w:val="4F81BD"/>
    </w:rPr>
  </w:style>
  <w:style w:type="character" w:styleId="UnresolvedMention">
    <w:name w:val="Unresolved Mention"/>
    <w:uiPriority w:val="99"/>
    <w:semiHidden/>
    <w:unhideWhenUsed/>
    <w:rsid w:val="00F6637C"/>
    <w:rPr>
      <w:color w:val="605E5C"/>
      <w:shd w:val="clear" w:color="auto" w:fill="E1DFDD"/>
    </w:rPr>
  </w:style>
  <w:style w:type="table" w:styleId="PlainTable2">
    <w:name w:val="Plain Table 2"/>
    <w:basedOn w:val="TableNormal"/>
    <w:uiPriority w:val="42"/>
    <w:rsid w:val="005A5A98"/>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basedOn w:val="Normal"/>
    <w:uiPriority w:val="34"/>
    <w:qFormat/>
    <w:rsid w:val="00754AD9"/>
    <w:pPr>
      <w:ind w:left="720"/>
      <w:contextualSpacing/>
    </w:pPr>
  </w:style>
  <w:style w:type="character" w:styleId="FollowedHyperlink">
    <w:name w:val="FollowedHyperlink"/>
    <w:basedOn w:val="DefaultParagraphFont"/>
    <w:uiPriority w:val="99"/>
    <w:semiHidden/>
    <w:unhideWhenUsed/>
    <w:rsid w:val="0081397B"/>
    <w:rPr>
      <w:color w:val="954F72" w:themeColor="followedHyperlink"/>
      <w:u w:val="single"/>
    </w:rPr>
  </w:style>
  <w:style w:type="paragraph" w:styleId="NormalWeb">
    <w:name w:val="Normal (Web)"/>
    <w:basedOn w:val="Normal"/>
    <w:uiPriority w:val="99"/>
    <w:unhideWhenUsed/>
    <w:rsid w:val="005B217F"/>
    <w:pPr>
      <w:spacing w:before="100" w:beforeAutospacing="1" w:after="100" w:afterAutospacing="1"/>
    </w:pPr>
    <w:rPr>
      <w:rFonts w:eastAsia="Times New Roman"/>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93311">
      <w:bodyDiv w:val="1"/>
      <w:marLeft w:val="0"/>
      <w:marRight w:val="0"/>
      <w:marTop w:val="0"/>
      <w:marBottom w:val="0"/>
      <w:divBdr>
        <w:top w:val="none" w:sz="0" w:space="0" w:color="auto"/>
        <w:left w:val="none" w:sz="0" w:space="0" w:color="auto"/>
        <w:bottom w:val="none" w:sz="0" w:space="0" w:color="auto"/>
        <w:right w:val="none" w:sz="0" w:space="0" w:color="auto"/>
      </w:divBdr>
      <w:divsChild>
        <w:div w:id="1069034049">
          <w:marLeft w:val="0"/>
          <w:marRight w:val="0"/>
          <w:marTop w:val="0"/>
          <w:marBottom w:val="0"/>
          <w:divBdr>
            <w:top w:val="none" w:sz="0" w:space="0" w:color="auto"/>
            <w:left w:val="none" w:sz="0" w:space="0" w:color="auto"/>
            <w:bottom w:val="none" w:sz="0" w:space="0" w:color="auto"/>
            <w:right w:val="none" w:sz="0" w:space="0" w:color="auto"/>
          </w:divBdr>
        </w:div>
      </w:divsChild>
    </w:div>
    <w:div w:id="1585529658">
      <w:bodyDiv w:val="1"/>
      <w:marLeft w:val="0"/>
      <w:marRight w:val="0"/>
      <w:marTop w:val="0"/>
      <w:marBottom w:val="0"/>
      <w:divBdr>
        <w:top w:val="none" w:sz="0" w:space="0" w:color="auto"/>
        <w:left w:val="none" w:sz="0" w:space="0" w:color="auto"/>
        <w:bottom w:val="none" w:sz="0" w:space="0" w:color="auto"/>
        <w:right w:val="none" w:sz="0" w:space="0" w:color="auto"/>
      </w:divBdr>
      <w:divsChild>
        <w:div w:id="21455443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zuraidah@akuntansi.uin-malang.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F361E3-49FC-47F4-8769-4CF578ADB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11</Pages>
  <Words>6253</Words>
  <Characters>35647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41817</CharactersWithSpaces>
  <SharedDoc>false</SharedDoc>
  <HLinks>
    <vt:vector size="42" baseType="variant">
      <vt:variant>
        <vt:i4>3145824</vt:i4>
      </vt:variant>
      <vt:variant>
        <vt:i4>18</vt:i4>
      </vt:variant>
      <vt:variant>
        <vt:i4>0</vt:i4>
      </vt:variant>
      <vt:variant>
        <vt:i4>5</vt:i4>
      </vt:variant>
      <vt:variant>
        <vt:lpwstr>https://doi.org/10.3390/ijfs5030018</vt:lpwstr>
      </vt:variant>
      <vt:variant>
        <vt:lpwstr/>
      </vt:variant>
      <vt:variant>
        <vt:i4>3866745</vt:i4>
      </vt:variant>
      <vt:variant>
        <vt:i4>15</vt:i4>
      </vt:variant>
      <vt:variant>
        <vt:i4>0</vt:i4>
      </vt:variant>
      <vt:variant>
        <vt:i4>5</vt:i4>
      </vt:variant>
      <vt:variant>
        <vt:lpwstr>https://doi.org/10.1016/j.najef.2012.10.007</vt:lpwstr>
      </vt:variant>
      <vt:variant>
        <vt:lpwstr/>
      </vt:variant>
      <vt:variant>
        <vt:i4>5177415</vt:i4>
      </vt:variant>
      <vt:variant>
        <vt:i4>12</vt:i4>
      </vt:variant>
      <vt:variant>
        <vt:i4>0</vt:i4>
      </vt:variant>
      <vt:variant>
        <vt:i4>5</vt:i4>
      </vt:variant>
      <vt:variant>
        <vt:lpwstr>https://www.aeaweb.org/econlit/jelCodes.php?view=jel</vt:lpwstr>
      </vt:variant>
      <vt:variant>
        <vt:lpwstr/>
      </vt:variant>
      <vt:variant>
        <vt:i4>3342435</vt:i4>
      </vt:variant>
      <vt:variant>
        <vt:i4>9</vt:i4>
      </vt:variant>
      <vt:variant>
        <vt:i4>0</vt:i4>
      </vt:variant>
      <vt:variant>
        <vt:i4>5</vt:i4>
      </vt:variant>
      <vt:variant>
        <vt:lpwstr>https://businessperspectives.org/index.php/journals/tag/financial market policy</vt:lpwstr>
      </vt:variant>
      <vt:variant>
        <vt:lpwstr/>
      </vt:variant>
      <vt:variant>
        <vt:i4>4915275</vt:i4>
      </vt:variant>
      <vt:variant>
        <vt:i4>6</vt:i4>
      </vt:variant>
      <vt:variant>
        <vt:i4>0</vt:i4>
      </vt:variant>
      <vt:variant>
        <vt:i4>5</vt:i4>
      </vt:variant>
      <vt:variant>
        <vt:lpwstr>https://businessperspectives.org/index.php/journals/tag/financial intermediaries</vt:lpwstr>
      </vt:variant>
      <vt:variant>
        <vt:lpwstr/>
      </vt:variant>
      <vt:variant>
        <vt:i4>4390994</vt:i4>
      </vt:variant>
      <vt:variant>
        <vt:i4>3</vt:i4>
      </vt:variant>
      <vt:variant>
        <vt:i4>0</vt:i4>
      </vt:variant>
      <vt:variant>
        <vt:i4>5</vt:i4>
      </vt:variant>
      <vt:variant>
        <vt:lpwstr>https://businessperspectives.org/index.php/journals/tag/financial forecasting</vt:lpwstr>
      </vt:variant>
      <vt:variant>
        <vt:lpwstr/>
      </vt:variant>
      <vt:variant>
        <vt:i4>6619207</vt:i4>
      </vt:variant>
      <vt:variant>
        <vt:i4>0</vt:i4>
      </vt:variant>
      <vt:variant>
        <vt:i4>0</vt:i4>
      </vt:variant>
      <vt:variant>
        <vt:i4>5</vt:i4>
      </vt:variant>
      <vt:variant>
        <vt:lpwstr>mailto:abcd@email.com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IJSMS</dc:creator>
  <cp:keywords/>
  <cp:lastModifiedBy>Tibrizi Soni</cp:lastModifiedBy>
  <cp:revision>9</cp:revision>
  <cp:lastPrinted>2021-05-31T06:06:00Z</cp:lastPrinted>
  <dcterms:created xsi:type="dcterms:W3CDTF">2022-06-19T07:20:00Z</dcterms:created>
  <dcterms:modified xsi:type="dcterms:W3CDTF">2022-06-19T09:09:00Z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022182f8-f8fd-3514-a66e-d50c91e533ba</vt:lpwstr>
  </property>
  <property fmtid="{D5CDD505-2E9C-101B-9397-08002B2CF9AE}" pid="24" name="Mendeley Citation Style_1">
    <vt:lpwstr>http://www.zotero.org/styles/apa</vt:lpwstr>
  </property>
</Properties>
</file>