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CE6FC" w14:textId="4F1EEB31" w:rsidR="00D41274" w:rsidRPr="00346750" w:rsidRDefault="00B36012" w:rsidP="00F93817">
      <w:pPr>
        <w:pStyle w:val="IEEETitle"/>
        <w:rPr>
          <w:rFonts w:ascii="Book Antiqua" w:hAnsi="Book Antiqua"/>
          <w:b/>
          <w:bCs/>
          <w:color w:val="FF0000"/>
          <w:sz w:val="28"/>
          <w:szCs w:val="28"/>
        </w:rPr>
      </w:pPr>
      <w:r>
        <w:rPr>
          <w:rFonts w:ascii="Book Antiqua" w:hAnsi="Book Antiqua"/>
          <w:b/>
          <w:bCs/>
          <w:sz w:val="28"/>
          <w:szCs w:val="28"/>
        </w:rPr>
        <w:t>Finance Performance: Reinvestigation through Intellectual</w:t>
      </w:r>
      <w:r w:rsidR="00346750" w:rsidRPr="00346750">
        <w:rPr>
          <w:rFonts w:ascii="Book Antiqua" w:hAnsi="Book Antiqua"/>
          <w:b/>
          <w:bCs/>
          <w:sz w:val="28"/>
          <w:szCs w:val="28"/>
        </w:rPr>
        <w:t xml:space="preserve"> </w:t>
      </w:r>
      <w:r>
        <w:rPr>
          <w:rFonts w:ascii="Book Antiqua" w:hAnsi="Book Antiqua"/>
          <w:b/>
          <w:bCs/>
          <w:sz w:val="28"/>
          <w:szCs w:val="28"/>
        </w:rPr>
        <w:t>Capital and Good Corporate Governance</w:t>
      </w:r>
    </w:p>
    <w:p w14:paraId="1076404B" w14:textId="20DFB6AA" w:rsidR="00346750" w:rsidRPr="00A77B23" w:rsidRDefault="00346750" w:rsidP="00F93817">
      <w:pPr>
        <w:pStyle w:val="IEEEAuthorName"/>
        <w:spacing w:before="0" w:after="0"/>
        <w:rPr>
          <w:rFonts w:ascii="Book Antiqua" w:hAnsi="Book Antiqua"/>
          <w:color w:val="4472C4"/>
          <w:sz w:val="24"/>
          <w:lang w:val="en-AU" w:eastAsia="zh-CN"/>
        </w:rPr>
      </w:pPr>
      <w:bookmarkStart w:id="0" w:name="OLE_LINK3"/>
    </w:p>
    <w:bookmarkEnd w:id="0"/>
    <w:p w14:paraId="238D428F" w14:textId="1592239A" w:rsidR="006940EA" w:rsidRPr="00B67BAB" w:rsidRDefault="006E3B54" w:rsidP="00B67BAB">
      <w:pPr>
        <w:pStyle w:val="IEEEAuthorName"/>
        <w:rPr>
          <w:rFonts w:ascii="Book Antiqua" w:hAnsi="Book Antiqua"/>
          <w:b/>
          <w:bCs/>
          <w:i/>
          <w:iCs/>
          <w:sz w:val="20"/>
          <w:szCs w:val="20"/>
          <w:lang w:val="id-ID"/>
        </w:rPr>
      </w:pPr>
      <w:r w:rsidRPr="00B67BAB">
        <w:rPr>
          <w:rFonts w:ascii="Book Antiqua" w:hAnsi="Book Antiqua"/>
          <w:b/>
          <w:bCs/>
          <w:i/>
          <w:iCs/>
          <w:sz w:val="20"/>
          <w:szCs w:val="20"/>
          <w:lang w:val="id-ID"/>
        </w:rPr>
        <w:t>Fitri Anista Dewi</w:t>
      </w:r>
      <w:r w:rsidR="00C4611D" w:rsidRPr="00C4611D">
        <w:rPr>
          <w:rFonts w:ascii="Book Antiqua" w:hAnsi="Book Antiqua"/>
          <w:b/>
          <w:bCs/>
          <w:i/>
          <w:iCs/>
          <w:sz w:val="20"/>
          <w:szCs w:val="20"/>
          <w:vertAlign w:val="superscript"/>
        </w:rPr>
        <w:t>1</w:t>
      </w:r>
      <w:r w:rsidR="006940EA" w:rsidRPr="00F93817">
        <w:rPr>
          <w:rFonts w:ascii="Book Antiqua" w:hAnsi="Book Antiqua"/>
          <w:b/>
          <w:bCs/>
          <w:i/>
          <w:iCs/>
          <w:sz w:val="20"/>
          <w:szCs w:val="20"/>
        </w:rPr>
        <w:t xml:space="preserve">, </w:t>
      </w:r>
      <w:proofErr w:type="spellStart"/>
      <w:r>
        <w:rPr>
          <w:rFonts w:ascii="Book Antiqua" w:hAnsi="Book Antiqua"/>
          <w:b/>
          <w:bCs/>
          <w:i/>
          <w:iCs/>
          <w:sz w:val="20"/>
          <w:szCs w:val="20"/>
        </w:rPr>
        <w:t>Barianto</w:t>
      </w:r>
      <w:proofErr w:type="spellEnd"/>
      <w:r>
        <w:rPr>
          <w:rFonts w:ascii="Book Antiqua" w:hAnsi="Book Antiqua"/>
          <w:b/>
          <w:bCs/>
          <w:i/>
          <w:iCs/>
          <w:sz w:val="20"/>
          <w:szCs w:val="20"/>
        </w:rPr>
        <w:t xml:space="preserve"> </w:t>
      </w:r>
      <w:proofErr w:type="spellStart"/>
      <w:r>
        <w:rPr>
          <w:rFonts w:ascii="Book Antiqua" w:hAnsi="Book Antiqua"/>
          <w:b/>
          <w:bCs/>
          <w:i/>
          <w:iCs/>
          <w:sz w:val="20"/>
          <w:szCs w:val="20"/>
        </w:rPr>
        <w:t>Nurasri</w:t>
      </w:r>
      <w:proofErr w:type="spellEnd"/>
      <w:r>
        <w:rPr>
          <w:rFonts w:ascii="Book Antiqua" w:hAnsi="Book Antiqua"/>
          <w:b/>
          <w:bCs/>
          <w:i/>
          <w:iCs/>
          <w:sz w:val="20"/>
          <w:szCs w:val="20"/>
        </w:rPr>
        <w:t xml:space="preserve"> </w:t>
      </w:r>
      <w:proofErr w:type="spellStart"/>
      <w:r>
        <w:rPr>
          <w:rFonts w:ascii="Book Antiqua" w:hAnsi="Book Antiqua"/>
          <w:b/>
          <w:bCs/>
          <w:i/>
          <w:iCs/>
          <w:sz w:val="20"/>
          <w:szCs w:val="20"/>
        </w:rPr>
        <w:t>Sudarmawan</w:t>
      </w:r>
      <w:proofErr w:type="spellEnd"/>
      <w:r w:rsidR="004411AF">
        <w:rPr>
          <w:rFonts w:ascii="Book Antiqua" w:hAnsi="Book Antiqua"/>
          <w:b/>
          <w:bCs/>
          <w:i/>
          <w:iCs/>
          <w:sz w:val="20"/>
          <w:szCs w:val="20"/>
        </w:rPr>
        <w:t>*</w:t>
      </w:r>
      <w:r w:rsidR="006940EA" w:rsidRPr="00F93817">
        <w:rPr>
          <w:rFonts w:ascii="Book Antiqua" w:hAnsi="Book Antiqua"/>
          <w:b/>
          <w:bCs/>
          <w:i/>
          <w:iCs/>
          <w:sz w:val="20"/>
          <w:szCs w:val="20"/>
          <w:vertAlign w:val="superscript"/>
        </w:rPr>
        <w:t>2</w:t>
      </w:r>
    </w:p>
    <w:p w14:paraId="7925D51A" w14:textId="74767624" w:rsidR="00F93817" w:rsidRPr="00F93817" w:rsidRDefault="00F93817" w:rsidP="00F93817">
      <w:pPr>
        <w:kinsoku w:val="0"/>
        <w:overflowPunct w:val="0"/>
        <w:autoSpaceDE w:val="0"/>
        <w:autoSpaceDN w:val="0"/>
        <w:jc w:val="center"/>
        <w:rPr>
          <w:rFonts w:ascii="Book Antiqua" w:hAnsi="Book Antiqua"/>
          <w:bCs/>
          <w:color w:val="FF0000"/>
          <w:sz w:val="20"/>
          <w:szCs w:val="20"/>
        </w:rPr>
      </w:pPr>
      <w:r w:rsidRPr="00F93817">
        <w:rPr>
          <w:rFonts w:ascii="Book Antiqua" w:eastAsia="Calibri" w:hAnsi="Book Antiqua"/>
          <w:bCs/>
          <w:i/>
          <w:iCs/>
          <w:sz w:val="20"/>
          <w:szCs w:val="20"/>
          <w:vertAlign w:val="superscript"/>
          <w:lang w:val="en-US"/>
        </w:rPr>
        <w:t>1</w:t>
      </w:r>
      <w:r w:rsidRPr="00F93817">
        <w:rPr>
          <w:rFonts w:ascii="Book Antiqua" w:eastAsia="Calibri" w:hAnsi="Book Antiqua"/>
          <w:bCs/>
          <w:i/>
          <w:iCs/>
          <w:sz w:val="20"/>
          <w:szCs w:val="20"/>
          <w:lang w:val="en-US"/>
        </w:rPr>
        <w:t xml:space="preserve"> </w:t>
      </w:r>
      <w:r w:rsidR="004411AF">
        <w:rPr>
          <w:rFonts w:ascii="Book Antiqua" w:eastAsia="Calibri" w:hAnsi="Book Antiqua"/>
          <w:bCs/>
          <w:i/>
          <w:iCs/>
          <w:sz w:val="20"/>
          <w:szCs w:val="20"/>
          <w:lang w:val="en-US"/>
        </w:rPr>
        <w:t>UIN Maulana Malik Ibrahim Malang</w:t>
      </w:r>
      <w:r w:rsidRPr="00F93817">
        <w:rPr>
          <w:rFonts w:ascii="Book Antiqua" w:eastAsia="Calibri" w:hAnsi="Book Antiqua"/>
          <w:bCs/>
          <w:i/>
          <w:iCs/>
          <w:sz w:val="20"/>
          <w:szCs w:val="20"/>
          <w:lang w:val="en-US"/>
        </w:rPr>
        <w:t xml:space="preserve">, </w:t>
      </w:r>
      <w:r w:rsidR="004411AF">
        <w:rPr>
          <w:rFonts w:ascii="Book Antiqua" w:eastAsia="Calibri" w:hAnsi="Book Antiqua"/>
          <w:bCs/>
          <w:i/>
          <w:iCs/>
          <w:sz w:val="20"/>
          <w:szCs w:val="20"/>
          <w:lang w:val="en-US"/>
        </w:rPr>
        <w:t>Indonesia</w:t>
      </w:r>
      <w:r w:rsidRPr="00F93817">
        <w:rPr>
          <w:rFonts w:eastAsia="Calibri"/>
          <w:bCs/>
          <w:lang w:val="en-US"/>
        </w:rPr>
        <w:t xml:space="preserve"> </w:t>
      </w:r>
    </w:p>
    <w:p w14:paraId="3B6D478C" w14:textId="7F9F3CD5" w:rsidR="00F93817" w:rsidRPr="00F93817" w:rsidRDefault="00F93817" w:rsidP="00F93817">
      <w:pPr>
        <w:kinsoku w:val="0"/>
        <w:overflowPunct w:val="0"/>
        <w:autoSpaceDE w:val="0"/>
        <w:autoSpaceDN w:val="0"/>
        <w:jc w:val="center"/>
        <w:rPr>
          <w:rFonts w:eastAsia="Calibri"/>
          <w:bCs/>
          <w:color w:val="FF0000"/>
          <w:lang w:val="en-US"/>
        </w:rPr>
      </w:pPr>
      <w:r w:rsidRPr="00F93817">
        <w:rPr>
          <w:rFonts w:ascii="Book Antiqua" w:eastAsia="Calibri" w:hAnsi="Book Antiqua"/>
          <w:bCs/>
          <w:i/>
          <w:iCs/>
          <w:sz w:val="20"/>
          <w:szCs w:val="20"/>
          <w:vertAlign w:val="superscript"/>
          <w:lang w:val="en-US"/>
        </w:rPr>
        <w:t>2</w:t>
      </w:r>
      <w:r w:rsidRPr="00F93817">
        <w:rPr>
          <w:rFonts w:ascii="Book Antiqua" w:eastAsia="Calibri" w:hAnsi="Book Antiqua"/>
          <w:bCs/>
          <w:i/>
          <w:iCs/>
          <w:sz w:val="20"/>
          <w:szCs w:val="20"/>
          <w:lang w:val="en-US"/>
        </w:rPr>
        <w:t xml:space="preserve"> </w:t>
      </w:r>
      <w:r w:rsidR="004411AF">
        <w:rPr>
          <w:rFonts w:ascii="Book Antiqua" w:eastAsia="Calibri" w:hAnsi="Book Antiqua"/>
          <w:bCs/>
          <w:i/>
          <w:iCs/>
          <w:sz w:val="20"/>
          <w:szCs w:val="20"/>
          <w:lang w:val="en-US"/>
        </w:rPr>
        <w:t>UIN Maulana Malik Ibrahim Malang</w:t>
      </w:r>
      <w:r w:rsidR="004411AF" w:rsidRPr="00F93817">
        <w:rPr>
          <w:rFonts w:ascii="Book Antiqua" w:eastAsia="Calibri" w:hAnsi="Book Antiqua"/>
          <w:bCs/>
          <w:i/>
          <w:iCs/>
          <w:sz w:val="20"/>
          <w:szCs w:val="20"/>
          <w:lang w:val="en-US"/>
        </w:rPr>
        <w:t xml:space="preserve">, </w:t>
      </w:r>
      <w:r w:rsidR="004411AF">
        <w:rPr>
          <w:rFonts w:ascii="Book Antiqua" w:eastAsia="Calibri" w:hAnsi="Book Antiqua"/>
          <w:bCs/>
          <w:i/>
          <w:iCs/>
          <w:sz w:val="20"/>
          <w:szCs w:val="20"/>
          <w:lang w:val="en-US"/>
        </w:rPr>
        <w:t>Indonesia</w:t>
      </w:r>
      <w:r w:rsidRPr="00F93817">
        <w:rPr>
          <w:rFonts w:eastAsia="Calibri"/>
          <w:bCs/>
          <w:lang w:val="en-US"/>
        </w:rPr>
        <w:t xml:space="preserve"> </w:t>
      </w:r>
    </w:p>
    <w:p w14:paraId="772D792A" w14:textId="0EB405C4" w:rsidR="00F93817" w:rsidRPr="00CF0B27" w:rsidRDefault="00F93817" w:rsidP="00F93817">
      <w:pPr>
        <w:tabs>
          <w:tab w:val="left" w:pos="1740"/>
        </w:tabs>
        <w:kinsoku w:val="0"/>
        <w:overflowPunct w:val="0"/>
        <w:autoSpaceDE w:val="0"/>
        <w:autoSpaceDN w:val="0"/>
        <w:jc w:val="center"/>
        <w:rPr>
          <w:rFonts w:ascii="Book Antiqua" w:hAnsi="Book Antiqua"/>
          <w:bCs/>
          <w:sz w:val="16"/>
          <w:szCs w:val="16"/>
          <w:lang w:val="en-US"/>
        </w:rPr>
      </w:pPr>
      <w:bookmarkStart w:id="1" w:name="OLE_LINK6"/>
      <w:r w:rsidRPr="00F93817">
        <w:rPr>
          <w:rFonts w:ascii="Book Antiqua" w:hAnsi="Book Antiqua"/>
          <w:i/>
          <w:iCs/>
          <w:sz w:val="20"/>
          <w:szCs w:val="20"/>
          <w:lang w:val="en-US" w:eastAsia="en-US"/>
        </w:rPr>
        <w:t>*Corresponding Author</w:t>
      </w:r>
      <w:r w:rsidRPr="00F6637C">
        <w:rPr>
          <w:rFonts w:ascii="Book Antiqua" w:hAnsi="Book Antiqua"/>
          <w:i/>
          <w:iCs/>
          <w:sz w:val="20"/>
          <w:szCs w:val="20"/>
          <w:lang w:val="en-US" w:eastAsia="en-US"/>
        </w:rPr>
        <w:t xml:space="preserve">: </w:t>
      </w:r>
      <w:r w:rsidR="00CF0B27" w:rsidRPr="00CF0B27">
        <w:rPr>
          <w:rFonts w:ascii="Book Antiqua" w:hAnsi="Book Antiqua"/>
          <w:sz w:val="20"/>
          <w:szCs w:val="20"/>
        </w:rPr>
        <w:t>barianto@uin-malang.ac.id</w:t>
      </w:r>
    </w:p>
    <w:bookmarkEnd w:id="1"/>
    <w:p w14:paraId="68D669BD" w14:textId="77777777" w:rsidR="0017463A" w:rsidRDefault="0017463A" w:rsidP="0017463A">
      <w:pPr>
        <w:shd w:val="clear" w:color="auto" w:fill="FFFFFF"/>
        <w:rPr>
          <w:rFonts w:ascii="Book Antiqua" w:hAnsi="Book Antiqua"/>
          <w:i/>
          <w:iCs/>
          <w:sz w:val="20"/>
          <w:szCs w:val="20"/>
        </w:rPr>
      </w:pPr>
    </w:p>
    <w:p w14:paraId="37A83EEE" w14:textId="416F6083" w:rsidR="00CF0B27" w:rsidRPr="0017463A" w:rsidRDefault="00CF0B27" w:rsidP="0017463A">
      <w:pPr>
        <w:shd w:val="clear" w:color="auto" w:fill="FFFFFF"/>
        <w:rPr>
          <w:rFonts w:ascii="Book Antiqua" w:hAnsi="Book Antiqua"/>
          <w:i/>
          <w:iCs/>
          <w:sz w:val="20"/>
          <w:szCs w:val="20"/>
        </w:rPr>
        <w:sectPr w:rsidR="00CF0B27" w:rsidRPr="0017463A" w:rsidSect="005624F7">
          <w:headerReference w:type="default" r:id="rId9"/>
          <w:footerReference w:type="default" r:id="rId10"/>
          <w:pgSz w:w="11906" w:h="16838"/>
          <w:pgMar w:top="1985" w:right="1701" w:bottom="1985" w:left="1701" w:header="360" w:footer="706" w:gutter="0"/>
          <w:cols w:space="708"/>
          <w:docGrid w:linePitch="360"/>
        </w:sectPr>
      </w:pPr>
    </w:p>
    <w:p w14:paraId="4C831337" w14:textId="0E0A21BB" w:rsidR="00F6637C" w:rsidRDefault="00D41274" w:rsidP="00346750">
      <w:pPr>
        <w:pStyle w:val="IEEEAbtract"/>
        <w:rPr>
          <w:rFonts w:ascii="Book Antiqua" w:hAnsi="Book Antiqua"/>
          <w:b w:val="0"/>
          <w:sz w:val="22"/>
          <w:szCs w:val="22"/>
        </w:rPr>
      </w:pPr>
      <w:r w:rsidRPr="005624F7">
        <w:rPr>
          <w:rStyle w:val="IEEEAbstractHeadingChar"/>
          <w:rFonts w:ascii="Book Antiqua" w:hAnsi="Book Antiqua"/>
          <w:b/>
          <w:bCs/>
          <w:sz w:val="20"/>
          <w:szCs w:val="20"/>
        </w:rPr>
        <w:t>Ab</w:t>
      </w:r>
      <w:r w:rsidR="0064799C" w:rsidRPr="005624F7">
        <w:rPr>
          <w:rStyle w:val="IEEEAbstractHeadingChar"/>
          <w:rFonts w:ascii="Book Antiqua" w:hAnsi="Book Antiqua"/>
          <w:b/>
          <w:bCs/>
          <w:sz w:val="20"/>
          <w:szCs w:val="20"/>
        </w:rPr>
        <w:t>s</w:t>
      </w:r>
      <w:r w:rsidRPr="005624F7">
        <w:rPr>
          <w:rStyle w:val="IEEEAbstractHeadingChar"/>
          <w:rFonts w:ascii="Book Antiqua" w:hAnsi="Book Antiqua"/>
          <w:b/>
          <w:bCs/>
          <w:sz w:val="20"/>
          <w:szCs w:val="20"/>
        </w:rPr>
        <w:t>tract</w:t>
      </w:r>
      <w:r w:rsidR="00F6637C" w:rsidRPr="005624F7">
        <w:rPr>
          <w:rStyle w:val="IEEEAbstractHeadingChar"/>
          <w:rFonts w:ascii="Book Antiqua" w:hAnsi="Book Antiqua"/>
          <w:sz w:val="20"/>
          <w:szCs w:val="20"/>
        </w:rPr>
        <w:t>:</w:t>
      </w:r>
      <w:r w:rsidR="007E681E" w:rsidRPr="0041768F">
        <w:rPr>
          <w:rStyle w:val="IEEEAbstractHeadingChar"/>
          <w:rFonts w:ascii="Book Antiqua" w:hAnsi="Book Antiqua"/>
          <w:sz w:val="22"/>
          <w:szCs w:val="22"/>
        </w:rPr>
        <w:t xml:space="preserve"> </w:t>
      </w:r>
    </w:p>
    <w:p w14:paraId="6E89AC81" w14:textId="1BD8BDD1" w:rsidR="00470D83" w:rsidRDefault="00E1706D" w:rsidP="00346750">
      <w:pPr>
        <w:pStyle w:val="IEEEAbtract"/>
        <w:rPr>
          <w:rStyle w:val="IEEEAbstractHeadingChar"/>
          <w:rFonts w:ascii="Book Antiqua" w:hAnsi="Book Antiqua"/>
          <w:b/>
          <w:bCs/>
          <w:i w:val="0"/>
          <w:sz w:val="20"/>
          <w:szCs w:val="20"/>
        </w:rPr>
      </w:pPr>
      <w:r w:rsidRPr="00E1706D">
        <w:rPr>
          <w:rFonts w:ascii="Book Antiqua" w:hAnsi="Book Antiqua"/>
          <w:b w:val="0"/>
          <w:i/>
          <w:iCs/>
          <w:sz w:val="20"/>
          <w:szCs w:val="20"/>
          <w:lang w:val="en-US"/>
        </w:rPr>
        <w:t>Intellectual Capital (IC) management needs to be carried out in banking because knowledge is an important need for a company whose operational activities directly interact with customers, so that existing human resources must have adequate capabilities and knowledge. In addition to the management of knowledge possessed, the implementation of Good Corporate Governance (GCG) to create company efficiency and reduce conflicts that arise, provides transparency and legitimacy of company activities. The purpose of this study is to determine the influence of Intellectual Capital (IC) development on the financial performance of Islamic banking, and to determine the impact of implementing Good Corporate Governance (GCG) on the financial performance of Islamic banking in Indonesia. The results showed that simultaneously the variables of Intellectual Capital (IC) and Good Corporate Governance (GCG) had a significant effect on financial performance (ROA).</w:t>
      </w:r>
      <w:r w:rsidR="00B74884">
        <w:rPr>
          <w:rFonts w:ascii="Book Antiqua" w:hAnsi="Book Antiqua"/>
          <w:b w:val="0"/>
          <w:i/>
          <w:iCs/>
          <w:sz w:val="20"/>
          <w:szCs w:val="20"/>
          <w:lang w:val="en-US"/>
        </w:rPr>
        <w:t xml:space="preserve"> </w:t>
      </w:r>
      <w:r w:rsidRPr="00E1706D">
        <w:rPr>
          <w:rFonts w:ascii="Book Antiqua" w:hAnsi="Book Antiqua"/>
          <w:b w:val="0"/>
          <w:bCs/>
          <w:i/>
          <w:iCs/>
          <w:sz w:val="20"/>
          <w:szCs w:val="20"/>
          <w:lang w:val="en-US"/>
        </w:rPr>
        <w:t xml:space="preserve">These findings indicate that Islamic banks need to manage knowledge sourced from their employees. In addition, this finding also explains that sharia banking in Indonesia needs to consider the determination of the number of directors with the aim of maximizing the duties and responsibilities of the directors in </w:t>
      </w:r>
      <w:proofErr w:type="spellStart"/>
      <w:r w:rsidRPr="00E1706D">
        <w:rPr>
          <w:rFonts w:ascii="Book Antiqua" w:hAnsi="Book Antiqua"/>
          <w:b w:val="0"/>
          <w:bCs/>
          <w:i/>
          <w:iCs/>
          <w:sz w:val="20"/>
          <w:szCs w:val="20"/>
          <w:lang w:val="en-US"/>
        </w:rPr>
        <w:t>islamic</w:t>
      </w:r>
      <w:proofErr w:type="spellEnd"/>
      <w:r w:rsidRPr="00E1706D">
        <w:rPr>
          <w:rFonts w:ascii="Book Antiqua" w:hAnsi="Book Antiqua"/>
          <w:b w:val="0"/>
          <w:bCs/>
          <w:i/>
          <w:iCs/>
          <w:sz w:val="20"/>
          <w:szCs w:val="20"/>
          <w:lang w:val="en-US"/>
        </w:rPr>
        <w:t xml:space="preserve"> banking supervision.</w:t>
      </w:r>
    </w:p>
    <w:p w14:paraId="56B8DF3B" w14:textId="0A812816" w:rsidR="00920C7B" w:rsidRPr="001D4F21" w:rsidRDefault="009D3C51" w:rsidP="00346750">
      <w:pPr>
        <w:pStyle w:val="IEEEAbtract"/>
        <w:rPr>
          <w:rFonts w:ascii="Book Antiqua" w:hAnsi="Book Antiqua"/>
          <w:b w:val="0"/>
          <w:sz w:val="22"/>
          <w:szCs w:val="22"/>
          <w:lang w:val="en-US"/>
        </w:rPr>
      </w:pPr>
      <w:r w:rsidRPr="006E0692">
        <w:rPr>
          <w:rStyle w:val="IEEEAbstractHeadingChar"/>
          <w:rFonts w:ascii="Book Antiqua" w:hAnsi="Book Antiqua"/>
          <w:b/>
          <w:bCs/>
          <w:i w:val="0"/>
          <w:sz w:val="20"/>
          <w:szCs w:val="20"/>
        </w:rPr>
        <w:t>Keywords</w:t>
      </w:r>
      <w:r w:rsidR="00737982" w:rsidRPr="00737982">
        <w:rPr>
          <w:rFonts w:ascii="Book Antiqua" w:hAnsi="Book Antiqua"/>
          <w:b w:val="0"/>
          <w:iCs/>
          <w:sz w:val="20"/>
          <w:szCs w:val="20"/>
        </w:rPr>
        <w:t>:</w:t>
      </w:r>
      <w:r w:rsidR="00920C7B" w:rsidRPr="00737982">
        <w:rPr>
          <w:rFonts w:ascii="Book Antiqua" w:hAnsi="Book Antiqua"/>
          <w:b w:val="0"/>
          <w:iCs/>
          <w:sz w:val="22"/>
          <w:szCs w:val="22"/>
        </w:rPr>
        <w:t xml:space="preserve"> </w:t>
      </w:r>
      <w:r w:rsidR="001D4F21" w:rsidRPr="001D4F21">
        <w:rPr>
          <w:rFonts w:ascii="Book Antiqua" w:hAnsi="Book Antiqua"/>
          <w:b w:val="0"/>
          <w:i/>
          <w:sz w:val="22"/>
          <w:szCs w:val="22"/>
        </w:rPr>
        <w:t xml:space="preserve">Intellectual </w:t>
      </w:r>
      <w:proofErr w:type="spellStart"/>
      <w:r w:rsidR="001D4F21" w:rsidRPr="001D4F21">
        <w:rPr>
          <w:rFonts w:ascii="Book Antiqua" w:hAnsi="Book Antiqua"/>
          <w:b w:val="0"/>
          <w:i/>
          <w:sz w:val="22"/>
          <w:szCs w:val="22"/>
        </w:rPr>
        <w:t>capial</w:t>
      </w:r>
      <w:proofErr w:type="spellEnd"/>
      <w:r w:rsidR="001D4F21" w:rsidRPr="001D4F21">
        <w:rPr>
          <w:rFonts w:ascii="Book Antiqua" w:hAnsi="Book Antiqua"/>
          <w:b w:val="0"/>
          <w:i/>
          <w:sz w:val="22"/>
          <w:szCs w:val="22"/>
        </w:rPr>
        <w:t>,</w:t>
      </w:r>
      <w:r w:rsidR="001D4F21">
        <w:rPr>
          <w:rFonts w:ascii="Book Antiqua" w:hAnsi="Book Antiqua"/>
          <w:b w:val="0"/>
          <w:iCs/>
          <w:sz w:val="22"/>
          <w:szCs w:val="22"/>
        </w:rPr>
        <w:t xml:space="preserve"> </w:t>
      </w:r>
      <w:r w:rsidR="001D4F21" w:rsidRPr="00B74884">
        <w:rPr>
          <w:rFonts w:ascii="Book Antiqua" w:hAnsi="Book Antiqua"/>
          <w:b w:val="0"/>
          <w:i/>
          <w:iCs/>
          <w:sz w:val="20"/>
          <w:szCs w:val="20"/>
          <w:lang w:val="id-ID"/>
        </w:rPr>
        <w:t>Good Corporate Governance</w:t>
      </w:r>
      <w:r w:rsidR="00FA7555">
        <w:rPr>
          <w:rFonts w:ascii="Book Antiqua" w:hAnsi="Book Antiqua"/>
          <w:b w:val="0"/>
          <w:i/>
          <w:iCs/>
          <w:sz w:val="20"/>
          <w:szCs w:val="20"/>
          <w:lang w:val="en-US"/>
        </w:rPr>
        <w:t xml:space="preserve">, </w:t>
      </w:r>
      <w:proofErr w:type="spellStart"/>
      <w:r w:rsidR="005254C5">
        <w:rPr>
          <w:rFonts w:ascii="Book Antiqua" w:hAnsi="Book Antiqua"/>
          <w:b w:val="0"/>
          <w:i/>
          <w:iCs/>
          <w:sz w:val="20"/>
          <w:szCs w:val="20"/>
          <w:lang w:val="en-US"/>
        </w:rPr>
        <w:t>Perbankan</w:t>
      </w:r>
      <w:proofErr w:type="spellEnd"/>
      <w:r w:rsidR="005254C5">
        <w:rPr>
          <w:rFonts w:ascii="Book Antiqua" w:hAnsi="Book Antiqua"/>
          <w:b w:val="0"/>
          <w:i/>
          <w:iCs/>
          <w:sz w:val="20"/>
          <w:szCs w:val="20"/>
          <w:lang w:val="en-US"/>
        </w:rPr>
        <w:t xml:space="preserve"> </w:t>
      </w:r>
      <w:proofErr w:type="spellStart"/>
      <w:r w:rsidR="005254C5">
        <w:rPr>
          <w:rFonts w:ascii="Book Antiqua" w:hAnsi="Book Antiqua"/>
          <w:b w:val="0"/>
          <w:i/>
          <w:iCs/>
          <w:sz w:val="20"/>
          <w:szCs w:val="20"/>
          <w:lang w:val="en-US"/>
        </w:rPr>
        <w:t>Syari’ah</w:t>
      </w:r>
      <w:proofErr w:type="spellEnd"/>
    </w:p>
    <w:p w14:paraId="0D58CF7A" w14:textId="0F0C156D" w:rsidR="00A806DA" w:rsidRDefault="00A806DA" w:rsidP="00A806DA">
      <w:pPr>
        <w:pStyle w:val="IEEEAuthorName"/>
        <w:spacing w:before="0" w:after="0"/>
        <w:rPr>
          <w:rFonts w:ascii="Book Antiqua" w:hAnsi="Book Antiqua"/>
          <w:color w:val="4472C4"/>
          <w:sz w:val="24"/>
          <w:lang w:val="en-AU" w:eastAsia="zh-CN"/>
        </w:rPr>
      </w:pPr>
    </w:p>
    <w:p w14:paraId="231C2429" w14:textId="1E59DDEE" w:rsidR="00A806DA" w:rsidRPr="00A806DA" w:rsidRDefault="00A806DA" w:rsidP="00A806DA">
      <w:pPr>
        <w:kinsoku w:val="0"/>
        <w:overflowPunct w:val="0"/>
        <w:autoSpaceDE w:val="0"/>
        <w:autoSpaceDN w:val="0"/>
        <w:jc w:val="both"/>
        <w:rPr>
          <w:rFonts w:ascii="Book Antiqua" w:eastAsia="Calibri" w:hAnsi="Book Antiqua"/>
          <w:sz w:val="20"/>
          <w:szCs w:val="20"/>
          <w:lang w:val="en-US" w:eastAsia="en-US"/>
        </w:rPr>
      </w:pPr>
      <w:bookmarkStart w:id="4" w:name="OLE_LINK19"/>
      <w:bookmarkStart w:id="5" w:name="OLE_LINK20"/>
      <w:r w:rsidRPr="00A806DA">
        <w:rPr>
          <w:rFonts w:ascii="Book Antiqua" w:eastAsia="Calibri" w:hAnsi="Book Antiqua"/>
          <w:b/>
          <w:sz w:val="20"/>
          <w:szCs w:val="20"/>
          <w:lang w:val="en-US" w:eastAsia="en-US"/>
        </w:rPr>
        <w:t>JEL Classification Code</w:t>
      </w:r>
      <w:bookmarkEnd w:id="4"/>
      <w:bookmarkEnd w:id="5"/>
      <w:r w:rsidRPr="00A806DA">
        <w:rPr>
          <w:rFonts w:ascii="Book Antiqua" w:eastAsia="Calibri" w:hAnsi="Book Antiqua"/>
          <w:b/>
          <w:sz w:val="20"/>
          <w:szCs w:val="20"/>
          <w:lang w:val="en-US" w:eastAsia="en-US"/>
        </w:rPr>
        <w:t xml:space="preserve">: </w:t>
      </w:r>
      <w:r w:rsidR="000542B2">
        <w:rPr>
          <w:rFonts w:ascii="Book Antiqua" w:eastAsia="Calibri" w:hAnsi="Book Antiqua"/>
          <w:b/>
          <w:sz w:val="20"/>
          <w:szCs w:val="20"/>
          <w:lang w:val="en-US" w:eastAsia="en-US"/>
        </w:rPr>
        <w:t xml:space="preserve">O34, </w:t>
      </w:r>
      <w:r w:rsidR="00014AF1">
        <w:rPr>
          <w:rFonts w:ascii="Book Antiqua" w:eastAsia="Calibri" w:hAnsi="Book Antiqua"/>
          <w:b/>
          <w:sz w:val="20"/>
          <w:szCs w:val="20"/>
          <w:lang w:val="en-US" w:eastAsia="en-US"/>
        </w:rPr>
        <w:t xml:space="preserve">G34, </w:t>
      </w:r>
      <w:r w:rsidR="005254C5">
        <w:rPr>
          <w:rFonts w:ascii="Book Antiqua" w:eastAsia="Calibri" w:hAnsi="Book Antiqua"/>
          <w:b/>
          <w:sz w:val="20"/>
          <w:szCs w:val="20"/>
          <w:lang w:val="en-US" w:eastAsia="en-US"/>
        </w:rPr>
        <w:t>G21</w:t>
      </w:r>
    </w:p>
    <w:p w14:paraId="09A3EC26" w14:textId="1F05307A" w:rsidR="00A806DA" w:rsidRDefault="00A806DA" w:rsidP="00A806DA">
      <w:pPr>
        <w:pStyle w:val="IEEEAuthorName"/>
        <w:spacing w:before="0" w:after="0"/>
        <w:rPr>
          <w:rFonts w:ascii="Book Antiqua" w:hAnsi="Book Antiqua"/>
          <w:color w:val="4472C4"/>
          <w:sz w:val="24"/>
          <w:lang w:val="en-AU" w:eastAsia="zh-CN"/>
        </w:rPr>
      </w:pPr>
    </w:p>
    <w:p w14:paraId="70A72A92" w14:textId="10C944E9" w:rsidR="00A806DA" w:rsidRDefault="00A806DA" w:rsidP="00A806DA">
      <w:pPr>
        <w:pStyle w:val="IEEEAuthorName"/>
        <w:spacing w:before="0" w:after="0"/>
        <w:rPr>
          <w:rFonts w:ascii="Book Antiqua" w:hAnsi="Book Antiqua"/>
          <w:color w:val="4472C4"/>
          <w:sz w:val="24"/>
          <w:lang w:val="en-AU" w:eastAsia="zh-CN"/>
        </w:rPr>
      </w:pPr>
    </w:p>
    <w:p w14:paraId="537320FF" w14:textId="2C928540" w:rsidR="00244B70" w:rsidRPr="00D1002D" w:rsidRDefault="00AA0507" w:rsidP="00D1002D">
      <w:pPr>
        <w:numPr>
          <w:ilvl w:val="0"/>
          <w:numId w:val="11"/>
        </w:numPr>
        <w:ind w:left="270" w:hanging="270"/>
        <w:rPr>
          <w:rFonts w:ascii="Book Antiqua" w:eastAsia="Times New Roman" w:hAnsi="Book Antiqua" w:cs="Angsana New"/>
          <w:b/>
          <w:bCs/>
          <w:color w:val="FF0000"/>
          <w:kern w:val="32"/>
          <w:lang w:eastAsia="en-US"/>
        </w:rPr>
      </w:pPr>
      <w:r w:rsidRPr="00AA0507">
        <w:rPr>
          <w:rFonts w:ascii="Book Antiqua" w:eastAsia="Times New Roman" w:hAnsi="Book Antiqua"/>
          <w:b/>
          <w:bCs/>
          <w:kern w:val="32"/>
          <w:lang w:val="id-ID" w:eastAsia="en-US"/>
        </w:rPr>
        <w:t>Introduction</w:t>
      </w:r>
    </w:p>
    <w:p w14:paraId="0976D104" w14:textId="1F45235F" w:rsidR="00E1706D" w:rsidRDefault="00E1706D" w:rsidP="002068FF">
      <w:pPr>
        <w:pStyle w:val="IEEEParagraph"/>
        <w:ind w:firstLine="720"/>
        <w:rPr>
          <w:rFonts w:ascii="Book Antiqua" w:hAnsi="Book Antiqua"/>
          <w:lang w:val="id-ID"/>
        </w:rPr>
      </w:pPr>
      <w:r w:rsidRPr="00E1706D">
        <w:rPr>
          <w:rFonts w:ascii="Book Antiqua" w:hAnsi="Book Antiqua"/>
          <w:lang w:val="id-ID"/>
        </w:rPr>
        <w:t>According to Law Number 21 of 2008, Islamic banking is a bank that carries out business activities based on sharia principles, or Islamic law principles regulated in the Fatwa of the Indonesian Ulema Council such as the principles of justice and balance ('adl wa tawazun), benefit (maslahah), universalism (alamiyah), and does not contain gharar, maysir, usury, zalim and haram objects. In order for its business activities to be maintained, Islamic banking also needs to maintain its financial performance position. Financial performance is the result of continuous efforts made by the company in utilizing and managing its resources in the most effective and efficient way to achieve certain goals</w:t>
      </w:r>
      <w:r w:rsidR="003E10B7" w:rsidRPr="003E10B7">
        <w:rPr>
          <w:rFonts w:ascii="Book Antiqua" w:hAnsi="Book Antiqua"/>
          <w:lang w:val="id-ID"/>
        </w:rPr>
        <w:t xml:space="preserve"> </w:t>
      </w:r>
      <w:r w:rsidR="003E10B7" w:rsidRPr="003E10B7">
        <w:rPr>
          <w:rFonts w:ascii="Book Antiqua" w:hAnsi="Book Antiqua"/>
          <w:lang w:val="id-ID"/>
        </w:rPr>
        <w:fldChar w:fldCharType="begin" w:fldLock="1"/>
      </w:r>
      <w:r w:rsidR="00154795">
        <w:rPr>
          <w:rFonts w:ascii="Book Antiqua" w:hAnsi="Book Antiqua"/>
          <w:lang w:val="id-ID"/>
        </w:rPr>
        <w:instrText>ADDIN CSL_CITATION {"citationItems":[{"id":"ITEM-1","itemData":{"DOI":"10.1108/IJPPM-05-2018-0199","ISSN":"17410401","abstract":"Purpose: The purpose of this paper is to measure the effects of corporate financial performance toward the influences of corporate growth and company asset utilization on the corporate market value. Design/methodology/approach: This research is an explanatory research that describes the influences of one or more variables on other variables based on secondary data. This research took place in Indonesia and was carried out from 2011 to 2016. Findings: The findings of this study are corporate growth has a significant influence on the corporate market value, implying that companies should consider the short-term and long-term profitabilities before making any investment decision; asset utilization has been confirmed to have a positive and significant influence on financial performance. Insights into asset utilization effectiveness and efficiency are important for company managers to consider in making strategic decisions upon operational activities of the company. Also, financial performance has a positive and significant influence on the corporate market value. Originality/value: Research originality offered in this research is in the form of empirical evidence upon the influence of company asset utilization on the financial performance and corporate market value of a company. The finding of this research is expected to provide a better understanding on the role of company asset utilization in determining corporate financial performance which is known to be certain.","author":[{"dropping-particle":"","family":"Mangesti Rahayu","given":"Sri","non-dropping-particle":"","parse-names":false,"suffix":""}],"container-title":"International Journal of Productivity and Performance Management","id":"ITEM-1","issue":"5","issued":{"date-parts":[["2019"]]},"page":"981-996","title":"Mediation effects financial performance toward influences of corporate growth and assets utilization","type":"article-journal","volume":"68"},"uris":["http://www.mendeley.com/documents/?uuid=3f64ad94-59f9-401b-a271-61ea636f0c99","http://www.mendeley.com/documents/?uuid=e94685d6-268a-4eb7-b46c-ca39c2641b3e"]}],"mendeley":{"formattedCitation":"(Mangesti Rahayu, 2019)","manualFormatting":"(Pertiwi &amp; Pratama, 2011; Mangesti Rahayu, 2019)","plainTextFormattedCitation":"(Mangesti Rahayu, 2019)","previouslyFormattedCitation":"(Mangesti Rahayu, 2019)"},"properties":{"noteIndex":0},"schema":"https://github.com/citation-style-language/schema/raw/master/csl-citation.json"}</w:instrText>
      </w:r>
      <w:r w:rsidR="003E10B7" w:rsidRPr="003E10B7">
        <w:rPr>
          <w:rFonts w:ascii="Book Antiqua" w:hAnsi="Book Antiqua"/>
          <w:lang w:val="id-ID"/>
        </w:rPr>
        <w:fldChar w:fldCharType="separate"/>
      </w:r>
      <w:r w:rsidR="003E10B7" w:rsidRPr="003E10B7">
        <w:rPr>
          <w:rFonts w:ascii="Book Antiqua" w:hAnsi="Book Antiqua"/>
          <w:noProof/>
          <w:lang w:val="id-ID"/>
        </w:rPr>
        <w:t>(</w:t>
      </w:r>
      <w:r w:rsidR="008D07FE" w:rsidRPr="00E41D9E">
        <w:rPr>
          <w:rStyle w:val="e24kjd"/>
          <w:rFonts w:asciiTheme="majorBidi" w:hAnsiTheme="majorBidi" w:cstheme="majorBidi"/>
          <w:noProof/>
        </w:rPr>
        <w:t>Pertiwi &amp; Pratama, 2011</w:t>
      </w:r>
      <w:r w:rsidR="008D07FE">
        <w:rPr>
          <w:rStyle w:val="e24kjd"/>
          <w:rFonts w:asciiTheme="majorBidi" w:hAnsiTheme="majorBidi" w:cstheme="majorBidi"/>
          <w:noProof/>
        </w:rPr>
        <w:t xml:space="preserve">; </w:t>
      </w:r>
      <w:r w:rsidR="003E10B7" w:rsidRPr="003E10B7">
        <w:rPr>
          <w:rFonts w:ascii="Book Antiqua" w:hAnsi="Book Antiqua"/>
          <w:noProof/>
          <w:lang w:val="id-ID"/>
        </w:rPr>
        <w:t>Mangesti Rahayu, 2019)</w:t>
      </w:r>
      <w:r w:rsidR="003E10B7" w:rsidRPr="003E10B7">
        <w:rPr>
          <w:rFonts w:ascii="Book Antiqua" w:hAnsi="Book Antiqua"/>
          <w:lang w:val="en-US"/>
        </w:rPr>
        <w:fldChar w:fldCharType="end"/>
      </w:r>
      <w:r w:rsidR="003E10B7" w:rsidRPr="003E10B7">
        <w:rPr>
          <w:rFonts w:ascii="Book Antiqua" w:hAnsi="Book Antiqua"/>
          <w:lang w:val="id-ID"/>
        </w:rPr>
        <w:t>.</w:t>
      </w:r>
      <w:r w:rsidR="00D95D96">
        <w:rPr>
          <w:rFonts w:ascii="Book Antiqua" w:hAnsi="Book Antiqua"/>
          <w:lang w:val="en-US"/>
        </w:rPr>
        <w:t xml:space="preserve"> </w:t>
      </w:r>
      <w:r w:rsidRPr="00E1706D">
        <w:rPr>
          <w:rFonts w:ascii="Book Antiqua" w:hAnsi="Book Antiqua"/>
          <w:lang w:val="id-ID"/>
        </w:rPr>
        <w:t>The financial performance of Islamic banking is a picture of the results of the financial condition of the utilization of resources and operational activities in accordance with the Sharia principles of Islamic banking.</w:t>
      </w:r>
    </w:p>
    <w:p w14:paraId="33B3ED84" w14:textId="5717CCF0" w:rsidR="002068FF" w:rsidRDefault="00E1706D" w:rsidP="002068FF">
      <w:pPr>
        <w:pStyle w:val="IEEEParagraph"/>
        <w:ind w:firstLine="720"/>
        <w:rPr>
          <w:rFonts w:ascii="Book Antiqua" w:hAnsi="Book Antiqua"/>
          <w:color w:val="000000" w:themeColor="text1"/>
          <w:lang w:val="id-ID"/>
        </w:rPr>
      </w:pPr>
      <w:r w:rsidRPr="00E1706D">
        <w:rPr>
          <w:rFonts w:ascii="Book Antiqua" w:hAnsi="Book Antiqua"/>
          <w:color w:val="000000" w:themeColor="text1"/>
          <w:lang w:val="en-US"/>
        </w:rPr>
        <w:t>Furthermore, financial performance can be measured using profitability proxied using Return On Assets (ROA)</w:t>
      </w:r>
      <w:r w:rsidR="002068FF" w:rsidRPr="002068FF">
        <w:rPr>
          <w:rFonts w:ascii="Book Antiqua" w:hAnsi="Book Antiqua"/>
          <w:color w:val="000000" w:themeColor="text1"/>
          <w:lang w:val="id-ID"/>
        </w:rPr>
        <w:t xml:space="preserve"> </w:t>
      </w:r>
      <w:r w:rsidR="002068FF" w:rsidRPr="002068FF">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w:instrText>
      </w:r>
      <w:r w:rsidR="00154795">
        <w:rPr>
          <w:rFonts w:ascii="Book Antiqua" w:hAnsi="Book Antiqua" w:hint="eastAsia"/>
          <w:color w:val="000000" w:themeColor="text1"/>
          <w:lang w:val="id-ID"/>
        </w:rPr>
        <w:instrText xml:space="preserve">ic, the success rate (RMSD </w:instrText>
      </w:r>
      <w:r w:rsidR="00154795">
        <w:rPr>
          <w:rFonts w:ascii="Book Antiqua" w:hAnsi="Book Antiqua" w:hint="eastAsia"/>
          <w:color w:val="000000" w:themeColor="text1"/>
          <w:lang w:val="id-ID"/>
        </w:rPr>
        <w:instrText>≤</w:instrText>
      </w:r>
      <w:r w:rsidR="00154795">
        <w:rPr>
          <w:rFonts w:ascii="Book Antiqua" w:hAnsi="Book Antiqua" w:hint="eastAsia"/>
          <w:color w:val="000000" w:themeColor="text1"/>
          <w:lang w:val="id-ID"/>
        </w:rPr>
        <w:instrText xml:space="preserve"> 2.0 Å for the interface backbone atoms) increased from 21% with default Glide SP settings to 58% with the enhanced peptide sampling and scoring protocol in the case of redocking to the native protein structure. This approaches</w:instrText>
      </w:r>
      <w:r w:rsidR="00154795">
        <w:rPr>
          <w:rFonts w:ascii="Book Antiqua" w:hAnsi="Book Antiqua"/>
          <w:color w:val="000000" w:themeColor="text1"/>
          <w:lang w:val="id-ID"/>
        </w:rPr>
        <w:instrText xml:space="preserve">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djijah","given":"Slamet","non-dropping-particle":"","parse-names":false,"suffix":""},{"dropping-particle":"","family":"Khalid","given":"Zulvia","non-dropping-particle":"","parse-names":false,"suffix":""},{"dropping-particle":"","family":"Astuti","given":"Diah Ayu Sekar","non-dropping-particle":"","parse-names":false,"suffix":""}],"container-title":"Jurnal Akuntansi dan Keuangan","id":"ITEM-1","issue":"1","issued":{"date-parts":[["2019"]]},"page":"2252-7141","title":"Pengaruh Kinerja Keuangan dan Struktur Modal Terhadap Nilai Perusahaan yang Dimoderasi Variabel Ukuran Perusahaan","type":"article-journal","volume":"8"},"uris":["http://www.mendeley.com/documents/?uuid=630b87f7-b83e-4570-9389-5a612b3dd63c","http://www.mendeley.com/documents/?uuid=1e0c4344-79f5-44fa-836d-23851d1745bb"]}],"mendeley":{"formattedCitation":"(Mudjijah et al., 2019)","manualFormatting":"(Mudjijah, dkk., 2019)","plainTextFormattedCitation":"(Mudjijah et al., 2019)","previouslyFormattedCitation":"(Mudjijah et al., 2019)"},"properties":{"noteIndex":0},"schema":"https://github.com/citation-style-language/schema/raw/master/csl-citation.json"}</w:instrText>
      </w:r>
      <w:r w:rsidR="002068FF" w:rsidRPr="002068FF">
        <w:rPr>
          <w:rFonts w:ascii="Book Antiqua" w:hAnsi="Book Antiqua"/>
          <w:color w:val="000000" w:themeColor="text1"/>
          <w:lang w:val="id-ID"/>
        </w:rPr>
        <w:fldChar w:fldCharType="separate"/>
      </w:r>
      <w:r w:rsidR="002068FF" w:rsidRPr="002068FF">
        <w:rPr>
          <w:rFonts w:ascii="Book Antiqua" w:hAnsi="Book Antiqua"/>
          <w:noProof/>
          <w:color w:val="000000" w:themeColor="text1"/>
          <w:lang w:val="id-ID"/>
        </w:rPr>
        <w:t>(Mudjijah, dkk., 2019)</w:t>
      </w:r>
      <w:r w:rsidR="002068FF" w:rsidRPr="002068FF">
        <w:rPr>
          <w:rFonts w:ascii="Book Antiqua" w:hAnsi="Book Antiqua"/>
          <w:color w:val="000000" w:themeColor="text1"/>
          <w:lang w:val="en-US"/>
        </w:rPr>
        <w:fldChar w:fldCharType="end"/>
      </w:r>
      <w:r w:rsidR="002068FF" w:rsidRPr="002068FF">
        <w:rPr>
          <w:rFonts w:ascii="Book Antiqua" w:hAnsi="Book Antiqua"/>
          <w:color w:val="000000" w:themeColor="text1"/>
          <w:lang w:val="id-ID"/>
        </w:rPr>
        <w:t xml:space="preserve">. </w:t>
      </w:r>
      <w:r w:rsidRPr="00E1706D">
        <w:rPr>
          <w:rFonts w:ascii="Book Antiqua" w:hAnsi="Book Antiqua"/>
          <w:color w:val="000000" w:themeColor="text1"/>
          <w:lang w:val="id-ID"/>
        </w:rPr>
        <w:t xml:space="preserve">ROA is a profitability ratio that shows the comparison between profit before tax and the bank's total assets, which describes the level of efficiency of asset management </w:t>
      </w:r>
      <w:r w:rsidRPr="00E1706D">
        <w:rPr>
          <w:rFonts w:ascii="Book Antiqua" w:hAnsi="Book Antiqua"/>
          <w:color w:val="000000" w:themeColor="text1"/>
          <w:lang w:val="id-ID"/>
        </w:rPr>
        <w:lastRenderedPageBreak/>
        <w:t>carried out by the bank in question. The higher the ROA indicates that the profitability or financial performance of Islamic banking is getting better.</w:t>
      </w:r>
    </w:p>
    <w:p w14:paraId="209A9052" w14:textId="4304FC96" w:rsidR="00C35921" w:rsidRDefault="00E1706D" w:rsidP="002068FF">
      <w:pPr>
        <w:pStyle w:val="IEEEParagraph"/>
        <w:ind w:firstLine="720"/>
        <w:rPr>
          <w:rFonts w:ascii="Book Antiqua" w:hAnsi="Book Antiqua"/>
          <w:color w:val="000000" w:themeColor="text1"/>
          <w:lang w:val="id-ID"/>
        </w:rPr>
      </w:pPr>
      <w:r w:rsidRPr="00E1706D">
        <w:rPr>
          <w:rFonts w:ascii="Book Antiqua" w:hAnsi="Book Antiqua"/>
          <w:color w:val="000000" w:themeColor="text1"/>
          <w:lang w:val="en-US"/>
        </w:rPr>
        <w:t xml:space="preserve">Basically, </w:t>
      </w:r>
      <w:proofErr w:type="spellStart"/>
      <w:r w:rsidRPr="00E1706D">
        <w:rPr>
          <w:rFonts w:ascii="Book Antiqua" w:hAnsi="Book Antiqua"/>
          <w:color w:val="000000" w:themeColor="text1"/>
          <w:lang w:val="en-US"/>
        </w:rPr>
        <w:t>islamic</w:t>
      </w:r>
      <w:proofErr w:type="spellEnd"/>
      <w:r w:rsidRPr="00E1706D">
        <w:rPr>
          <w:rFonts w:ascii="Book Antiqua" w:hAnsi="Book Antiqua"/>
          <w:color w:val="000000" w:themeColor="text1"/>
          <w:lang w:val="en-US"/>
        </w:rPr>
        <w:t xml:space="preserve"> banking financial performance can be supported by various dimensions, including Financing Provided (PYD), Third Party Funds (DPK), and Assets. This dimension is an important component of Islamic banking in increasing profit or profitability. So that good financial performance from Islamic banking can increase public confidence in the use of Islamic banking services which will affect the number of deposits, PYD and Islamic banking assets. This is because the good performance of the company can increase customer loyalty to the products or services owned by the company</w:t>
      </w:r>
      <w:r w:rsidR="00C35921" w:rsidRPr="00C35921">
        <w:rPr>
          <w:rFonts w:ascii="Book Antiqua" w:hAnsi="Book Antiqua"/>
          <w:color w:val="000000" w:themeColor="text1"/>
          <w:lang w:val="id-ID"/>
        </w:rPr>
        <w:t xml:space="preserve"> </w:t>
      </w:r>
      <w:r w:rsidR="00C35921" w:rsidRPr="00C35921">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{"citationItems":[{"id":"ITEM-1","itemData":{"author":[{"dropping-particle":"","family":"Martilla","given":"John A","non-dropping-particle":"","parse-names":false,"suffix":""},{"dropping-particle":"","family":"James","given":"John C","non-dropping-particle":"","parse-names":false,"suffix":""}],"container-title":"Journal of Marketing","id":"ITEM-1","issue":"4","issued":{"date-parts":[["1977"]]},"page":"77 - 79","title":"Importance-Performance Analysis : An easily-applied technique for measuring attribute importance and performance can further the development of effective marketing programs","type":"article-journal","volume":"2"},"uris":["http://www.mendeley.com/documents/?uuid=501bbe96-b984-455d-bfd8-9c35f1c0deff","http://www.mendeley.com/documents/?uuid=a77670cf-5d92-41c4-a7d5-36ed78400c46"]}],"mendeley":{"formattedCitation":"(Martilla &amp; James, 1977)","plainTextFormattedCitation":"(Martilla &amp; James, 1977)","previouslyFormattedCitation":"(Martilla &amp; James, 1977)"},"properties":{"noteIndex":0},"schema":"https://github.com/citation-style-language/schema/raw/master/csl-citation.json"}</w:instrText>
      </w:r>
      <w:r w:rsidR="00C35921" w:rsidRPr="00C35921">
        <w:rPr>
          <w:rFonts w:ascii="Book Antiqua" w:hAnsi="Book Antiqua"/>
          <w:color w:val="000000" w:themeColor="text1"/>
          <w:lang w:val="id-ID"/>
        </w:rPr>
        <w:fldChar w:fldCharType="separate"/>
      </w:r>
      <w:r w:rsidR="00C35921" w:rsidRPr="00C35921">
        <w:rPr>
          <w:rFonts w:ascii="Book Antiqua" w:hAnsi="Book Antiqua"/>
          <w:noProof/>
          <w:color w:val="000000" w:themeColor="text1"/>
          <w:lang w:val="id-ID"/>
        </w:rPr>
        <w:t>(Martilla &amp; James, 1977)</w:t>
      </w:r>
      <w:r w:rsidR="00C35921" w:rsidRPr="00C35921">
        <w:rPr>
          <w:rFonts w:ascii="Book Antiqua" w:hAnsi="Book Antiqua"/>
          <w:color w:val="000000" w:themeColor="text1"/>
          <w:lang w:val="id-ID"/>
        </w:rPr>
        <w:fldChar w:fldCharType="end"/>
      </w:r>
      <w:r w:rsidR="00C35921" w:rsidRPr="00C35921">
        <w:rPr>
          <w:rFonts w:ascii="Book Antiqua" w:hAnsi="Book Antiqua"/>
          <w:color w:val="000000" w:themeColor="text1"/>
          <w:lang w:val="id-ID"/>
        </w:rPr>
        <w:t>.</w:t>
      </w:r>
    </w:p>
    <w:p w14:paraId="4917E390" w14:textId="2D4C237E" w:rsidR="000770B4" w:rsidRDefault="00E1706D" w:rsidP="002068FF">
      <w:pPr>
        <w:pStyle w:val="IEEEParagraph"/>
        <w:ind w:firstLine="720"/>
        <w:rPr>
          <w:rFonts w:ascii="Book Antiqua" w:hAnsi="Book Antiqua"/>
          <w:color w:val="000000" w:themeColor="text1"/>
          <w:lang w:val="id-ID"/>
        </w:rPr>
      </w:pPr>
      <w:r w:rsidRPr="00E1706D">
        <w:rPr>
          <w:rFonts w:ascii="Book Antiqua" w:hAnsi="Book Antiqua"/>
          <w:color w:val="000000" w:themeColor="text1"/>
          <w:lang w:val="id-ID"/>
        </w:rPr>
        <w:t>During the period 2014 to 2018, according to the statistical report of Islamic banking, the Financial Services Authority (OJK), the growth of PYD, deposits and assets fluctuated but tended to slow down. A significant slowdown of the three occurred in 2015, namely from PYD growth of 18.53% to 6.35%, deposits from 8.37% to 7.06% and assets from 12.42% to 8.99%. However, in 2016 the growth of PYD, deposits and assets increased to 20.84%, 16.41% and 20.28%, respectively. However, from 2017 to 2018, the three indicators experienced a slowdown, namely from PYD growth of 19.89%. In 2017 to 11.14% in 2018, deposits from 15.24% in 2017 to 12.21% in 2018 and Assets from 18.97% in 2017 to 12.57% in 2018</w:t>
      </w:r>
      <w:r w:rsidR="00443F62" w:rsidRPr="00443F62">
        <w:rPr>
          <w:rFonts w:ascii="Book Antiqua" w:hAnsi="Book Antiqua"/>
          <w:color w:val="000000" w:themeColor="text1"/>
          <w:lang w:val="id-ID"/>
        </w:rPr>
        <w:t>.</w:t>
      </w:r>
    </w:p>
    <w:p w14:paraId="1AB7DE35" w14:textId="2F3DFC68" w:rsidR="00C15206" w:rsidRDefault="00E1706D" w:rsidP="00C15206">
      <w:pPr>
        <w:pStyle w:val="IEEEParagraph"/>
        <w:ind w:firstLine="720"/>
        <w:rPr>
          <w:rFonts w:ascii="Book Antiqua" w:hAnsi="Book Antiqua"/>
          <w:color w:val="000000" w:themeColor="text1"/>
          <w:lang w:val="id-ID"/>
        </w:rPr>
      </w:pPr>
      <w:r w:rsidRPr="00E1706D">
        <w:rPr>
          <w:rFonts w:ascii="Book Antiqua" w:hAnsi="Book Antiqua"/>
          <w:color w:val="000000" w:themeColor="text1"/>
          <w:lang w:val="en-US"/>
        </w:rPr>
        <w:t xml:space="preserve">However, this research seeks to trace financial performance through other dimensions, namely Intellectual Capital (IC) and Good Corporate Governance (GCG). This research seeks to shift the paradigm of improving financial performance from optimizing management of tangible assets to optimizing the management of intangible assets, in the form of knowledge and governance assets. </w:t>
      </w:r>
      <w:r w:rsidR="008E4420" w:rsidRPr="008E442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{"citationItems":[{"id":"ITEM-1","itemData":{"DOI":"10.1108/JMD-01-2019-0020","ISSN":"02621711","abstract":"Purpose: Intellectual capital (IC) is considered as a lifeblood of the high-tech and knowledge-based sectors. Therefore, there is a great need to highlight the importance of IC in the banking sector. Since the banking sector in the gulf countries is mainly based on Islamic and conventional banking, the purpose of this paper is to provide a comparative empirical analysis between IC efficiency in Islamic and conventional banks, and its impacts on a bank’s operational, financial and market performance. Design/methodology/approach: This study examined 59 banks for five years to end up with 295 observations. The independent variable is the modified value added IC components; the dependent variables are performance indicators (return on assets, return on equity and Tobin’s Q). Two control variables are utilized in this study: bank-specific and macroeconomic. Findings: The findings deduced from the empirical results demonstrate that there is a positive relationship between IC efficiency and financial performance (ROE) and market performance (TQ) in Islamic banks. However, in conventional banks, there is a positive relationship between IC and operational performance (ROE) and financial performance (ROE). Originality/value: The results of this study can be used to present a successful model for the Islamic and conventional banks to concentrate more on the role of IC in enhancing the bank’s performance. In addition, the results of this study may provide a wake-up call for Islamic banks to examine the reasons for the imperfect relationship between the IC and asset efficiency (ROA), as well as for conventional banks to examine the reasons for an imperfect relationship between the IC and market value (TQ).","author":[{"dropping-particle":"","family":"Buallay","given":"Amina","non-dropping-particle":"","parse-names":false,"suffix":""}],"container-title":"Journal of Management Development","id":"ITEM-1","issue":"7","issued":{"date-parts":[["2019"]]},"page":"518-537","title":"Intellectual capital and performance of Islamic and conventional banking: Empirical evidence from Gulf Cooperative Council countries","type":"article-journal","volume":"38"},"uris":["http://www.mendeley.com/documents/?uuid=e2922585-1e85-4ab2-bc6b-35763a053c4e","http://www.mendeley.com/documents/?uuid=09abe470-bdde-4395-9c18-c740f3f039e8"]}],"mendeley":{"formattedCitation":"(Buallay, 2019)","plainTextFormattedCitation":"(Buallay, 2019)","previouslyFormattedCitation":"(Buallay, 2019)"},"properties":{"noteIndex":0},"schema":"https://github.com/citation-style-language/schema/raw/master/csl-citation.json"}</w:instrText>
      </w:r>
      <w:r w:rsidR="008E4420" w:rsidRPr="008E4420">
        <w:rPr>
          <w:rFonts w:ascii="Book Antiqua" w:hAnsi="Book Antiqua"/>
          <w:color w:val="000000" w:themeColor="text1"/>
          <w:lang w:val="id-ID"/>
        </w:rPr>
        <w:fldChar w:fldCharType="separate"/>
      </w:r>
      <w:r w:rsidR="008E4420" w:rsidRPr="008E4420">
        <w:rPr>
          <w:rFonts w:ascii="Book Antiqua" w:hAnsi="Book Antiqua"/>
          <w:noProof/>
          <w:color w:val="000000" w:themeColor="text1"/>
          <w:lang w:val="id-ID"/>
        </w:rPr>
        <w:t>(Buallay, 2019)</w:t>
      </w:r>
      <w:r w:rsidR="008E4420" w:rsidRPr="008E4420">
        <w:rPr>
          <w:rFonts w:ascii="Book Antiqua" w:hAnsi="Book Antiqua"/>
          <w:color w:val="000000" w:themeColor="text1"/>
          <w:lang w:val="en-US"/>
        </w:rPr>
        <w:fldChar w:fldCharType="end"/>
      </w:r>
      <w:r w:rsidR="008E4420" w:rsidRPr="008E4420">
        <w:rPr>
          <w:rFonts w:ascii="Book Antiqua" w:hAnsi="Book Antiqua"/>
          <w:color w:val="000000" w:themeColor="text1"/>
          <w:lang w:val="id-ID"/>
        </w:rPr>
        <w:t>.</w:t>
      </w:r>
      <w:r w:rsidR="00C15206">
        <w:rPr>
          <w:rFonts w:ascii="Book Antiqua" w:hAnsi="Book Antiqua"/>
          <w:color w:val="000000" w:themeColor="text1"/>
          <w:lang w:val="en-US"/>
        </w:rPr>
        <w:t xml:space="preserve"> </w:t>
      </w:r>
      <w:r w:rsidRPr="00E1706D">
        <w:rPr>
          <w:rFonts w:ascii="Book Antiqua" w:hAnsi="Book Antiqua"/>
          <w:color w:val="000000" w:themeColor="text1"/>
          <w:lang w:val="id-ID"/>
        </w:rPr>
        <w:t>Knowledge becomes the strength of an organization in increasing competitiveness</w:t>
      </w:r>
      <w:r w:rsidR="00C15206" w:rsidRPr="00C15206">
        <w:rPr>
          <w:rFonts w:ascii="Book Antiqua" w:hAnsi="Book Antiqua"/>
          <w:color w:val="000000" w:themeColor="text1"/>
          <w:lang w:val="id-ID"/>
        </w:rPr>
        <w:t xml:space="preserve"> (</w:t>
      </w:r>
      <w:r w:rsidR="00C15206" w:rsidRPr="00C15206">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{"citationItems":[{"id":"ITEM-1","itemData":{"DOI":"10.1108/JKM-06-2013-0232","ISSN":"13673270","abstract":"Purpose: This paper aims to review ethical issues inherent in the theorisation and practice of knowledge management (KM) with specific attention to the conflict of knowledge ownership between organisations and individual employees. Design/methodology/approach: Relevant literature was identified and reviewed via EPSCO host and ISIWeb. Findings: The paper notes that knowledge, although rooted in individuals, is often claimed or treated as owned by organisations, creating a conflict of knowledge ownership. The paper argues that such an approach to appropriation and management of knowledge leads to tension in knowledge processes between organisations and individuals, and also among individuals. This situation may, in turn, jeopardise individuals' knowledge processing behaviours, and pose difficulties to organisations in managing knowledge effectively. Research limitations/implications: Offers a number of potential research questions that may be turned into research hypotheses and assessed experimentally to refine and develop an ethical approach to KM. Practical implications: Highlights the need for a renewed moral contract between individuals and organisations, built on ethical constructs of trust, fairness, and justice, which may in turn lead to effective KM practices. Originality/value: Offers an original conceptual approach to understand and resolve the conflict of knowledge ownership between organizations and individuals. © Emerald Group Publishing Limited.","author":[{"dropping-particle":"","family":"Rechberg","given":"Isabel","non-dropping-particle":"","parse-names":false,"suffix":""},{"dropping-particle":"","family":"Syed","given":"Jawad","non-dropping-particle":"","parse-names":false,"suffix":""}],"container-title":"Journal of Knowledge Management","id":"ITEM-1","issue":"6","issued":{"date-parts":[["2013"]]},"page":"828-847","title":"Ethical issues in knowledge management: Conflict of knowledge ownership","type":"article-journal","volume":"17"},"uris":["http://www.mendeley.com/documents/?uuid=d23e2dd5-406b-4c6a-8e84-97ee8888e7cd","http://www.mendeley.com/documents/?uuid=e6a11223-8888-44c0-bbd2-9149587ba7d0"]}],"mendeley":{"formattedCitation":"(Rechberg &amp; Syed, 2013)","manualFormatting":"Rechberg &amp; Syed, 2013)","plainTextFormattedCitation":"(Rechberg &amp; Syed, 2013)","previouslyFormattedCitation":"(Rechberg &amp; Syed, 2013)"},"properties":{"noteIndex":0},"schema":"https://github.com/citation-style-language/schema/raw/master/csl-citation.json"}</w:instrText>
      </w:r>
      <w:r w:rsidR="00C15206" w:rsidRPr="00C15206">
        <w:rPr>
          <w:rFonts w:ascii="Book Antiqua" w:hAnsi="Book Antiqua"/>
          <w:color w:val="000000" w:themeColor="text1"/>
          <w:lang w:val="id-ID"/>
        </w:rPr>
        <w:fldChar w:fldCharType="separate"/>
      </w:r>
      <w:r w:rsidR="00C15206" w:rsidRPr="00C15206">
        <w:rPr>
          <w:rFonts w:ascii="Book Antiqua" w:hAnsi="Book Antiqua"/>
          <w:noProof/>
          <w:color w:val="000000" w:themeColor="text1"/>
          <w:lang w:val="id-ID"/>
        </w:rPr>
        <w:t>Rechberg &amp; Syed, 2013)</w:t>
      </w:r>
      <w:r w:rsidR="00C15206" w:rsidRPr="00C15206">
        <w:rPr>
          <w:rFonts w:ascii="Book Antiqua" w:hAnsi="Book Antiqua"/>
          <w:color w:val="000000" w:themeColor="text1"/>
          <w:lang w:val="en-US"/>
        </w:rPr>
        <w:fldChar w:fldCharType="end"/>
      </w:r>
      <w:r w:rsidR="00C15206" w:rsidRPr="00C15206">
        <w:rPr>
          <w:rFonts w:ascii="Book Antiqua" w:hAnsi="Book Antiqua"/>
          <w:color w:val="000000" w:themeColor="text1"/>
          <w:lang w:val="id-ID"/>
        </w:rPr>
        <w:t xml:space="preserve">. </w:t>
      </w:r>
      <w:r w:rsidRPr="00E1706D">
        <w:rPr>
          <w:rFonts w:ascii="Book Antiqua" w:hAnsi="Book Antiqua"/>
          <w:color w:val="000000" w:themeColor="text1"/>
          <w:lang w:val="id-ID"/>
        </w:rPr>
        <w:t xml:space="preserve">Where it is considered as capital that needs to be developed in an organization as an effort to improve performance </w:t>
      </w:r>
      <w:r w:rsidR="00C15206" w:rsidRPr="00C15206">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 xml:space="preserve">ADDIN CSL_CITATION {"citationItems":[{"id":"ITEM-1","itemData":{"DOI":"10.5430/afr.v2n4p120","ISSN":"1927-5986","abstract":"This paper: </w:instrText>
      </w:r>
      <w:r w:rsidR="00154795">
        <w:rPr>
          <w:rFonts w:ascii="Book Antiqua" w:hAnsi="Book Antiqua"/>
          <w:color w:val="000000" w:themeColor="text1"/>
          <w:lang w:val="id-ID"/>
        </w:rPr>
        <w:instrText xml:space="preserve"> Obtains measures of intellectual capital performance for quoted banks in selected European countries () during the 2004-2007 period; </w:instrText>
      </w:r>
      <w:r w:rsidR="00154795">
        <w:rPr>
          <w:rFonts w:ascii="Book Antiqua" w:hAnsi="Book Antiqua"/>
          <w:color w:val="000000" w:themeColor="text1"/>
          <w:lang w:val="id-ID"/>
        </w:rPr>
        <w:instrText xml:space="preserve"> Investigates empirically the relationship between (i) the efficiency of value creation and (ii) bank market valuation and financial performance; </w:instrText>
      </w:r>
      <w:r w:rsidR="00154795">
        <w:rPr>
          <w:rFonts w:ascii="Book Antiqua" w:hAnsi="Book Antiqua"/>
          <w:color w:val="000000" w:themeColor="text1"/>
          <w:lang w:val="id-ID"/>
        </w:rPr>
        <w:instrText xml:space="preserve"> Tests the effects of intellectual capital performance on profitability and evaluates whether or not intellectual capital can be considered a decision-making factor for investors. Using data drawn from public annual reports and Ante Pulic's Value Added Intellectual Coefficient (VAIC) as a measure of the efficiency of capital employed and intellectual capital, the study uses regression models to examine the relationship between corporate value-creation efficiency and a firms' market-to-book value ratios and corporate value-creation efficiency. Some important findings include: </w:instrText>
      </w:r>
      <w:r w:rsidR="00154795">
        <w:rPr>
          <w:rFonts w:ascii="Book Antiqua" w:hAnsi="Book Antiqua"/>
          <w:color w:val="000000" w:themeColor="text1"/>
          <w:lang w:val="id-ID"/>
        </w:rPr>
        <w:instrText xml:space="preserve"> The determination of correlation, if any, between the financial performance of the banks and their VAIC. </w:instrText>
      </w:r>
      <w:r w:rsidR="00154795">
        <w:rPr>
          <w:rFonts w:ascii="Book Antiqua" w:hAnsi="Book Antiqua"/>
          <w:color w:val="000000" w:themeColor="text1"/>
          <w:lang w:val="id-ID"/>
        </w:rPr>
        <w:instrText xml:space="preserve"> The determination of the Italian bank efficiency in the use of intellectual capital in relation to some other European competitors. </w:instrText>
      </w:r>
      <w:r w:rsidR="00154795">
        <w:rPr>
          <w:rFonts w:ascii="Book Antiqua" w:hAnsi="Book Antiqua"/>
          <w:color w:val="000000" w:themeColor="text1"/>
          <w:lang w:val="id-ID"/>
        </w:rPr>
        <w:instrText xml:space="preserve"> The validation of the assumption as to whether or not investors place higher value on firms with greater intellectual capital. The research limitations/implications include: </w:instrText>
      </w:r>
      <w:r w:rsidR="00154795">
        <w:rPr>
          <w:rFonts w:ascii="Book Antiqua" w:hAnsi="Book Antiqua"/>
          <w:color w:val="000000" w:themeColor="text1"/>
          <w:lang w:val="id-ID"/>
        </w:rPr>
        <w:instrText xml:space="preserve"> The failure of the study to consider all banks operating in the countries analyzed (due to insufficient data, mainly for unlisted banks) and the limited time period of three years. Practical implications of the analysis include: </w:instrText>
      </w:r>
      <w:r w:rsidR="00154795">
        <w:rPr>
          <w:rFonts w:ascii="Book Antiqua" w:hAnsi="Book Antiqua"/>
          <w:color w:val="000000" w:themeColor="text1"/>
          <w:lang w:val="id-ID"/>
        </w:rPr>
        <w:instrText> The results can assist the managers of the respective banks in benchmarking their positions regarding intellectual capital. The study might also assist policymakers in formulating and implementing policy regarding intellectual capital development, while it may also aid investors in modifying investment strategies.","author":[{"dropping-particle":"","family":"Gigante","given":"Gimede","non-dropping-particle":"","parse-names":false,"suffix":""}],"container-title":"Accounting and Finance Research","id":"ITEM-1","issue":"4","issued":{"date-parts":[["2013"]]},"page":"120-129","title":"Intellectual Capital and Bank Performance in Europe","type":"article-journal","volume":"2"},"uris":["http://www.mendeley.com/documents/?uuid=6fc0dc69-7604-4beb-99fc-80453ce3e4ce","http://www.mendeley.com/documents/?uuid=c4d3d94c-1eb7-48d0-99ca-9827c7eef37f"]}],"mendeley":{"formattedCitation":"(Gigante, 2013)","plainTextFormattedCitation":"(Gigante, 2013)","previouslyFormattedCitation":"(Gigante, 2013)"},"properties":{"noteIndex":0},"schema":"https://github.com/citation-style-language/schema/raw/master/csl-citation.json"}</w:instrText>
      </w:r>
      <w:r w:rsidR="00C15206" w:rsidRPr="00C15206">
        <w:rPr>
          <w:rFonts w:ascii="Book Antiqua" w:hAnsi="Book Antiqua"/>
          <w:color w:val="000000" w:themeColor="text1"/>
          <w:lang w:val="id-ID"/>
        </w:rPr>
        <w:fldChar w:fldCharType="separate"/>
      </w:r>
      <w:r w:rsidR="00C15206" w:rsidRPr="00C15206">
        <w:rPr>
          <w:rFonts w:ascii="Book Antiqua" w:hAnsi="Book Antiqua"/>
          <w:noProof/>
          <w:color w:val="000000" w:themeColor="text1"/>
          <w:lang w:val="id-ID"/>
        </w:rPr>
        <w:t>(Gigante, 2013)</w:t>
      </w:r>
      <w:r w:rsidR="00C15206" w:rsidRPr="00C15206">
        <w:rPr>
          <w:rFonts w:ascii="Book Antiqua" w:hAnsi="Book Antiqua"/>
          <w:color w:val="000000" w:themeColor="text1"/>
          <w:lang w:val="en-US"/>
        </w:rPr>
        <w:fldChar w:fldCharType="end"/>
      </w:r>
      <w:r w:rsidR="00C15206" w:rsidRPr="00C15206">
        <w:rPr>
          <w:rFonts w:ascii="Book Antiqua" w:hAnsi="Book Antiqua"/>
          <w:color w:val="000000" w:themeColor="text1"/>
          <w:lang w:val="id-ID"/>
        </w:rPr>
        <w:t xml:space="preserve">. </w:t>
      </w:r>
      <w:r w:rsidRPr="00E1706D">
        <w:rPr>
          <w:rFonts w:ascii="Book Antiqua" w:hAnsi="Book Antiqua"/>
          <w:color w:val="000000" w:themeColor="text1"/>
          <w:lang w:val="id-ID"/>
        </w:rPr>
        <w:t>The Bank is considered a knowledge-intensive company because its operational activities directly interact with customers, namely service delivery, so that existing human resources must have adequate capabilities and knowledge. Therefore, optimizing Intellectual Capital (IC) in banking can increase banking value which will have an impact on banking financial performance.</w:t>
      </w:r>
    </w:p>
    <w:p w14:paraId="7CA10235" w14:textId="4B5B73A6" w:rsidR="00B3494A" w:rsidRPr="00201E1B" w:rsidRDefault="00E1706D" w:rsidP="00B3494A">
      <w:pPr>
        <w:ind w:firstLine="720"/>
        <w:jc w:val="both"/>
        <w:rPr>
          <w:rFonts w:ascii="Book Antiqua" w:hAnsi="Book Antiqua"/>
          <w:lang w:val="id-ID"/>
        </w:rPr>
      </w:pPr>
      <w:r w:rsidRPr="00E1706D">
        <w:rPr>
          <w:rFonts w:ascii="Book Antiqua" w:hAnsi="Book Antiqua"/>
          <w:lang w:val="id-ID"/>
        </w:rPr>
        <w:t xml:space="preserve">As already mentioned, Intellectual Capital (IC) is used as an important part of the development of human resources (Human Capital) or human resources is the most important factor in increasing the competitive capabilities of an Islamic banking organization, therefore it is necessary to carry out human management in order to produce resources that have high performance and productivity for the survival and development of an organization </w:t>
      </w:r>
      <w:r w:rsidR="00B3494A" w:rsidRPr="00201E1B">
        <w:rPr>
          <w:rFonts w:ascii="Book Antiqua" w:hAnsi="Book Antiqua"/>
          <w:lang w:val="en-US"/>
        </w:rPr>
        <w:fldChar w:fldCharType="begin" w:fldLock="1"/>
      </w:r>
      <w:r w:rsidR="00154795">
        <w:rPr>
          <w:rFonts w:ascii="Book Antiqua" w:hAnsi="Book Antiqua"/>
          <w:lang w:val="en-US"/>
        </w:rPr>
        <w:instrText>ADDIN CSL_CITATION {"citationItems":[{"id":"ITEM-1","itemData":{"author":[{"dropping-particle":"","family":"Salam","given":"Abdus","non-dropping-particle":"","parse-names":false,"suffix":""}],"id":"ITEM-1","issued":{"date-parts":[["2014"]]},"publisher":"Pustaka Pelajar","publisher-place":"Yogyakarta","title":"Manajemen Insani Dalam Bisns","type":"book"},"uris":["http://www.mendeley.com/documents/?uuid=bbc15683-32aa-4a9a-a630-2c7be25eb826","http://www.mendeley.com/documents/?uuid=dfcf74c9-54c0-4365-b7a2-791d8531fb82"]}],"mendeley":{"formattedCitation":"(Salam, 2014)","plainTextFormattedCitation":"(Salam, 2014)","previouslyFormattedCitation":"(Salam, 2014)"},"properties":{"noteIndex":0},"schema":"https://github.com/citation-style-language/schema/raw/master/csl-citation.json"}</w:instrText>
      </w:r>
      <w:r w:rsidR="00B3494A" w:rsidRPr="00201E1B">
        <w:rPr>
          <w:rFonts w:ascii="Book Antiqua" w:hAnsi="Book Antiqua"/>
          <w:lang w:val="en-US"/>
        </w:rPr>
        <w:fldChar w:fldCharType="separate"/>
      </w:r>
      <w:r w:rsidR="00B3494A" w:rsidRPr="00201E1B">
        <w:rPr>
          <w:rFonts w:ascii="Book Antiqua" w:hAnsi="Book Antiqua"/>
          <w:noProof/>
          <w:lang w:val="en-US"/>
        </w:rPr>
        <w:t>(Salam, 2014)</w:t>
      </w:r>
      <w:r w:rsidR="00B3494A" w:rsidRPr="00201E1B">
        <w:rPr>
          <w:rFonts w:ascii="Book Antiqua" w:hAnsi="Book Antiqua"/>
        </w:rPr>
        <w:fldChar w:fldCharType="end"/>
      </w:r>
      <w:r w:rsidR="00B3494A" w:rsidRPr="00201E1B">
        <w:rPr>
          <w:rFonts w:ascii="Book Antiqua" w:hAnsi="Book Antiqua"/>
          <w:lang w:val="en-US"/>
        </w:rPr>
        <w:t>.</w:t>
      </w:r>
      <w:r w:rsidR="00B3494A" w:rsidRPr="00201E1B">
        <w:rPr>
          <w:rFonts w:ascii="Book Antiqua" w:hAnsi="Book Antiqua"/>
          <w:lang w:val="id-ID"/>
        </w:rPr>
        <w:t xml:space="preserve"> </w:t>
      </w:r>
      <w:r w:rsidRPr="00E1706D">
        <w:rPr>
          <w:rFonts w:ascii="Book Antiqua" w:hAnsi="Book Antiqua"/>
          <w:lang w:val="id-ID"/>
        </w:rPr>
        <w:t xml:space="preserve">This needs to be done in Islamic banking because according to the OJK (2015) in the 2015-2019 Islamic banking roadmap, it states that the quality of Human </w:t>
      </w:r>
      <w:r w:rsidRPr="00E1706D">
        <w:rPr>
          <w:rFonts w:ascii="Book Antiqua" w:hAnsi="Book Antiqua"/>
          <w:lang w:val="id-ID"/>
        </w:rPr>
        <w:lastRenderedPageBreak/>
        <w:t>Resources (SDI) owned by Islamic banking is inadequate, which is due to the fact that most of the Human Resources (SDI) of Islamic banking come from general disciplines not sharia. So that the availability of Human Resources (SDI) has not met the needs of Islamic banking to Human Resources (SDI) which is able to understand and implement sharia principles in Islamic banking operations.</w:t>
      </w:r>
    </w:p>
    <w:p w14:paraId="5FB34D15" w14:textId="18D11FA0" w:rsidR="00B3494A" w:rsidRDefault="00E1706D" w:rsidP="00B3494A">
      <w:pPr>
        <w:pStyle w:val="IEEEParagraph"/>
        <w:ind w:firstLine="720"/>
        <w:rPr>
          <w:rFonts w:ascii="Book Antiqua" w:hAnsi="Book Antiqua"/>
          <w:lang w:val="id-ID"/>
        </w:rPr>
      </w:pPr>
      <w:r w:rsidRPr="00E1706D">
        <w:rPr>
          <w:rFonts w:ascii="Book Antiqua" w:hAnsi="Book Antiqua"/>
          <w:lang w:val="id-ID"/>
        </w:rPr>
        <w:t xml:space="preserve">Therefore, in fulfilling Human Resources (SDI) in accordance with the needs of Islamic banking, which is qualified and competitive, the efforts that need to be made are to carry out training and development programs to optimize the potential of Intellectual Capital (IC) </w:t>
      </w:r>
      <w:r w:rsidR="00B3494A" w:rsidRPr="00201E1B">
        <w:rPr>
          <w:rFonts w:ascii="Book Antiqua" w:hAnsi="Book Antiqua"/>
          <w:lang w:val="en-US"/>
        </w:rPr>
        <w:fldChar w:fldCharType="begin" w:fldLock="1"/>
      </w:r>
      <w:r w:rsidR="00154795">
        <w:rPr>
          <w:rFonts w:ascii="Book Antiqua" w:hAnsi="Book Antiqua"/>
          <w:lang w:val="id-ID"/>
        </w:rPr>
        <w:instrText>ADDIN CSL_CITATION {"citationItems":[{"id":"ITEM-1","itemData":{"author":[{"dropping-particle":"","family":"Zainal","given":"Rivai Veithzal","non-dropping-particle":"","parse-names":false,"suffix":""},{"dropping-particle":"","family":"Basalamah","given":"Salim","non-dropping-particle":"","parse-names":false,"suffix":""},{"dropping-particle":"","family":"Muhammad","given":"Natsir","non-dropping-particle":"","parse-names":false,"suffix":""}],"id":"ITEM-1","issued":{"date-parts":[["2014"]]},"publisher":"PT. Rajagrafindo Persada","publisher-place":"Depok","title":"Islamic Human Capital Management (Manajemen Sumber Daya Insani: cara tepat dan mudah dalam menerapkan manajemen sumber daya insani dalam perusahaan secara islami.","type":"book"},"uris":["http://www.mendeley.com/documents/?uuid=b261de75-8acb-4e91-9362-4b1169914953","http://www.mendeley.com/documents/?uuid=28fc4475-d7eb-44f9-b7de-358c2239538a"]}],"mendeley":{"formattedCitation":"(Zainal et al., 2014)","plainTextFormattedCitation":"(Zainal et al., 2014)","previouslyFormattedCitation":"(Zainal et al., 2014)"},"properties":{"noteIndex":0},"schema":"https://github.com/citation-style-language/schema/raw/master/csl-citation.json"}</w:instrText>
      </w:r>
      <w:r w:rsidR="00B3494A" w:rsidRPr="00201E1B">
        <w:rPr>
          <w:rFonts w:ascii="Book Antiqua" w:hAnsi="Book Antiqua"/>
          <w:lang w:val="en-US"/>
        </w:rPr>
        <w:fldChar w:fldCharType="separate"/>
      </w:r>
      <w:r w:rsidR="00B3494A" w:rsidRPr="00201E1B">
        <w:rPr>
          <w:rFonts w:ascii="Book Antiqua" w:hAnsi="Book Antiqua"/>
          <w:noProof/>
          <w:lang w:val="id-ID"/>
        </w:rPr>
        <w:t>(Zainal et al., 2014)</w:t>
      </w:r>
      <w:r w:rsidR="00B3494A" w:rsidRPr="00201E1B">
        <w:rPr>
          <w:rFonts w:ascii="Book Antiqua" w:hAnsi="Book Antiqua"/>
        </w:rPr>
        <w:fldChar w:fldCharType="end"/>
      </w:r>
      <w:r w:rsidR="00B3494A" w:rsidRPr="00201E1B">
        <w:rPr>
          <w:rFonts w:ascii="Book Antiqua" w:hAnsi="Book Antiqua"/>
          <w:lang w:val="id-ID"/>
        </w:rPr>
        <w:t xml:space="preserve">. </w:t>
      </w:r>
      <w:r w:rsidRPr="00E1706D">
        <w:rPr>
          <w:rFonts w:ascii="Book Antiqua" w:hAnsi="Book Antiqua"/>
          <w:lang w:val="id-ID"/>
        </w:rPr>
        <w:t>It is intended to produce Human Resources (SDI) with a high level of performance, which will have an impact on the company's performance</w:t>
      </w:r>
      <w:r w:rsidR="00B3494A" w:rsidRPr="00201E1B">
        <w:rPr>
          <w:rFonts w:ascii="Book Antiqua" w:hAnsi="Book Antiqua"/>
          <w:lang w:val="id-ID"/>
        </w:rPr>
        <w:t xml:space="preserve"> </w:t>
      </w:r>
      <w:r w:rsidR="00B3494A" w:rsidRPr="00201E1B">
        <w:rPr>
          <w:rFonts w:ascii="Book Antiqua" w:hAnsi="Book Antiqua"/>
          <w:lang w:val="id-ID"/>
        </w:rPr>
        <w:fldChar w:fldCharType="begin" w:fldLock="1"/>
      </w:r>
      <w:r w:rsidR="00154795">
        <w:rPr>
          <w:rFonts w:ascii="Book Antiqua" w:hAnsi="Book Antiqua"/>
          <w:lang w:val="id-ID"/>
        </w:rPr>
        <w:instrText>ADDIN CSL_CITATION {"citationItems":[{"id":"ITEM-1","itemData":{"author":[{"dropping-particle":"","family":"Lu","given":"Kangyin","non-dropping-particle":"","parse-names":false,"suffix":""},{"dropping-particle":"","family":"Zhu","given":"Jinxia","non-dropping-particle":"","parse-names":false,"suffix":""},{"dropping-particle":"","family":"Bao","given":"Haijun","non-dropping-particle":"","parse-names":false,"suffix":""}],"container-title":"Industrial Management &amp; Data Systems","id":"ITEM-1","issue":"2","issued":{"date-parts":[["2015"]]},"page":"353-382","title":"High-performance human resource management and firm performance: The mediating role of innovation in China.","type":"article-journal","volume":"115"},"uris":["http://www.mendeley.com/documents/?uuid=6899f18c-c394-4fa6-ab36-4413f8cf3cf0","http://www.mendeley.com/documents/?uuid=befc7f86-a182-4e2d-a506-b114c7c87f14"]}],"mendeley":{"formattedCitation":"(Lu et al., 2015)","plainTextFormattedCitation":"(Lu et al., 2015)","previouslyFormattedCitation":"(Lu et al., 2015)"},"properties":{"noteIndex":0},"schema":"https://github.com/citation-style-language/schema/raw/master/csl-citation.json"}</w:instrText>
      </w:r>
      <w:r w:rsidR="00B3494A" w:rsidRPr="00201E1B">
        <w:rPr>
          <w:rFonts w:ascii="Book Antiqua" w:hAnsi="Book Antiqua"/>
          <w:lang w:val="id-ID"/>
        </w:rPr>
        <w:fldChar w:fldCharType="separate"/>
      </w:r>
      <w:r w:rsidR="00B3494A" w:rsidRPr="00201E1B">
        <w:rPr>
          <w:rFonts w:ascii="Book Antiqua" w:hAnsi="Book Antiqua"/>
          <w:noProof/>
          <w:lang w:val="id-ID"/>
        </w:rPr>
        <w:t>(Lu et al., 2015)</w:t>
      </w:r>
      <w:r w:rsidR="00B3494A" w:rsidRPr="00201E1B">
        <w:rPr>
          <w:rFonts w:ascii="Book Antiqua" w:hAnsi="Book Antiqua"/>
        </w:rPr>
        <w:fldChar w:fldCharType="end"/>
      </w:r>
      <w:r w:rsidR="00B3494A" w:rsidRPr="00201E1B">
        <w:rPr>
          <w:rFonts w:ascii="Book Antiqua" w:hAnsi="Book Antiqua"/>
          <w:lang w:val="id-ID"/>
        </w:rPr>
        <w:t xml:space="preserve">. </w:t>
      </w:r>
      <w:r w:rsidRPr="00E1706D">
        <w:rPr>
          <w:rFonts w:ascii="Book Antiqua" w:hAnsi="Book Antiqua"/>
          <w:lang w:val="id-ID"/>
        </w:rPr>
        <w:t xml:space="preserve">In line with this concept </w:t>
      </w:r>
      <w:r w:rsidR="00B3494A" w:rsidRPr="00201E1B">
        <w:rPr>
          <w:rFonts w:ascii="Book Antiqua" w:hAnsi="Book Antiqua"/>
          <w:lang w:val="en-US"/>
        </w:rPr>
        <w:fldChar w:fldCharType="begin" w:fldLock="1"/>
      </w:r>
      <w:r w:rsidR="00154795">
        <w:rPr>
          <w:rFonts w:ascii="Book Antiqua" w:hAnsi="Book Antiqua"/>
          <w:lang w:val="en-US"/>
        </w:rPr>
        <w:instrText>ADDIN CSL_CITATION {"citationItems":[{"id":"ITEM-1","itemData":{"DOI":"10.5465/ame.1995.9503133495","ISSN":"1558-9080","abstract":"Achieving competitive success through people involves fundamentally altering how we think about the workforce and the employment relationship. It means achieving success by working with people, not by replacing them or limiting the scope of their activities. It entails seeing the workforce as a source of strategic advantage, not just as a cost to be minimized or avoided. Firms that take this different perspective are often able to successfully outmaneuver and outperform their rivals.","author":[{"dropping-particle":"","family":"Pfeffer","given":"J.","non-dropping-particle":"","parse-names":false,"suffix":""}],"container-title":"Academy of Management Perspectives","id":"ITEM-1","issue":"1","issued":{"date-parts":[["1995"]]},"page":"55-69","title":"Producing sustainable competitive advantage through the effective management of people.","type":"article-journal","volume":"9"},"uris":["http://www.mendeley.com/documents/?uuid=68542d5c-76e2-496a-a88b-20fc35fa229f","http://www.mendeley.com/documents/?uuid=b26ab778-f12c-41ff-8a7b-d1fa12e31090"]}],"mendeley":{"formattedCitation":"(Pfeffer, 1995)","manualFormatting":"Pfeffer (1995)","plainTextFormattedCitation":"(Pfeffer, 1995)","previouslyFormattedCitation":"(Pfeffer, 1995)"},"properties":{"noteIndex":0},"schema":"https://github.com/citation-style-language/schema/raw/master/csl-citation.json"}</w:instrText>
      </w:r>
      <w:r w:rsidR="00B3494A" w:rsidRPr="00201E1B">
        <w:rPr>
          <w:rFonts w:ascii="Book Antiqua" w:hAnsi="Book Antiqua"/>
          <w:lang w:val="en-US"/>
        </w:rPr>
        <w:fldChar w:fldCharType="separate"/>
      </w:r>
      <w:r w:rsidR="00B3494A" w:rsidRPr="00201E1B">
        <w:rPr>
          <w:rFonts w:ascii="Book Antiqua" w:hAnsi="Book Antiqua"/>
          <w:noProof/>
          <w:lang w:val="en-US"/>
        </w:rPr>
        <w:t xml:space="preserve">Pfeffer </w:t>
      </w:r>
      <w:r w:rsidR="00B3494A" w:rsidRPr="00201E1B">
        <w:rPr>
          <w:rFonts w:ascii="Book Antiqua" w:hAnsi="Book Antiqua"/>
          <w:noProof/>
          <w:lang w:val="id-ID"/>
        </w:rPr>
        <w:t>(</w:t>
      </w:r>
      <w:r w:rsidR="00B3494A" w:rsidRPr="00201E1B">
        <w:rPr>
          <w:rFonts w:ascii="Book Antiqua" w:hAnsi="Book Antiqua"/>
          <w:noProof/>
          <w:lang w:val="en-US"/>
        </w:rPr>
        <w:t>1995)</w:t>
      </w:r>
      <w:r w:rsidR="00B3494A" w:rsidRPr="00201E1B">
        <w:rPr>
          <w:rFonts w:ascii="Book Antiqua" w:hAnsi="Book Antiqua"/>
        </w:rPr>
        <w:fldChar w:fldCharType="end"/>
      </w:r>
      <w:r w:rsidR="00B3494A" w:rsidRPr="00201E1B">
        <w:rPr>
          <w:rFonts w:ascii="Book Antiqua" w:hAnsi="Book Antiqua"/>
          <w:lang w:val="id-ID"/>
        </w:rPr>
        <w:t xml:space="preserve"> </w:t>
      </w:r>
      <w:r w:rsidRPr="00E1706D">
        <w:rPr>
          <w:rFonts w:ascii="Book Antiqua" w:hAnsi="Book Antiqua"/>
          <w:lang w:val="id-ID"/>
        </w:rPr>
        <w:t xml:space="preserve">It also states that good human resource management will result in a flexible work system that increases the effectiveness of the organization. Improving skills and motivation in employees with strategic planning, namely the recruitment, promotion and reward process, employee training and development programs, and the review process affects the return on assets in the company </w:t>
      </w:r>
      <w:r w:rsidR="00B3494A" w:rsidRPr="00201E1B">
        <w:rPr>
          <w:rFonts w:ascii="Book Antiqua" w:hAnsi="Book Antiqua"/>
          <w:lang w:val="en-US"/>
        </w:rPr>
        <w:fldChar w:fldCharType="begin" w:fldLock="1"/>
      </w:r>
      <w:r w:rsidR="00154795">
        <w:rPr>
          <w:rFonts w:ascii="Book Antiqua" w:hAnsi="Book Antiqua"/>
          <w:lang w:val="en-US"/>
        </w:rPr>
        <w:instrText>ADDIN CSL_CITATION {"citationItems":[{"id":"ITEM-1","itemData":{"DOI":"10.1108/02621711011039231","ISSN":"02621711","abstract":"Purpose: The purpose of this study is to test a model where human resource inputs (e.g. motivation, employee skill) and human resource processes/practices (e.g. training and development; profit sharing) are hypothesized to contribute uniquely and positively to organizational outputs, i.e. job performance and firm performance. Design/methodology/approach: The cross-sectional study consisted of 350 business professionals (91 percent managers; 9 percent consultants) from a midwestern US professional organization who took a battery of survey measures via the internet. Findings: After statistically controlling for the background variables (organizational type, size and status), the hierarchical regression analyses demonstrated that both the human resource inputs and process/practice variables explained statistically significant variance in each of the nine regression models. The effect size in each model was medium to large. Originality/value: The findings illustrate the considerable utility of researchers and managers examining the entire human resource system of an organization when searching for productive leverage points to improve organizational outputs like job and firm performance. The results suggest that human resource managers can have a positive influence on firm performance through implementing and supporting organizational policies and procedures that serve to positively motivate workers (e.g. reasonable incentive compensation and rewards, fair grievance procedures, and performance management), and learning and development activities that stimulate optimal task and contextual job performance. © Emerald Group Publishing Limited.","author":[{"dropping-particle":"","family":"Ferguson","given":"Karen L.","non-dropping-particle":"","parse-names":false,"suffix":""},{"dropping-particle":"","family":"Reio","given":"Thomas G.","non-dropping-particle":"","parse-names":false,"suffix":""}],"container-title":"Journal of Management Development","id":"ITEM-1","issue":"5","issued":{"date-parts":[["2010"]]},"page":"471-494","title":"Human resource management systems and firm performance","type":"article-journal","volume":"29"},"uris":["http://www.mendeley.com/documents/?uuid=632a9657-5a8a-432a-b48c-70f831071cfc","http://www.mendeley.com/documents/?uuid=8d39c85a-16a0-4f11-964e-ce6dd946caf3"]}],"mendeley":{"formattedCitation":"(Ferguson &amp; Reio, 2010)","plainTextFormattedCitation":"(Ferguson &amp; Reio, 2010)","previouslyFormattedCitation":"(Ferguson &amp; Reio, 2010)"},"properties":{"noteIndex":0},"schema":"https://github.com/citation-style-language/schema/raw/master/csl-citation.json"}</w:instrText>
      </w:r>
      <w:r w:rsidR="00B3494A" w:rsidRPr="00201E1B">
        <w:rPr>
          <w:rFonts w:ascii="Book Antiqua" w:hAnsi="Book Antiqua"/>
          <w:lang w:val="en-US"/>
        </w:rPr>
        <w:fldChar w:fldCharType="separate"/>
      </w:r>
      <w:r w:rsidR="00B3494A" w:rsidRPr="00201E1B">
        <w:rPr>
          <w:rFonts w:ascii="Book Antiqua" w:hAnsi="Book Antiqua"/>
          <w:noProof/>
          <w:lang w:val="en-US"/>
        </w:rPr>
        <w:t>(Ferguson &amp; Reio, 2010)</w:t>
      </w:r>
      <w:r w:rsidR="00B3494A" w:rsidRPr="00201E1B">
        <w:rPr>
          <w:rFonts w:ascii="Book Antiqua" w:hAnsi="Book Antiqua"/>
        </w:rPr>
        <w:fldChar w:fldCharType="end"/>
      </w:r>
      <w:r w:rsidR="00B3494A" w:rsidRPr="00201E1B">
        <w:rPr>
          <w:rFonts w:ascii="Book Antiqua" w:hAnsi="Book Antiqua"/>
          <w:lang w:val="id-ID"/>
        </w:rPr>
        <w:t>.</w:t>
      </w:r>
    </w:p>
    <w:p w14:paraId="4C159FD2" w14:textId="4280D570" w:rsidR="00B72214" w:rsidRPr="00B72214" w:rsidRDefault="00E1706D" w:rsidP="00B72214">
      <w:pPr>
        <w:pStyle w:val="IEEEParagraph"/>
        <w:ind w:firstLine="720"/>
        <w:rPr>
          <w:rFonts w:ascii="Book Antiqua" w:hAnsi="Book Antiqua"/>
          <w:color w:val="000000" w:themeColor="text1"/>
          <w:lang w:val="id-ID"/>
        </w:rPr>
      </w:pPr>
      <w:r w:rsidRPr="00E1706D">
        <w:rPr>
          <w:rFonts w:ascii="Book Antiqua" w:hAnsi="Book Antiqua"/>
          <w:color w:val="000000" w:themeColor="text1"/>
          <w:lang w:val="id-ID"/>
        </w:rPr>
        <w:t>Apart from IC optimization, improving the financial performance of Islamic banking can also be done by implementing Good Corporate Governance (GCG), which is a conceptual company management process that includes the implementation of the principles of transparency, accountability, equality and fairness as well as responsibility. Governance practices are influenced by two factors, namely external and internal factors, which include external factors, namely economic, legal, political, socio-cultural, and secondary influence of stakeholders, while those that include internal factors include, board composition, ownership structure, shareholder involvement, disclosure of practices and leadership, of these factors, key stakeholders including managers, directors and shareholders are factors  What affects the most</w:t>
      </w:r>
      <w:r w:rsidR="00B72214" w:rsidRPr="00B72214">
        <w:rPr>
          <w:rFonts w:ascii="Book Antiqua" w:hAnsi="Book Antiqua"/>
          <w:color w:val="000000" w:themeColor="text1"/>
          <w:lang w:val="id-ID"/>
        </w:rPr>
        <w:t xml:space="preserve"> </w:t>
      </w:r>
      <w:r w:rsidR="00B72214" w:rsidRPr="00B72214">
        <w:rPr>
          <w:rFonts w:ascii="Book Antiqua" w:hAnsi="Book Antiqua"/>
          <w:color w:val="000000" w:themeColor="text1"/>
          <w:lang w:val="en-US"/>
        </w:rPr>
        <w:fldChar w:fldCharType="begin" w:fldLock="1"/>
      </w:r>
      <w:r w:rsidR="00154795">
        <w:rPr>
          <w:rFonts w:ascii="Book Antiqua" w:hAnsi="Book Antiqua"/>
          <w:color w:val="000000" w:themeColor="text1"/>
          <w:lang w:val="id-ID"/>
        </w:rPr>
        <w:instrText>ADDIN CSL_CITATION {"citationItems":[{"id":"ITEM-1","itemData":{"DOI":"10.1108/CG-10-2015-0145","ISSN":"14720701","abstract":"Purpose: The purpose of this paper is to investigate the impact of different dimensions of corporate governance practices such as board characteristics, ownership structure, corporate disclosure and CEO education on the operating performance of Russian banks before, during and after financial crises. Based on the findings, it proposes some policy measures for improved governance practices to protect banks from future financial crisis or economic downturns. Design/methodology/approach: The study comprises data from the largest publicly traded Russian banks listed on the Russian Stock Exchange RST for the period. Operating performance data were collected from financial statements, while corporate governance mechanisms were collected from annual reports available on the banks’ websites. Because panel data were used, the panel regression model was used to control unobserved time-constant heterogeneity. Findings: The findings revealed a positive impact of corporate governance on bank performance before and after the financial crisis. The financial crisis enforced Russian banks to improve their corporate governance practices, resulting in better operating performance after the crisis. Surprisingly, the results for the during-crisis period show that better governance did not yield higher operating performance in Russian banks. Originality/value: This is one of the first studies to provide empirical results regarding the relationship between corporate governance practices and bank performance in Russia across different financial crisis periods. The findings revealed the uniqueness of corporate governance scenarios of Russia which could provide important guidelines for other transition economies and emerging markets.","author":[{"dropping-particle":"","family":"Orazalin","given":"Nurlan","non-dropping-particle":"","parse-names":false,"suffix":""},{"dropping-particle":"","family":"Mahmood","given":"Monowar","non-dropping-particle":"","parse-names":false,"suffix":""},{"dropping-particle":"","family":"Jung Lee","given":"Keun","non-dropping-particle":"","parse-names":false,"suffix":""}],"container-title":"Corporate Governance (Bingley)","id":"ITEM-1","issue":"5","issued":{"date-parts":[["2016"]]},"page":"798-814","title":"Corporate governance, financial crises and bank performance: lessons from top Russian banks","type":"article-journal","volume":"16"},"uris":["http://www.mendeley.com/documents/?uuid=e33ea87f-f7dc-4b44-9dfe-73ac51370d93","http://www.mendeley.com/documents/?uuid=4fe345aa-c0a2-4665-98bc-803c13d9ff98"]}],"mendeley":{"formattedCitation":"(Orazalin et al., 2016)","plainTextFormattedCitation":"(Orazalin et al., 2016)","previouslyFormattedCitation":"(Orazalin et al., 2016)"},"properties":{"noteIndex":0},"schema":"https://github.com/citation-style-language/schema/raw/master/csl-citation.json"}</w:instrText>
      </w:r>
      <w:r w:rsidR="00B72214" w:rsidRPr="00B72214">
        <w:rPr>
          <w:rFonts w:ascii="Book Antiqua" w:hAnsi="Book Antiqua"/>
          <w:color w:val="000000" w:themeColor="text1"/>
          <w:lang w:val="en-US"/>
        </w:rPr>
        <w:fldChar w:fldCharType="separate"/>
      </w:r>
      <w:r w:rsidR="00B72214" w:rsidRPr="00B72214">
        <w:rPr>
          <w:rFonts w:ascii="Book Antiqua" w:hAnsi="Book Antiqua"/>
          <w:noProof/>
          <w:color w:val="000000" w:themeColor="text1"/>
          <w:lang w:val="en-US"/>
        </w:rPr>
        <w:t>(Orazalin et al., 2016)</w:t>
      </w:r>
      <w:r w:rsidR="00B72214" w:rsidRPr="00B72214">
        <w:rPr>
          <w:rFonts w:ascii="Book Antiqua" w:hAnsi="Book Antiqua"/>
          <w:color w:val="000000" w:themeColor="text1"/>
          <w:lang w:val="id-ID"/>
        </w:rPr>
        <w:fldChar w:fldCharType="end"/>
      </w:r>
      <w:r w:rsidR="00B72214" w:rsidRPr="00B72214">
        <w:rPr>
          <w:rFonts w:ascii="Book Antiqua" w:hAnsi="Book Antiqua"/>
          <w:color w:val="000000" w:themeColor="text1"/>
          <w:lang w:val="id-ID"/>
        </w:rPr>
        <w:t xml:space="preserve">. </w:t>
      </w:r>
      <w:r w:rsidRPr="00E1706D">
        <w:rPr>
          <w:rFonts w:ascii="Book Antiqua" w:hAnsi="Book Antiqua"/>
          <w:color w:val="000000" w:themeColor="text1"/>
          <w:lang w:val="id-ID"/>
        </w:rPr>
        <w:t>Therefore, in this case it is more focused on the internal environmental factors of Corporate Governance and the interests of key stakeholders.</w:t>
      </w:r>
    </w:p>
    <w:p w14:paraId="3BC45EEF" w14:textId="7DADCFF8" w:rsidR="00B72214" w:rsidRDefault="007B21EE" w:rsidP="00B72214">
      <w:pPr>
        <w:pStyle w:val="IEEEParagraph"/>
        <w:ind w:firstLine="720"/>
        <w:rPr>
          <w:rFonts w:ascii="Book Antiqua" w:hAnsi="Book Antiqua"/>
          <w:color w:val="000000" w:themeColor="text1"/>
          <w:lang w:val="id-ID"/>
        </w:rPr>
      </w:pPr>
      <w:r w:rsidRPr="007B21EE">
        <w:rPr>
          <w:rFonts w:ascii="Book Antiqua" w:hAnsi="Book Antiqua"/>
          <w:color w:val="000000" w:themeColor="text1"/>
          <w:lang w:val="id-ID"/>
        </w:rPr>
        <w:t>The functions of corporate governance refer to the efficiency of the company and reducing conflicts that arise, providing transparency and legitimacy of the company's activities, lowering investment risks and providing high returns for investors, as well as providing a framework for managerial accountability</w:t>
      </w:r>
      <w:r w:rsidR="00B72214" w:rsidRPr="00B72214">
        <w:rPr>
          <w:rFonts w:ascii="Book Antiqua" w:hAnsi="Book Antiqua"/>
          <w:color w:val="000000" w:themeColor="text1"/>
          <w:lang w:val="id-ID"/>
        </w:rPr>
        <w:t xml:space="preserve"> </w:t>
      </w:r>
      <w:r w:rsidR="00B72214" w:rsidRPr="00B72214">
        <w:rPr>
          <w:rFonts w:ascii="Book Antiqua" w:hAnsi="Book Antiqua"/>
          <w:color w:val="000000" w:themeColor="text1"/>
          <w:lang w:val="en-US"/>
        </w:rPr>
        <w:fldChar w:fldCharType="begin" w:fldLock="1"/>
      </w:r>
      <w:r w:rsidR="00154795">
        <w:rPr>
          <w:rFonts w:ascii="Book Antiqua" w:hAnsi="Book Antiqua"/>
          <w:color w:val="000000" w:themeColor="text1"/>
          <w:lang w:val="en-US"/>
        </w:rPr>
        <w:instrText>ADDIN CSL_CITATION {"citationItems":[{"id":"ITEM-1","itemData":{"DOI":"10.1108/01409170910927631","ISSN":"01409174","abstract":"Purpose - The purpose of this paper is to investigate the relationship between compliance with corporate governance best practice and corporate performance within Poland. Design/methodology/approach - The analysis is based on the regression of corporate governance compliance rating and corporate performance on a sample of Polish public listed companies for years 2004-2006. Findings - The research indicates that complying with corporate governance best practice in Poland is associated with lower return on investment (the whole sample). However, the tendency changes into negative but statistically insignificant for the second and third years, and positive but statistically insignificant when only rated companies are included in the research sample. The relationship between proxy of Tobin's q and corporate governance rating remains statistically insignificant and is negative for the whole sample and positive for first and third year as well as for rating companies. Research limitations/ implications - The next step of research should include other performance variables (e.g. operating performance) methodological approaches into the analysis (e.g. event study) to test the relation. Practical implications - Compliance with best practice of corporate governance, particularly in a transition country, may incur substantial costs, particularly during the first years of implementing new standards. Additionally, the main area for corporate performance improvement may be, for these countries, rooted in other aspects such as management or marketing, and not corporate governance. Originality/value - The paper indicates that implementing corporate governance standards is a complex process in terms of costs, investor activism and companies awareness. Its importance increases along with the development of institutional regime as well as market participants' skills and experience. © Emerald Group Publishing Limited.","author":[{"dropping-particle":"","family":"Aluchna","given":"Maria","non-dropping-particle":"","parse-names":false,"suffix":""}],"container-title":"Management Research News","id":"ITEM-1","issue":"2","issued":{"date-parts":[["2009"]]},"page":"185-198","title":"Does good corporate governance matter? Best practice in Poland","type":"article-journal","volume":"32"},"uris":["http://www.mendeley.com/documents/?uuid=b2bbf727-305a-4726-84d3-6e4fb7f9ee36","http://www.mendeley.com/documents/?uuid=c7f9ce17-4b52-489b-97f5-f11c8b63b375"]}],"mendeley":{"formattedCitation":"(Aluchna, 2009)","plainTextFormattedCitation":"(Aluchna, 2009)","previouslyFormattedCitation":"(Aluchna, 2009)"},"properties":{"noteIndex":0},"schema":"https://github.com/citation-style-language/schema/raw/master/csl-citation.json"}</w:instrText>
      </w:r>
      <w:r w:rsidR="00B72214" w:rsidRPr="00B72214">
        <w:rPr>
          <w:rFonts w:ascii="Book Antiqua" w:hAnsi="Book Antiqua"/>
          <w:color w:val="000000" w:themeColor="text1"/>
          <w:lang w:val="en-US"/>
        </w:rPr>
        <w:fldChar w:fldCharType="separate"/>
      </w:r>
      <w:r w:rsidR="00B72214" w:rsidRPr="00B72214">
        <w:rPr>
          <w:rFonts w:ascii="Book Antiqua" w:hAnsi="Book Antiqua"/>
          <w:noProof/>
          <w:color w:val="000000" w:themeColor="text1"/>
          <w:lang w:val="en-US"/>
        </w:rPr>
        <w:t>(Aluchna, 2009)</w:t>
      </w:r>
      <w:r w:rsidR="00B72214" w:rsidRPr="00B72214">
        <w:rPr>
          <w:rFonts w:ascii="Book Antiqua" w:hAnsi="Book Antiqua"/>
          <w:color w:val="000000" w:themeColor="text1"/>
          <w:lang w:val="id-ID"/>
        </w:rPr>
        <w:fldChar w:fldCharType="end"/>
      </w:r>
      <w:r w:rsidR="00B72214" w:rsidRPr="00B72214">
        <w:rPr>
          <w:rFonts w:ascii="Book Antiqua" w:hAnsi="Book Antiqua"/>
          <w:color w:val="000000" w:themeColor="text1"/>
          <w:lang w:val="id-ID"/>
        </w:rPr>
        <w:t xml:space="preserve">. </w:t>
      </w:r>
      <w:r w:rsidRPr="007B21EE">
        <w:rPr>
          <w:rFonts w:ascii="Book Antiqua" w:hAnsi="Book Antiqua"/>
          <w:color w:val="000000" w:themeColor="text1"/>
          <w:lang w:val="id-ID"/>
        </w:rPr>
        <w:t>As well as fostering investor confidence in the company because the implementation of GCG will prevent mistakes in decision making and self-beneficial actions so that it will automatically increase the value of the company which is reflected in financial performance. And it guarantees a higher return to shareholders and has a low level of investment risk</w:t>
      </w:r>
      <w:r w:rsidR="00B72214" w:rsidRPr="00B72214">
        <w:rPr>
          <w:rFonts w:ascii="Book Antiqua" w:hAnsi="Book Antiqua"/>
          <w:color w:val="000000" w:themeColor="text1"/>
          <w:lang w:val="id-ID"/>
        </w:rPr>
        <w:t xml:space="preserve">. </w:t>
      </w:r>
      <w:r w:rsidR="00B72214" w:rsidRPr="00B72214">
        <w:rPr>
          <w:rFonts w:ascii="Book Antiqua" w:hAnsi="Book Antiqua"/>
          <w:color w:val="000000" w:themeColor="text1"/>
          <w:lang w:val="en-US"/>
        </w:rPr>
        <w:fldChar w:fldCharType="begin" w:fldLock="1"/>
      </w:r>
      <w:r w:rsidR="00154795">
        <w:rPr>
          <w:rFonts w:ascii="Book Antiqua" w:hAnsi="Book Antiqua"/>
          <w:color w:val="000000" w:themeColor="text1"/>
          <w:lang w:val="id-ID"/>
        </w:rPr>
        <w:instrText>ADDIN CSL_CITATION {"citationItems":[{"id":"ITEM-1","itemData":{"DOI":"10.1108/01409170910927631","ISSN":"01409174","abstract":"Purpose - The purpose of this paper is to investigate the relationship between compliance with corporate governance best practice and corporate performance within Poland. Design/methodology/approach - The analysis is based on the regression of corporate governance compliance rating and corporate performance on a sample of Polish public listed companies for years 2004-2006. Findings - The research indicates that complying with corporate governance best practice in Poland is associated with lower return on investment (the whole sample). However, the tendency changes into negative but statistically insignificant for the second and third years, and positive but statistically insignificant when only rated companies are included in the research sample. The relationship between proxy of Tobin's q and corporate governance rating remains statistically insignificant and is negative for the whole sample and positive for first and third year as well as for rating companies. Research limitations/ implications - The next step of research should include other performance variables (e.g. operating performance) methodological approaches into the analysis (e.g. event study) to test the relation. Practical implications - Compliance with best practice of corporate governance, particularly in a transition country, may incur substantial costs, particularly during the first years of implementing new standards. Additionally, the main area for corporate performance improvement may be, for these countries, rooted in other aspects such as management or marketing, and not corporate governance. Originality/value - The paper indicates that implementing corporate governance standards is a complex process in terms of costs, investor activism and companies awareness. Its importance increases along with the development of institutional regime as well as market participants' skills and experience. © Emerald Group Publishing Limited.","author":[{"dropping-particle":"","family":"Aluchna","given":"Maria","non-dropping-particle":"","parse-names":false,"suffix":""}],"container-title":"Management Research News","id":"ITEM-1","issue":"2","issued":{"date-parts":[["2009"]]},"page":"185-198","title":"Does good corporate governance matter? Best practice in Poland","type":"article-journal","volume":"32"},"uris":["http://www.mendeley.com/documents/?uuid=c7f9ce17-4b52-489b-97f5-f11c8b63b375","http://www.mendeley.com/documents/?uuid=b2bbf727-305a-4726-84d3-6e4fb7f9ee36"]}],"mendeley":{"formattedCitation":"(Aluchna, 2009)","manualFormatting":"Aluchna (2009)","plainTextFormattedCitation":"(Aluchna, 2009)","previouslyFormattedCitation":"(Aluchna, 2009)"},"properties":{"noteIndex":0},"schema":"https://github.com/citation-style-language/schema/raw/master/csl-citation.json"}</w:instrText>
      </w:r>
      <w:r w:rsidR="00B72214" w:rsidRPr="00B72214">
        <w:rPr>
          <w:rFonts w:ascii="Book Antiqua" w:hAnsi="Book Antiqua"/>
          <w:color w:val="000000" w:themeColor="text1"/>
          <w:lang w:val="en-US"/>
        </w:rPr>
        <w:fldChar w:fldCharType="separate"/>
      </w:r>
      <w:r w:rsidR="00B72214" w:rsidRPr="00B72214">
        <w:rPr>
          <w:rFonts w:ascii="Book Antiqua" w:hAnsi="Book Antiqua"/>
          <w:noProof/>
          <w:color w:val="000000" w:themeColor="text1"/>
          <w:lang w:val="en-US"/>
        </w:rPr>
        <w:t>Aluchna</w:t>
      </w:r>
      <w:r w:rsidR="00B72214" w:rsidRPr="00B72214">
        <w:rPr>
          <w:rFonts w:ascii="Book Antiqua" w:hAnsi="Book Antiqua"/>
          <w:noProof/>
          <w:color w:val="000000" w:themeColor="text1"/>
          <w:lang w:val="id-ID"/>
        </w:rPr>
        <w:t xml:space="preserve"> (</w:t>
      </w:r>
      <w:r w:rsidR="00B72214" w:rsidRPr="00B72214">
        <w:rPr>
          <w:rFonts w:ascii="Book Antiqua" w:hAnsi="Book Antiqua"/>
          <w:noProof/>
          <w:color w:val="000000" w:themeColor="text1"/>
          <w:lang w:val="en-US"/>
        </w:rPr>
        <w:t>2009)</w:t>
      </w:r>
      <w:r w:rsidR="00B72214" w:rsidRPr="00B72214">
        <w:rPr>
          <w:rFonts w:ascii="Book Antiqua" w:hAnsi="Book Antiqua"/>
          <w:color w:val="000000" w:themeColor="text1"/>
          <w:lang w:val="id-ID"/>
        </w:rPr>
        <w:fldChar w:fldCharType="end"/>
      </w:r>
      <w:r w:rsidR="00B72214" w:rsidRPr="00B72214">
        <w:rPr>
          <w:rFonts w:ascii="Book Antiqua" w:hAnsi="Book Antiqua"/>
          <w:color w:val="000000" w:themeColor="text1"/>
          <w:lang w:val="id-ID"/>
        </w:rPr>
        <w:t xml:space="preserve"> </w:t>
      </w:r>
      <w:r w:rsidRPr="007B21EE">
        <w:rPr>
          <w:rFonts w:ascii="Book Antiqua" w:hAnsi="Book Antiqua"/>
          <w:color w:val="000000" w:themeColor="text1"/>
          <w:lang w:val="id-ID"/>
        </w:rPr>
        <w:t>In addition, it can also protect the interests of stakeholders and can improve Islamic banking compliance with applicable laws and regulations and ethical values.</w:t>
      </w:r>
    </w:p>
    <w:p w14:paraId="63FA8902" w14:textId="257D61FC" w:rsidR="006950A1" w:rsidRPr="006950A1" w:rsidRDefault="006950A1" w:rsidP="006950A1">
      <w:pPr>
        <w:pStyle w:val="IEEEParagraph"/>
        <w:ind w:firstLine="720"/>
        <w:rPr>
          <w:rFonts w:ascii="Book Antiqua" w:hAnsi="Book Antiqua"/>
          <w:color w:val="000000" w:themeColor="text1"/>
          <w:lang w:val="id-ID"/>
        </w:rPr>
      </w:pPr>
      <w:r w:rsidRPr="006950A1">
        <w:rPr>
          <w:rFonts w:ascii="Book Antiqua" w:hAnsi="Book Antiqua"/>
          <w:color w:val="000000" w:themeColor="text1"/>
          <w:lang w:val="id-ID"/>
        </w:rPr>
        <w:t xml:space="preserve"> </w:t>
      </w:r>
    </w:p>
    <w:p w14:paraId="4CE6A13F" w14:textId="53A632DD" w:rsidR="00244B70" w:rsidRPr="00183F36" w:rsidRDefault="00244B70" w:rsidP="00183F36">
      <w:pPr>
        <w:pStyle w:val="IEEEParagraph"/>
        <w:numPr>
          <w:ilvl w:val="0"/>
          <w:numId w:val="11"/>
        </w:numPr>
        <w:ind w:left="270" w:hanging="270"/>
        <w:rPr>
          <w:rFonts w:ascii="Book Antiqua" w:hAnsi="Book Antiqua"/>
          <w:b/>
          <w:bCs/>
          <w:lang w:val="en-US"/>
        </w:rPr>
      </w:pPr>
      <w:r w:rsidRPr="00244B70">
        <w:rPr>
          <w:rFonts w:ascii="Book Antiqua" w:hAnsi="Book Antiqua"/>
          <w:b/>
          <w:bCs/>
          <w:lang w:val="en-US"/>
        </w:rPr>
        <w:lastRenderedPageBreak/>
        <w:t>Literature Review</w:t>
      </w:r>
      <w:bookmarkStart w:id="6" w:name="OLE_LINK27"/>
      <w:bookmarkStart w:id="7" w:name="OLE_LINK28"/>
    </w:p>
    <w:p w14:paraId="2C2F9BFE" w14:textId="6C21E98C" w:rsidR="007B21EE" w:rsidRPr="00EA462B" w:rsidRDefault="007B21EE" w:rsidP="007B21EE">
      <w:pPr>
        <w:jc w:val="both"/>
        <w:rPr>
          <w:rFonts w:ascii="Book Antiqua" w:hAnsi="Book Antiqua"/>
          <w:i/>
          <w:iCs/>
          <w:lang w:val="id-ID"/>
        </w:rPr>
      </w:pPr>
      <w:r w:rsidRPr="007B21EE">
        <w:rPr>
          <w:rFonts w:ascii="Book Antiqua" w:hAnsi="Book Antiqua"/>
          <w:b/>
          <w:bCs/>
          <w:lang w:val="en-US"/>
        </w:rPr>
        <w:t>Relationship between Intellectual Capital (IC) and Financial Performance</w:t>
      </w:r>
    </w:p>
    <w:p w14:paraId="18DA29F1" w14:textId="3E455014" w:rsidR="00201E1B" w:rsidRPr="00201E1B" w:rsidRDefault="00201E1B" w:rsidP="00201E1B">
      <w:pPr>
        <w:ind w:firstLine="720"/>
        <w:jc w:val="both"/>
        <w:rPr>
          <w:rFonts w:ascii="Book Antiqua" w:hAnsi="Book Antiqua"/>
          <w:lang w:val="id-ID"/>
        </w:rPr>
      </w:pPr>
      <w:r w:rsidRPr="00201E1B">
        <w:rPr>
          <w:rFonts w:ascii="Book Antiqua" w:hAnsi="Book Antiqua"/>
          <w:lang w:val="id-ID"/>
        </w:rPr>
        <w:fldChar w:fldCharType="begin" w:fldLock="1"/>
      </w:r>
      <w:r w:rsidR="00154795">
        <w:rPr>
          <w:rFonts w:ascii="Book Antiqua" w:hAnsi="Book Antiqua"/>
          <w:lang w:val="id-ID"/>
        </w:rPr>
        <w:instrText>ADDIN CSL_CITATION {"citationItems":[{"id":"ITEM-1","itemData":{"abstract":"Knowledge being the new engine of corporate development has become one of the great clichés of recent years, but there is no doubt that successful companies tend to be those that continually innovate, relying on new technologies and the skills and knowledge of their employees rather than assets such as plants or machinery. Value can be generated by intangibles not always reflected in financial statements and forward-looking companies have realised that these are an integral part of fully understanding the performance of their business.","author":[{"dropping-particle":"","family":"Chartered Institute of Management Accountants","given":"","non-dropping-particle":"","parse-names":false,"suffix":""}],"container-title":"Chartered Institute of Management Accountants","id":"ITEM-1","issued":{"date-parts":[["2003"]]},"page":"1-28","title":"Understanding corporate value: managing and reporting intellectual capital","type":"article-journal"},"uris":["http://www.mendeley.com/documents/?uuid=cc6ef158-fad5-4917-b734-bfc263eda928","http://www.mendeley.com/documents/?uuid=df70bba6-7998-41b9-9aa9-db0c4b1bc258"]}],"mendeley":{"formattedCitation":"(Chartered Institute of Management Accountants, 2003)","manualFormatting":"CIMA (2003)","plainTextFormattedCitation":"(Chartered Institute of Management Accountants, 2003)","previouslyFormattedCitation":"(CIMA, 2003)"},"properties":{"noteIndex":0},"schema":"https://github.com/citation-style-language/schema/raw/master/csl-citation.json"}</w:instrText>
      </w:r>
      <w:r w:rsidRPr="00201E1B">
        <w:rPr>
          <w:rFonts w:ascii="Book Antiqua" w:hAnsi="Book Antiqua"/>
          <w:lang w:val="id-ID"/>
        </w:rPr>
        <w:fldChar w:fldCharType="separate"/>
      </w:r>
      <w:r w:rsidRPr="00201E1B">
        <w:rPr>
          <w:rFonts w:ascii="Book Antiqua" w:hAnsi="Book Antiqua"/>
          <w:noProof/>
          <w:lang w:val="id-ID"/>
        </w:rPr>
        <w:t>CIMA (2003)</w:t>
      </w:r>
      <w:r w:rsidRPr="00201E1B">
        <w:rPr>
          <w:rFonts w:ascii="Book Antiqua" w:hAnsi="Book Antiqua"/>
        </w:rPr>
        <w:fldChar w:fldCharType="end"/>
      </w:r>
      <w:r w:rsidRPr="00201E1B">
        <w:rPr>
          <w:rFonts w:ascii="Book Antiqua" w:hAnsi="Book Antiqua"/>
          <w:lang w:val="id-ID"/>
        </w:rPr>
        <w:t xml:space="preserve"> </w:t>
      </w:r>
      <w:r w:rsidR="007B21EE" w:rsidRPr="007B21EE">
        <w:rPr>
          <w:rFonts w:ascii="Book Antiqua" w:hAnsi="Book Antiqua"/>
          <w:lang w:val="id-ID"/>
        </w:rPr>
        <w:t>defines Intellectual Capital as a knowledge asset that lies in the employee, instrument (patent), or structural (customer relationship), which is essentially abstract. Intellectual Capital (IC) is an extension of the theory of human resources popularized in the 1960s and can be described with intangible assets as well as the implicit knowledge of its members to create a competitive advantage of an organization through the relationship between assets and overall resources owned</w:t>
      </w:r>
      <w:r w:rsidRPr="00201E1B">
        <w:rPr>
          <w:rFonts w:ascii="Book Antiqua" w:hAnsi="Book Antiqua"/>
          <w:lang w:val="id-ID"/>
        </w:rPr>
        <w:t xml:space="preserve"> </w:t>
      </w:r>
      <w:r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{"citationItems":[{"id":"ITEM-1","itemData":{"DOI":"10.1108/JAOC-11-2017-0109","ISBN":"1120170109","ISSN":"18325912","abstract":"Purpose: The purpose of this paper is to investigate the influence of intellectual capital (IC) on financial performance and, in turn, to provide insights into its impact on emerging economies. Design/methodology/approach: Data were collected from 34 textile firms in Bangladesh between 2013 and 2017. The IC efficiency, through value-added intellectual coefficient (VAIC) model, and its impact on financial performance, through return on assets (ROA), return on equity and asset turnover (ATO), was examined using descriptive statistics and multiple regression techniques. The analysis is based on secondary data obtained from annual reports. Findings: The results indicate the impact of VAIC components on financial performance and also demonstrate diverse relationships with changes in financial indicators. The VAIC components significantly influenced productivity outcomes, with tangible capital playing a major role in both productivity and profitability. Moreover, it was found that structural capital had a considerable effect on ATO and ROA with human capital indicating an insignificant impact on all financial performance indicators. Research limitations/implications: The research outcome is specific to the textile industry in emerging economies. The study may guide future research on IC performance in textile firms and cross-industry comparisons. Practical implications: Managers, firm owners and regulators need to align IC to performance management to sustain the competitive advantage in globalised competitive settings. Originality/value: The study provides an empirical evidence and extends knowledge of IC utilisation for enhancing the financial performance of the textile firms in emerging economies.","author":[{"dropping-particle":"","family":"Chowdhury","given":"Leena Afroz Mostofa","non-dropping-particle":"","parse-names":false,"suffix":""},{"dropping-particle":"","family":"Rana","given":"Tarek","non-dropping-particle":"","parse-names":false,"suffix":""},{"dropping-particle":"","family":"Akter","given":"Mahmuda","non-dropping-particle":"","parse-names":false,"suffix":""},{"dropping-particle":"","family":"Hoque","given":"Mahfuzul","non-dropping-particle":"","parse-names":false,"suffix":""}],"container-title":"Journal of Accounting and Organizational Change","id":"ITEM-1","issue":"4","issued":{"date-parts":[["2018"]]},"page":"429-454","title":"Impact of intellectual capital on financial performance: evidence from the Bangladeshi textile sector","type":"article-journal","volume":"14"},"uris":["http://www.mendeley.com/documents/?uuid=c5ad931f-32e8-4846-bae5-28d1900ea98b","http://www.mendeley.com/documents/?uuid=16d2a555-b3f8-4ced-bb7c-d99a64a71fe0"]}],"mendeley":{"formattedCitation":"(Chowdhury et al., 2018)","plainTextFormattedCitation":"(Chowdhury et al., 2018)","previouslyFormattedCitation":"(Chowdhury et al., 2018)"},"properties":{"noteIndex":0},"schema":"https://github.com/citation-style-language/schema/raw/master/csl-citation.json"}</w:instrText>
      </w:r>
      <w:r w:rsidRPr="00201E1B">
        <w:rPr>
          <w:rFonts w:ascii="Book Antiqua" w:hAnsi="Book Antiqua"/>
          <w:lang w:val="id-ID"/>
        </w:rPr>
        <w:fldChar w:fldCharType="separate"/>
      </w:r>
      <w:r w:rsidRPr="00201E1B">
        <w:rPr>
          <w:rFonts w:ascii="Book Antiqua" w:hAnsi="Book Antiqua"/>
          <w:noProof/>
          <w:lang w:val="id-ID"/>
        </w:rPr>
        <w:t>(Chowdhury et al., 2018)</w:t>
      </w:r>
      <w:r w:rsidRPr="00201E1B">
        <w:rPr>
          <w:rFonts w:ascii="Book Antiqua" w:hAnsi="Book Antiqua"/>
        </w:rPr>
        <w:fldChar w:fldCharType="end"/>
      </w:r>
      <w:r w:rsidRPr="00201E1B">
        <w:rPr>
          <w:rFonts w:ascii="Book Antiqua" w:hAnsi="Book Antiqua"/>
          <w:lang w:val="id-ID"/>
        </w:rPr>
        <w:t xml:space="preserve">. </w:t>
      </w:r>
      <w:r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{"citationItems":[{"id":"ITEM-1","itemData":{"DOI":"10.5897/AJBM10.712","ISSN":"1993-8233","abstract":"In the Intellectual Capital (IC) literature, only a few studies have analyzed the relationships among the components of IC and organizational success. This study provides further insight into the role of IC in organizational performance, especially financial performance. In this order, Value Added Intellectual Coefficient (VAICTM) method has been used for measuring the value based performance of the company. Corporate performance measures used in this analysis are profitability, Employee productivity, and Growth in sales. The intellectual capital (human capital and structural capital) and physical capital of the company have been analyzed and their impact on corporate performance has been measured using multiple regression technique. Findings from the empirical analysis indicate that the relationships between the performance of a company's intellectual capital and profitability, Employee productivity, and Growth in sales are informative. The empirical findings suggest that the performance of a company's intellectual capital can explain profitability and productivity.","author":[{"dropping-particle":"","family":"Ahangar","given":"Reza Gharoie","non-dropping-particle":"","parse-names":false,"suffix":""}],"container-title":"African Journal of Business Management","id":"ITEM-1","issue":"1","issued":{"date-parts":[["2011"]]},"page":"88-95","title":"The relationship between intellectual capital and financial performance: An empirical investigation in an Iranian company","type":"article-journal","volume":"5"},"uris":["http://www.mendeley.com/documents/?uuid=5a1244d6-bda4-49d5-ac33-b1b6b79f7d6b","http://www.mendeley.com/documents/?uuid=6245f9c1-1697-4b24-a030-64603740ece2"]}],"mendeley":{"formattedCitation":"(Ahangar, 2011)","manualFormatting":"Ahangar (2011)","plainTextFormattedCitation":"(Ahangar, 2011)","previouslyFormattedCitation":"(Ahangar, 2011)"},"properties":{"noteIndex":0},"schema":"https://github.com/citation-style-language/schema/raw/master/csl-citation.json"}</w:instrText>
      </w:r>
      <w:r w:rsidRPr="00201E1B">
        <w:rPr>
          <w:rFonts w:ascii="Book Antiqua" w:hAnsi="Book Antiqua"/>
          <w:lang w:val="id-ID"/>
        </w:rPr>
        <w:fldChar w:fldCharType="separate"/>
      </w:r>
      <w:r w:rsidRPr="00201E1B">
        <w:rPr>
          <w:rFonts w:ascii="Book Antiqua" w:hAnsi="Book Antiqua"/>
          <w:noProof/>
          <w:lang w:val="id-ID"/>
        </w:rPr>
        <w:t>Ahangar (2011)</w:t>
      </w:r>
      <w:r w:rsidRPr="00201E1B">
        <w:rPr>
          <w:rFonts w:ascii="Book Antiqua" w:hAnsi="Book Antiqua"/>
        </w:rPr>
        <w:fldChar w:fldCharType="end"/>
      </w:r>
      <w:r w:rsidRPr="00201E1B">
        <w:rPr>
          <w:rFonts w:ascii="Book Antiqua" w:hAnsi="Book Antiqua"/>
          <w:lang w:val="id-ID"/>
        </w:rPr>
        <w:t xml:space="preserve"> </w:t>
      </w:r>
      <w:r w:rsidR="007B21EE" w:rsidRPr="007B21EE">
        <w:rPr>
          <w:rFonts w:ascii="Book Antiqua" w:hAnsi="Book Antiqua"/>
          <w:lang w:val="id-ID"/>
        </w:rPr>
        <w:t xml:space="preserve">mentioning that Intellectual Capital (IC) is the ownership of knowledge, experience, organizational technology, customer relations and professional skills that contribute to the competitive advantage of a company. Therefore, effective Intellectual Capital (IC) management has been recognized as the most important source and integral factor of value creation and competitive advantage of an organization, including the financial services industry. </w:t>
      </w:r>
      <w:r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perspective","type":"article-journal","volume":"8"},"uris":["http://www.mendeley.com/documents/?uuid=332ae363-da95-47e1-877a-8450517b9f72","http://www.mendeley.com/documents/?uuid=a482ecf6-95fe-40f4-b6b5-690566eaec7f"]}],"mendeley":{"formattedCitation":"(Nawaz &amp; Haniffa, 2017)","manualFormatting":"(Nikolaj Bukh, 2003; Nawaz &amp; Haniffa, 2017","plainTextFormattedCitation":"(Nawaz &amp; Haniffa, 2017)","previouslyFormattedCitation":"(Nawaz &amp; Haniffa, 2017)"},"properties":{"noteIndex":0},"schema":"https://github.com/citation-style-language/schema/raw/master/csl-citation.json"}</w:instrText>
      </w:r>
      <w:r w:rsidRPr="00201E1B">
        <w:rPr>
          <w:rFonts w:ascii="Book Antiqua" w:hAnsi="Book Antiqua"/>
          <w:lang w:val="id-ID"/>
        </w:rPr>
        <w:fldChar w:fldCharType="separate"/>
      </w:r>
      <w:r w:rsidRPr="00201E1B">
        <w:rPr>
          <w:rFonts w:ascii="Book Antiqua" w:hAnsi="Book Antiqua"/>
          <w:noProof/>
          <w:lang w:val="id-ID"/>
        </w:rPr>
        <w:t>(Nikolaj Bukh, 2003; Nawaz &amp; Haniffa, 2017</w:t>
      </w:r>
      <w:r w:rsidRPr="00201E1B">
        <w:rPr>
          <w:rFonts w:ascii="Book Antiqua" w:hAnsi="Book Antiqua"/>
        </w:rPr>
        <w:fldChar w:fldCharType="end"/>
      </w:r>
      <w:r w:rsidRPr="00201E1B">
        <w:rPr>
          <w:rFonts w:ascii="Book Antiqua" w:hAnsi="Book Antiqua"/>
          <w:lang w:val="id-ID"/>
        </w:rPr>
        <w:t xml:space="preserve"> </w:t>
      </w:r>
      <w:r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{"citationItems":[{"id":"ITEM-1","itemData":{"DOI":"10.1108/09513570310464273","ISSN":"09513574","abstract":"Many firms have started disclosing information on intellectual capital. Financial analysts, however, ask for more disclosure related to strategy and often find intellectual capital statement less relevant. Drawing on results from a study of disclosure of information on intellectual capital in Danish initial public offering (IPO) prospectuses, this commentary argues that the perceived irrelevance of intellectual capital is somewhat paradoxical since intellectual capital reports and recent prospectuses share remarkable similarities with respect to the intellectual capital indicators disclosed. Further, the commentary argues that, for intellectual capital disclosure to be perceived as relevant from a capital market perspective, the information should be disclosed as an integral part of a framework illuminating the value creation processes of the firm. The emerging practice with respect to intellectual capital offers such a framework for disclosing the business model of the knowledge-based company. © 2003, MCB UP Limited","author":[{"dropping-particle":"","family":"Nikolaj Bukh","given":"Per","non-dropping-particle":"","parse-names":false,"suffix":""}],"container-title":"Accounting, Auditing &amp; Accountability Journal","id":"ITEM-1","issue":"1","issued":{"date-parts":[["2003"]]},"page":"49-56","title":"The relevance of intellectual capital disclosure: A paradox?","type":"article-journal","volume":"16"},"uris":["http://www.mendeley.com/documents/?uuid=c00ac38b-3ed6-42b7-a920-2a14bfa56d70","http://www.mendeley.com/documents/?uuid=baee06c9-f7e6-494c-98ac-6c9a19884012"]}],"mendeley":{"formattedCitation":"(Nikolaj Bukh, 2003)","manualFormatting":")","plainTextFormattedCitation":"(Nikolaj Bukh, 2003)","previouslyFormattedCitation":"(Nikolaj Bukh, 2003)"},"properties":{"noteIndex":0},"schema":"https://github.com/citation-style-language/schema/raw/master/csl-citation.json"}</w:instrText>
      </w:r>
      <w:r w:rsidRPr="00201E1B">
        <w:rPr>
          <w:rFonts w:ascii="Book Antiqua" w:hAnsi="Book Antiqua"/>
          <w:lang w:val="id-ID"/>
        </w:rPr>
        <w:fldChar w:fldCharType="separate"/>
      </w:r>
      <w:r w:rsidRPr="00201E1B">
        <w:rPr>
          <w:rFonts w:ascii="Book Antiqua" w:hAnsi="Book Antiqua"/>
          <w:noProof/>
          <w:lang w:val="id-ID"/>
        </w:rPr>
        <w:t>)</w:t>
      </w:r>
      <w:r w:rsidRPr="00201E1B">
        <w:rPr>
          <w:rFonts w:ascii="Book Antiqua" w:hAnsi="Book Antiqua"/>
        </w:rPr>
        <w:fldChar w:fldCharType="end"/>
      </w:r>
      <w:r w:rsidRPr="00201E1B">
        <w:rPr>
          <w:rFonts w:ascii="Book Antiqua" w:hAnsi="Book Antiqua"/>
          <w:lang w:val="id-ID"/>
        </w:rPr>
        <w:t>.</w:t>
      </w:r>
    </w:p>
    <w:p w14:paraId="0487CE75" w14:textId="4166C528" w:rsidR="00201E1B" w:rsidRDefault="007B21EE" w:rsidP="00201E1B">
      <w:pPr>
        <w:ind w:firstLine="720"/>
        <w:jc w:val="both"/>
        <w:rPr>
          <w:rFonts w:ascii="Book Antiqua" w:hAnsi="Book Antiqua"/>
          <w:lang w:val="id-ID"/>
        </w:rPr>
      </w:pPr>
      <w:r w:rsidRPr="007B21EE">
        <w:rPr>
          <w:rFonts w:ascii="Book Antiqua" w:hAnsi="Book Antiqua"/>
          <w:lang w:val="id-ID"/>
        </w:rPr>
        <w:t>According to</w:t>
      </w:r>
      <w:r w:rsidR="00201E1B" w:rsidRPr="00201E1B">
        <w:rPr>
          <w:rFonts w:ascii="Book Antiqua" w:hAnsi="Book Antiqua"/>
          <w:lang w:val="id-ID"/>
        </w:rPr>
        <w:t xml:space="preserve"> </w:t>
      </w:r>
      <w:r w:rsidR="00201E1B"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{"citationItems":[{"id":"ITEM-1","itemData":{"DOI":"10.1177/153851320200100311","ISSN":"15385132","author":[{"dropping-particle":"","family":"Gillette","given":"Howard","non-dropping-particle":"","parse-names":false,"suffix":""}],"container-title":"Journal of Planning History","id":"ITEM-1","issue":"3","issued":{"date-parts":[["2002"]]},"page":"266-269","title":"Planning Review","type":"article-journal","volume":"1"},"uris":["http://www.mendeley.com/documents/?uuid=bf9cd90e-8a9e-4577-b10d-a77c57b84bbe","http://www.mendeley.com/documents/?uuid=b0200a94-f33b-4180-9849-70587b7987c8"]}],"mendeley":{"formattedCitation":"(Gillette, 2002)","manualFormatting":"Gillette (2002)","plainTextFormattedCitation":"(Gillette, 2002)","previouslyFormattedCitation":"(Gillette, 2002)"},"properties":{"noteIndex":0},"schema":"https://github.com/citation-style-language/schema/raw/master/csl-citation.json"}</w:instrText>
      </w:r>
      <w:r w:rsidR="00201E1B" w:rsidRPr="00201E1B">
        <w:rPr>
          <w:rFonts w:ascii="Book Antiqua" w:hAnsi="Book Antiqua"/>
          <w:lang w:val="id-ID"/>
        </w:rPr>
        <w:fldChar w:fldCharType="separate"/>
      </w:r>
      <w:r w:rsidR="00201E1B" w:rsidRPr="00201E1B">
        <w:rPr>
          <w:rFonts w:ascii="Book Antiqua" w:hAnsi="Book Antiqua"/>
          <w:noProof/>
          <w:lang w:val="id-ID"/>
        </w:rPr>
        <w:t>Gillette (2002)</w:t>
      </w:r>
      <w:r w:rsidR="00201E1B" w:rsidRPr="00201E1B">
        <w:rPr>
          <w:rFonts w:ascii="Book Antiqua" w:hAnsi="Book Antiqua"/>
        </w:rPr>
        <w:fldChar w:fldCharType="end"/>
      </w:r>
      <w:r w:rsidR="00201E1B" w:rsidRPr="00201E1B">
        <w:rPr>
          <w:rFonts w:ascii="Book Antiqua" w:hAnsi="Book Antiqua"/>
          <w:lang w:val="id-ID"/>
        </w:rPr>
        <w:t xml:space="preserve"> </w:t>
      </w:r>
      <w:r w:rsidRPr="007B21EE">
        <w:rPr>
          <w:rFonts w:ascii="Book Antiqua" w:hAnsi="Book Antiqua"/>
          <w:lang w:val="id-ID"/>
        </w:rPr>
        <w:t>Intellectual Capital (IC) is classified into three, namely Human Capital, Structural Capital and Customer/Relational Capital. Where Human Capital refers to the characteristics and quality of human resource knowledge in a company that is able to respond to market changes and customer needs, Structural Capital is an organizational component that can be described as organizational infrastructure and processes used to produce products and provide services, and Customer / Relational Capital is the ability to build relationships with external stakeholders such as suppliers and customers.  In Intellectual Capital (IC), Human Capital is considered the most dominant component because its existence is closely related to service to customers, so it requires knowledge, competence, experience, and skills in carrying out its duties, so that the company's goals can be met</w:t>
      </w:r>
      <w:r w:rsidRPr="007B21EE">
        <w:rPr>
          <w:rFonts w:ascii="Book Antiqua" w:hAnsi="Book Antiqua"/>
          <w:i/>
          <w:iCs/>
          <w:lang w:val="id-ID"/>
        </w:rPr>
        <w:t xml:space="preserve"> </w:t>
      </w:r>
      <w:r w:rsidR="00201E1B" w:rsidRPr="00201E1B">
        <w:rPr>
          <w:rFonts w:ascii="Book Antiqua" w:hAnsi="Book Antiqua"/>
          <w:lang w:val="id-ID"/>
        </w:rPr>
        <w:fldChar w:fldCharType="begin" w:fldLock="1"/>
      </w:r>
      <w:r w:rsidR="00154795">
        <w:rPr>
          <w:rFonts w:ascii="Book Antiqua" w:hAnsi="Book Antiqua"/>
          <w:lang w:val="id-ID"/>
        </w:rPr>
        <w:instrText>ADDIN CSL_CITATION {"citationItems":[{"id":"ITEM-1","itemData":{"DOI":"10.5897/AJBM10.712","ISSN":"1993-8233","abstract":"In the Intellectual Capital (IC) literature, only a few studies have analyzed the relationships among the components of IC and organizational success. This study provides further insight into the role of IC in organizational performance, especially financial performance. In this order, Value Added Intellectual Coefficient (VAICTM) method has been used for measuring the value based performance of the company. Corporate performance measures used in this analysis are profitability, Employee productivity, and Growth in sales. The intellectual capital (human capital and structural capital) and physical capital of the company have been analyzed and their impact on corporate performance has been measured using multiple regression technique. Findings from the empirical analysis indicate that the relationships between the performance of a company's intellectual capital and profitability, Employee productivity, and Growth in sales are informative. The empirical findings suggest that the performance of a company's intellectual capital can explain profitability and productivity.","author":[{"dropping-particle":"","family":"Ahangar","given":"Reza Gharoie","non-dropping-particle":"","parse-names":false,"suffix":""}],"container-title":"African Journal of Business Management","id":"ITEM-1","issue":"1","issued":{"date-parts":[["2011"]]},"page":"88-95","title":"The relationship between intellectual capital and financial performance: An empirical investigation in an Iranian company","type":"article-journal","volume":"5"},"uris":["http://www.mendeley.com/documents/?uuid=6245f9c1-1697-4b24-a030-64603740ece2","http://www.mendeley.com/documents/?uuid=5a1244d6-bda4-49d5-ac33-b1b6b79f7d6b"]}],"mendeley":{"formattedCitation":"(Ahangar, 2011)","plainTextFormattedCitation":"(Ahangar, 2011)","previouslyFormattedCitation":"(Ahangar, 2011)"},"properties":{"noteIndex":0},"schema":"https://github.com/citation-style-language/schema/raw/master/csl-citation.json"}</w:instrText>
      </w:r>
      <w:r w:rsidR="00201E1B" w:rsidRPr="00201E1B">
        <w:rPr>
          <w:rFonts w:ascii="Book Antiqua" w:hAnsi="Book Antiqua"/>
          <w:lang w:val="id-ID"/>
        </w:rPr>
        <w:fldChar w:fldCharType="separate"/>
      </w:r>
      <w:r w:rsidR="00201E1B" w:rsidRPr="00201E1B">
        <w:rPr>
          <w:rFonts w:ascii="Book Antiqua" w:hAnsi="Book Antiqua"/>
          <w:noProof/>
          <w:lang w:val="id-ID"/>
        </w:rPr>
        <w:t>(Ahangar, 2011)</w:t>
      </w:r>
      <w:r w:rsidR="00201E1B" w:rsidRPr="00201E1B">
        <w:rPr>
          <w:rFonts w:ascii="Book Antiqua" w:hAnsi="Book Antiqua"/>
        </w:rPr>
        <w:fldChar w:fldCharType="end"/>
      </w:r>
      <w:r w:rsidR="00201E1B" w:rsidRPr="00201E1B">
        <w:rPr>
          <w:rFonts w:ascii="Book Antiqua" w:hAnsi="Book Antiqua"/>
          <w:lang w:val="id-ID"/>
        </w:rPr>
        <w:t>.</w:t>
      </w:r>
    </w:p>
    <w:p w14:paraId="2D139E6C" w14:textId="3503C2A7" w:rsidR="00B3494A" w:rsidRPr="006950A1" w:rsidRDefault="007B21EE" w:rsidP="00B3494A">
      <w:pPr>
        <w:pStyle w:val="IEEEParagraph"/>
        <w:ind w:firstLine="720"/>
        <w:rPr>
          <w:rFonts w:ascii="Book Antiqua" w:hAnsi="Book Antiqua"/>
          <w:color w:val="000000" w:themeColor="text1"/>
          <w:lang w:val="id-ID"/>
        </w:rPr>
      </w:pPr>
      <w:r w:rsidRPr="007B21EE">
        <w:rPr>
          <w:rFonts w:ascii="Book Antiqua" w:hAnsi="Book Antiqua"/>
          <w:color w:val="000000" w:themeColor="text1"/>
          <w:lang w:val="id-ID"/>
        </w:rPr>
        <w:t xml:space="preserve">Influence of Intellectual Capital </w:t>
      </w:r>
      <w:r w:rsidR="00B3494A" w:rsidRPr="006950A1">
        <w:rPr>
          <w:rFonts w:ascii="Book Antiqua" w:hAnsi="Book Antiqua"/>
          <w:color w:val="000000" w:themeColor="text1"/>
          <w:lang w:val="id-ID"/>
        </w:rPr>
        <w:t xml:space="preserve">(IC) </w:t>
      </w:r>
      <w:r w:rsidRPr="007B21EE">
        <w:rPr>
          <w:rFonts w:ascii="Book Antiqua" w:hAnsi="Book Antiqua"/>
          <w:color w:val="000000" w:themeColor="text1"/>
          <w:lang w:val="id-ID"/>
        </w:rPr>
        <w:t>Financial performance in a company has been discussed in several previous studies, such as research conducted by</w:t>
      </w:r>
      <w:r w:rsidR="00B3494A" w:rsidRPr="006950A1">
        <w:rPr>
          <w:rFonts w:ascii="Book Antiqua" w:hAnsi="Book Antiqua"/>
          <w:color w:val="000000" w:themeColor="text1"/>
          <w:lang w:val="id-ID"/>
        </w:rPr>
        <w:t xml:space="preserve"> </w:t>
      </w:r>
      <w:r w:rsidR="00B3494A" w:rsidRPr="006950A1">
        <w:rPr>
          <w:rFonts w:ascii="Book Antiqua" w:hAnsi="Book Antiqua"/>
          <w:color w:val="000000" w:themeColor="text1"/>
          <w:lang w:val="en-US"/>
        </w:rPr>
        <w:fldChar w:fldCharType="begin" w:fldLock="1"/>
      </w:r>
      <w:r w:rsidR="00154795">
        <w:rPr>
          <w:rFonts w:ascii="Book Antiqua" w:hAnsi="Book Antiqua"/>
          <w:color w:val="000000" w:themeColor="text1"/>
          <w:lang w:val="id-ID"/>
        </w:rPr>
        <w:instrText>ADDIN CSL_CITATION {"citationItems":[{"id":"ITEM-1","itemData":{"DOI":"10.1108/14013380810919859","ISSN":"1401-338X","abstract":"Purpose – The purpose of this paper is to study the extent of voluntary intellectual capital disclosers in India’s emerging information, communication and technology sector and the relationship between the size of the firm and the extent of disclosures. Design/methodology/approach – Content analysis of the 30 technology, entertainment, communication and other knowledge (TecK) companies listed on the Bombay Stock Exchange is carried out. Alist of intellectual capital (IC)-related terms is searched for its presence or absence within the annual reports of these forms for the financial year 2005-2006. The list of terms is determined based on the extensive survey of literature on content analysis and IC. Findings – The results find significantly small extent of IC disclosures in Indian firms. Information technology industries disclosures are more than any other sectors disclosures, closely followed by the telecommunication industry. Entertainment industry shows the minimal disclosures. There was no significant correlation between the occurrence of the term and the size of the firm based on its market capitalization. Research limitations/implications – The study is limited to the 30 TecK forms for one financial year. However, these firms are considered as an appropriate representative of the sector as they are knowledge and IC intensive in nature. Content analysis is well-accepted methodology among researchers for analyzing the extent of IC disclosures; the search terminology used may be further classified or sub-classified. Research can be extended across sectors and time period. Practical implications – Firms, policy makers and the stakeholders get a new dimension to evaluate the performance of the firms. The implication for the firms is that a new model of IC measurement and disclosures must be developed as the traditional financial reporting models may not be sufficient to disclose the IC index and the relationship between the disclosure patterns and the firm’s performance. As voluntary disclosures are negligible, the implication for the policy makers is that IC disclosures made statutory in the interest of the stakeholders. Originality/value – This paper is a pioneering attempt to study the extent of IC disclosures using content analysis in the context of Indian firms","author":[{"dropping-particle":"","family":"Kamath","given":"Bharathi","non-dropping-particle":"","parse-names":false,"suffix":""}],"container-title":"Journal of Human Resource Costing &amp; Accounting","id":"ITEM-1","issue":"3","issued":{"date-parts":[["2008"]]},"page":"213-224","title":"Intellectual capital disclosure in India: content analysis of “TecK” firms","type":"article-journal","volume":"12"},"uris":["http://www.mendeley.com/documents/?uuid=2eab000a-c1a3-4f49-a496-fb7e338aa4e3","http://www.mendeley.com/documents/?uuid=57d07ebf-a06a-45e7-9045-5bbbee836e41"]}],"mendeley":{"formattedCitation":"(Kamath, 2008)","plainTextFormattedCitation":"(Kamath, 2008)","previouslyFormattedCitation":"(Kamath, 2008)"},"properties":{"noteIndex":0},"schema":"https://github.com/citation-style-language/schema/raw/master/csl-citation.json"}</w:instrText>
      </w:r>
      <w:r w:rsidR="00B3494A" w:rsidRPr="006950A1">
        <w:rPr>
          <w:rFonts w:ascii="Book Antiqua" w:hAnsi="Book Antiqua"/>
          <w:color w:val="000000" w:themeColor="text1"/>
          <w:lang w:val="en-US"/>
        </w:rPr>
        <w:fldChar w:fldCharType="separate"/>
      </w:r>
      <w:r w:rsidR="00B3494A" w:rsidRPr="006950A1">
        <w:rPr>
          <w:rFonts w:ascii="Book Antiqua" w:hAnsi="Book Antiqua"/>
          <w:noProof/>
          <w:color w:val="000000" w:themeColor="text1"/>
          <w:lang w:val="id-ID"/>
        </w:rPr>
        <w:t>(Kamath, 2008)</w:t>
      </w:r>
      <w:r w:rsidR="00B3494A" w:rsidRPr="006950A1">
        <w:rPr>
          <w:rFonts w:ascii="Book Antiqua" w:hAnsi="Book Antiqua"/>
          <w:color w:val="000000" w:themeColor="text1"/>
          <w:lang w:val="id-ID"/>
        </w:rPr>
        <w:fldChar w:fldCharType="end"/>
      </w:r>
      <w:r w:rsidR="00B3494A" w:rsidRPr="006950A1">
        <w:rPr>
          <w:rFonts w:ascii="Book Antiqua" w:hAnsi="Book Antiqua"/>
          <w:color w:val="000000" w:themeColor="text1"/>
          <w:lang w:val="id-ID"/>
        </w:rPr>
        <w:t xml:space="preserve">, </w:t>
      </w:r>
      <w:r w:rsidRPr="007B21EE">
        <w:rPr>
          <w:rFonts w:ascii="Book Antiqua" w:hAnsi="Book Antiqua"/>
          <w:color w:val="000000" w:themeColor="text1"/>
          <w:lang w:val="id-ID"/>
        </w:rPr>
        <w:t xml:space="preserve">mentioned that one of the components in Intellectual Capital (IC), namely Human Capital, can affect the improvement of performance in the banking industry in India. Knowledge and skills of employees as well as the company's ability to always find solutions to every problem will increase the market value of the company </w:t>
      </w:r>
      <w:r w:rsidR="00B3494A" w:rsidRPr="006950A1">
        <w:rPr>
          <w:rFonts w:ascii="Book Antiqua" w:hAnsi="Book Antiqua"/>
          <w:color w:val="000000" w:themeColor="text1"/>
          <w:lang w:val="en-US"/>
        </w:rPr>
        <w:fldChar w:fldCharType="begin" w:fldLock="1"/>
      </w:r>
      <w:r w:rsidR="00154795">
        <w:rPr>
          <w:rFonts w:ascii="Book Antiqua" w:hAnsi="Book Antiqua"/>
          <w:color w:val="000000" w:themeColor="text1"/>
          <w:lang w:val="id-ID"/>
        </w:rPr>
        <w:instrText>ADDIN CSL_CITATION {"citationItems":[{"id":"ITEM-1","itemData":{"DOI":"10.1016/j.sbspro.2015.11.037","ISSN":"18770428","abstract":"The purpose of this study was to determine the effect of intellectual capital on the firm's value with company's financial performance (profitability) as an intervening variable. Intellectual capital was measured using Pulic's models. This research sample number 93 companies manufacturing sector listed in Indonesia Stock Exchange. The results showed that: (a) the intellectual capital has a positive effect on firm value; (b) intellectual capital has a positive impact on profitability; and (c) studies have shown that profitability serves as an intervening variable in a causal relationship between intellectual capital and firm value.","author":[{"dropping-particle":"","family":"Nuryaman","given":"","non-dropping-particle":"","parse-names":false,"suffix":""}],"container-title":"Procedia - Social and Behavioral Sciences","id":"ITEM-1","issue":"September","issued":{"date-parts":[["2015"]]},"page":"292-298","publisher":"Elsevier B.V.","title":"The Influence of Intellectual Capital on The Firm's Value with The Financial Performance as Intervening Variable","type":"article-journal","volume":"211"},"uris":["http://www.mendeley.com/documents/?uuid=42011918-609c-4ec2-a4be-c7f9ec116e61","http://www.mendeley.com/documents/?uuid=c16a1685-82f1-4221-9e62-1dc819985d2e"]}],"mendeley":{"formattedCitation":"(Nuryaman, 2015)","plainTextFormattedCitation":"(Nuryaman, 2015)","previouslyFormattedCitation":"(Nuryaman, 2015)"},"properties":{"noteIndex":0},"schema":"https://github.com/citation-style-language/schema/raw/master/csl-citation.json"}</w:instrText>
      </w:r>
      <w:r w:rsidR="00B3494A" w:rsidRPr="006950A1">
        <w:rPr>
          <w:rFonts w:ascii="Book Antiqua" w:hAnsi="Book Antiqua"/>
          <w:color w:val="000000" w:themeColor="text1"/>
          <w:lang w:val="en-US"/>
        </w:rPr>
        <w:fldChar w:fldCharType="separate"/>
      </w:r>
      <w:r w:rsidR="00B3494A" w:rsidRPr="006950A1">
        <w:rPr>
          <w:rFonts w:ascii="Book Antiqua" w:hAnsi="Book Antiqua"/>
          <w:noProof/>
          <w:color w:val="000000" w:themeColor="text1"/>
          <w:lang w:val="id-ID"/>
        </w:rPr>
        <w:t>(Nuryaman, 2015)</w:t>
      </w:r>
      <w:r w:rsidR="00B3494A" w:rsidRPr="006950A1">
        <w:rPr>
          <w:rFonts w:ascii="Book Antiqua" w:hAnsi="Book Antiqua"/>
          <w:color w:val="000000" w:themeColor="text1"/>
          <w:lang w:val="id-ID"/>
        </w:rPr>
        <w:fldChar w:fldCharType="end"/>
      </w:r>
      <w:r w:rsidR="00B3494A" w:rsidRPr="006950A1">
        <w:rPr>
          <w:rFonts w:ascii="Book Antiqua" w:hAnsi="Book Antiqua"/>
          <w:color w:val="000000" w:themeColor="text1"/>
          <w:lang w:val="id-ID"/>
        </w:rPr>
        <w:t xml:space="preserve">. </w:t>
      </w:r>
    </w:p>
    <w:p w14:paraId="5C205910" w14:textId="241F2F52" w:rsidR="00B3494A" w:rsidRDefault="007B21EE" w:rsidP="00B3494A">
      <w:pPr>
        <w:ind w:firstLine="720"/>
        <w:jc w:val="both"/>
        <w:rPr>
          <w:rFonts w:ascii="Book Antiqua" w:hAnsi="Book Antiqua"/>
          <w:color w:val="000000" w:themeColor="text1"/>
          <w:lang w:val="id-ID"/>
        </w:rPr>
      </w:pPr>
      <w:r w:rsidRPr="007B21EE">
        <w:rPr>
          <w:rFonts w:ascii="Book Antiqua" w:hAnsi="Book Antiqua"/>
          <w:color w:val="000000" w:themeColor="text1"/>
          <w:lang w:val="id-ID"/>
        </w:rPr>
        <w:t xml:space="preserve">Furthermore, research conducted by Nawaz &amp; Haniffa (2017) on determining the financial performance of Islamic banks is seen from the perspective of Intellectual Capital (IC), which shows that the components in Intellectual Capital (IC) except Structural Capital affect the Return On Asset (ROA) in Islamic banks. But on the research conducted by </w:t>
      </w:r>
      <w:r w:rsidR="00B3494A" w:rsidRPr="006950A1">
        <w:rPr>
          <w:rFonts w:ascii="Book Antiqua" w:hAnsi="Book Antiqua"/>
          <w:color w:val="000000" w:themeColor="text1"/>
          <w:lang w:val="en-US"/>
        </w:rPr>
        <w:fldChar w:fldCharType="begin" w:fldLock="1"/>
      </w:r>
      <w:r w:rsidR="00154795">
        <w:rPr>
          <w:rFonts w:ascii="Book Antiqua" w:hAnsi="Book Antiqua"/>
          <w:color w:val="000000" w:themeColor="text1"/>
          <w:lang w:val="en-US"/>
        </w:rPr>
        <w:instrText>ADDIN CSL_CITATION {"citationItems":[{"id":"ITEM-1","itemData":{"DOI":"10.1108/JAOC-11-2017-0109","ISBN":"1120170109","ISSN":"18325912","abstract":"Purpose: The purpose of this paper is to investigate the influence of intellectual capital (IC) on financial performance and, in turn, to provide insights into its impact on emerging economies. Design/methodology/approach: Data were collected from 34 textile firms in Bangladesh between 2013 and 2017. The IC efficiency, through value-added intellectual coefficient (VAIC) model, and its impact on financial performance, through return on assets (ROA), return on equity and asset turnover (ATO), was examined using descriptive statistics and multiple regression techniques. The analysis is based on secondary data obtained from annual reports. Findings: The results indicate the impact of VAIC components on financial performance and also demonstrate diverse relationships with changes in financial indicators. The VAIC components significantly influenced productivity outcomes, with tangible capital playing a major role in both productivity and profitability. Moreover, it was found that structural capital had a considerable effect on ATO and ROA with human capital indicating an insignificant impact on all financial performance indicators. Research limitations/implications: The research outcome is specific to the textile industry in emerging economies. The study may guide future research on IC performance in textile firms and cross-industry comparisons. Practical implications: Managers, firm owners and regulators need to align IC to performance management to sustain the competitive advantage in globalised competitive settings. Originality/value: The study provides an empirical evidence and extends knowledge of IC utilisation for enhancing the financial performance of the textile firms in emerging economies.","author":[{"dropping-particle":"","family":"Chowdhury","given":"Leena Afroz Mostofa","non-dropping-particle":"","parse-names":false,"suffix":""},{"dropping-particle":"","family":"Rana","given":"Tarek","non-dropping-particle":"","parse-names":false,"suffix":""},{"dropping-particle":"","family":"Akter","given":"Mahmuda","non-dropping-particle":"","parse-names":false,"suffix":""},{"dropping-particle":"","family":"Hoque","given":"Mahfuzul","non-dropping-particle":"","parse-names":false,"suffix":""}],"container-title":"Journal of Accounting and Organizational Change","id":"ITEM-1","issue":"4","issued":{"date-parts":[["2018"]]},"page":"429-454","title":"Impact of intellectual capital on financial performance: evidence from the Bangladeshi textile sector","type":"article-journal","volume":"14"},"uris":["http://www.mendeley.com/documents/?uuid=16d2a555-b3f8-4ced-bb7c-d99a64a71fe0","http://www.mendeley.com/documents/?uuid=c5ad931f-32e8-4846-bae5-28d1900ea98b"]}],"mendeley":{"formattedCitation":"(Chowdhury et al., 2018)","manualFormatting":"Chowdhury et al. (2018)","plainTextFormattedCitation":"(Chowdhury et al., 2018)","previouslyFormattedCitation":"(Chowdhury et al., 2018)"},"properties":{"noteIndex":0},"schema":"https://github.com/citation-style-language/schema/raw/master/csl-citation.json"}</w:instrText>
      </w:r>
      <w:r w:rsidR="00B3494A" w:rsidRPr="006950A1">
        <w:rPr>
          <w:rFonts w:ascii="Book Antiqua" w:hAnsi="Book Antiqua"/>
          <w:color w:val="000000" w:themeColor="text1"/>
          <w:lang w:val="en-US"/>
        </w:rPr>
        <w:fldChar w:fldCharType="separate"/>
      </w:r>
      <w:r w:rsidR="00B3494A" w:rsidRPr="006950A1">
        <w:rPr>
          <w:rFonts w:ascii="Book Antiqua" w:hAnsi="Book Antiqua"/>
          <w:noProof/>
          <w:color w:val="000000" w:themeColor="text1"/>
          <w:lang w:val="en-US"/>
        </w:rPr>
        <w:t>Chowdhury et al.</w:t>
      </w:r>
      <w:r w:rsidR="00B3494A" w:rsidRPr="006950A1">
        <w:rPr>
          <w:rFonts w:ascii="Book Antiqua" w:hAnsi="Book Antiqua"/>
          <w:noProof/>
          <w:color w:val="000000" w:themeColor="text1"/>
          <w:lang w:val="id-ID"/>
        </w:rPr>
        <w:t xml:space="preserve"> (</w:t>
      </w:r>
      <w:r w:rsidR="00B3494A" w:rsidRPr="006950A1">
        <w:rPr>
          <w:rFonts w:ascii="Book Antiqua" w:hAnsi="Book Antiqua"/>
          <w:noProof/>
          <w:color w:val="000000" w:themeColor="text1"/>
          <w:lang w:val="en-US"/>
        </w:rPr>
        <w:t>2018)</w:t>
      </w:r>
      <w:r w:rsidR="00B3494A" w:rsidRPr="006950A1">
        <w:rPr>
          <w:rFonts w:ascii="Book Antiqua" w:hAnsi="Book Antiqua"/>
          <w:color w:val="000000" w:themeColor="text1"/>
          <w:lang w:val="id-ID"/>
        </w:rPr>
        <w:fldChar w:fldCharType="end"/>
      </w:r>
      <w:r w:rsidR="00B3494A" w:rsidRPr="006950A1">
        <w:rPr>
          <w:rFonts w:ascii="Book Antiqua" w:hAnsi="Book Antiqua"/>
          <w:color w:val="000000" w:themeColor="text1"/>
          <w:lang w:val="id-ID"/>
        </w:rPr>
        <w:t xml:space="preserve"> </w:t>
      </w:r>
      <w:r w:rsidR="00761470" w:rsidRPr="00761470">
        <w:rPr>
          <w:rFonts w:ascii="Book Antiqua" w:hAnsi="Book Antiqua"/>
          <w:color w:val="000000" w:themeColor="text1"/>
          <w:lang w:val="id-ID"/>
        </w:rPr>
        <w:t xml:space="preserve">looking at the influence of Intellectual Capital (IC) on financial performance shows that the Structural Capital component has an effect on improving financial </w:t>
      </w:r>
      <w:r w:rsidR="00761470" w:rsidRPr="00761470">
        <w:rPr>
          <w:rFonts w:ascii="Book Antiqua" w:hAnsi="Book Antiqua"/>
          <w:color w:val="000000" w:themeColor="text1"/>
          <w:lang w:val="id-ID"/>
        </w:rPr>
        <w:lastRenderedPageBreak/>
        <w:t>performance, while Human Capital has no influence on improving financial performance</w:t>
      </w:r>
      <w:r w:rsidR="00B3494A" w:rsidRPr="006950A1">
        <w:rPr>
          <w:rFonts w:ascii="Book Antiqua" w:hAnsi="Book Antiqua"/>
          <w:color w:val="000000" w:themeColor="text1"/>
          <w:lang w:val="id-ID"/>
        </w:rPr>
        <w:t>.</w:t>
      </w:r>
    </w:p>
    <w:p w14:paraId="34687C4B" w14:textId="363BA3D5" w:rsidR="00E21470" w:rsidRPr="00E21470" w:rsidRDefault="00761470" w:rsidP="00E21470">
      <w:pPr>
        <w:ind w:firstLine="720"/>
        <w:jc w:val="both"/>
        <w:rPr>
          <w:rFonts w:ascii="Book Antiqua" w:hAnsi="Book Antiqua"/>
          <w:lang w:val="id-ID"/>
        </w:rPr>
      </w:pPr>
      <w:r w:rsidRPr="00761470">
        <w:rPr>
          <w:rFonts w:ascii="Book Antiqua" w:hAnsi="Book Antiqua"/>
          <w:lang w:val="id-ID"/>
        </w:rPr>
        <w:t>The role of Intellectual Capital (IC) as a driver of a company's value is needed, especially in sectors that require knowledge and skills such as the banking industry where the optimization of Intellectual Capital (IC) and physical capital must be balanced in improving financial performance</w:t>
      </w:r>
      <w:r w:rsidR="00E21470" w:rsidRPr="00E21470">
        <w:rPr>
          <w:rFonts w:ascii="Book Antiqua" w:hAnsi="Book Antiqua"/>
          <w:lang w:val="id-ID"/>
        </w:rPr>
        <w:t xml:space="preserve"> </w:t>
      </w:r>
      <w:r w:rsidR="00E21470" w:rsidRPr="00E21470">
        <w:rPr>
          <w:rFonts w:ascii="Book Antiqua" w:hAnsi="Book Antiqua"/>
          <w:lang w:val="id-ID"/>
        </w:rPr>
        <w:fldChar w:fldCharType="begin" w:fldLock="1"/>
      </w:r>
      <w:r w:rsidR="00154795">
        <w:rPr>
          <w:rFonts w:ascii="Book Antiqua" w:hAnsi="Book Antiqua"/>
          <w:lang w:val="id-ID"/>
        </w:rPr>
        <w:instrText>ADDIN CSL_CITATION {"citationItems":[{"id":"ITEM-1","itemData":{"DOI":"10.1108/13581981011033961","ISBN":"1358198101","ISSN":"17400279","abstract":"Purpose - Regulators such as Turner have identified excessive securitization, high leverage, extensive market trading and a bonus culture, as being major factors in bringing about the bank centred financial crisis of 2007-2009. Whilst it is inevitable that banks adopt procyclical business strategies, not all banks took excessive risks and subsequently had to be rescued by taxpayers. The paper examines the extent to which individual bank outcomes can be attributed to systematic differences in banking knowledge concerning the primary risks and value drivers of their organisations by bank board directors and top management. Design/methodology/approach - The paper reviews a wide range of theoretical, historical and empirical literatures on banking models and detailed case analyses of failing and non-failing banks. A framework for understanding the role and application of knowledge in banking is developed which suggests how banks, despite their pro-cyclical business strategies, are able to institutionalise learning and actively create new knowledge through time to improve bank organisation, intermediation and risk management. Findings - The paper finds that a lack of basic knowledge of banking risks and value drivers by the boards and senior managers of the failing banks were implicated in the banking crisis. These knowledge problems concerned banks’ understanding of their organisation, intermediation and risk management in an active market setting characterised by rapid economic and organisational change. Thus, the failing banks ignored or were unaware of this knowledge and hence experienced acute difficulties with learning the new knowledge needed to address the new problems thrown-up by the financial crisis. Practical implications - The analysis suggests that addressing this knowledge gap via the institutionalisation of banking knowledge ought to constitute an important element of any sustainable solution to the problems currently being experienced by the banking sector. By ensuring greater bank learning, knowledge creation, and knowledge use, governments and regulators could help reduce individual bank risk and the likelihood of future crisis. Originality/value - In contrast to the claims made by some politicians and banking insiders, the analysis indicates that the banking crisis and its severity were neither unpredictable nor unavoidable since some banks, by institutionalising banking knowledge and history of past crises, successfully avoided the pitfa…","author":[{"dropping-particle":"","family":"Holland","given":"John","non-dropping-particle":"","parse-names":false,"suffix":""}],"container-title":"Journal of Financial Regulation and Compliance","id":"ITEM-1","issue":"2","issued":{"date-parts":[["2010"]]},"page":"87-105","title":"Banks, knowledge and crisis: A case of knowledge and learning failure","type":"article-journal","volume":"18"},"uris":["http://www.mendeley.com/documents/?uuid=6d42bc79-3218-4868-bb85-4cc55edec32d","http://www.mendeley.com/documents/?uuid=90278a6f-1e66-4b2a-8941-4c1e61c17159"]}],"mendeley":{"formattedCitation":"(Holland, 2010)","plainTextFormattedCitation":"(Holland, 2010)","previouslyFormattedCitation":"(Holland, 2010)"},"properties":{"noteIndex":0},"schema":"https://github.com/citation-style-language/schema/raw/master/csl-citation.json"}</w:instrText>
      </w:r>
      <w:r w:rsidR="00E21470" w:rsidRPr="00E21470">
        <w:rPr>
          <w:rFonts w:ascii="Book Antiqua" w:hAnsi="Book Antiqua"/>
          <w:lang w:val="id-ID"/>
        </w:rPr>
        <w:fldChar w:fldCharType="separate"/>
      </w:r>
      <w:r w:rsidR="00E21470" w:rsidRPr="00E21470">
        <w:rPr>
          <w:rFonts w:ascii="Book Antiqua" w:hAnsi="Book Antiqua"/>
          <w:noProof/>
          <w:lang w:val="id-ID"/>
        </w:rPr>
        <w:t>(Holland, 2010)</w:t>
      </w:r>
      <w:r w:rsidR="00E21470" w:rsidRPr="00E21470">
        <w:rPr>
          <w:rFonts w:ascii="Book Antiqua" w:hAnsi="Book Antiqua"/>
          <w:lang w:val="id-ID"/>
        </w:rPr>
        <w:fldChar w:fldCharType="end"/>
      </w:r>
      <w:r w:rsidR="00E21470" w:rsidRPr="00E21470">
        <w:rPr>
          <w:rFonts w:ascii="Book Antiqua" w:hAnsi="Book Antiqua"/>
          <w:lang w:val="id-ID"/>
        </w:rPr>
        <w:t xml:space="preserve">. </w:t>
      </w:r>
      <w:r w:rsidRPr="00761470">
        <w:rPr>
          <w:rFonts w:ascii="Book Antiqua" w:hAnsi="Book Antiqua"/>
          <w:lang w:val="id-ID"/>
        </w:rPr>
        <w:t>Because most of the activities in banking are related to intellectual work, which in its operations involves direct interaction with customers and using systems based on information and communication technology in the development of new products and services provided</w:t>
      </w:r>
      <w:r w:rsidR="00E21470" w:rsidRPr="00E21470">
        <w:rPr>
          <w:rFonts w:ascii="Book Antiqua" w:hAnsi="Book Antiqua"/>
          <w:lang w:val="id-ID"/>
        </w:rPr>
        <w:t xml:space="preserve"> </w:t>
      </w:r>
      <w:r w:rsidR="00E21470" w:rsidRPr="00E21470">
        <w:rPr>
          <w:rFonts w:ascii="Book Antiqua" w:hAnsi="Book Antiqua"/>
          <w:lang w:val="id-ID"/>
        </w:rPr>
        <w:fldChar w:fldCharType="begin" w:fldLock="1"/>
      </w:r>
      <w:r w:rsidR="00154795">
        <w:rPr>
          <w:rFonts w:ascii="Book Antiqua" w:hAnsi="Book Antiqua"/>
          <w:lang w:val="id-ID"/>
        </w:rPr>
        <w:instrText>ADDIN CSL_CITATION {"citationItems":[{"id":"ITEM-1","itemData":{"DOI":"10.1108/14691931311323896","ISSN":"14691930","abstract":"Purpose: Intellectual capital is widely acknowledged as the most critical resource of modern organizations. Nevertheless, empirical evidence on its actual contribution to the dynamics of the value creation process remains scarce, especially within certain sectors and geographic regions. The purpose of this paper is to address this gap by investigating the effects of intellectual capital and its components on business performance in banking institutions within Luxembourg and Belgium. Design/methodology/approach: This empirical research is conducted using a dedicated survey instrument administered to over 200 banks. Data analysis is achieved through structural equation modeling. Findings: Results indicate that human capital contributes both directly and indirectly to business performance in the banking sector. Structural and relational capital are positively related to business performance, though results are not statistically significant. Surprisingly, relational capital has been evidenced to negatively moderate the effect of structural capital on performance. Research limitations/implications: Traditional limitations of a cross-sectional study apply with respect to the attribution of causality and the time lag effects. Practical implications: A set of reliable items to capture intellectual capital has been identified and represents actionable knowledge for implementing an intellectual capital dashboard in banks. The dominant role of human capital also provides insight to managers with respect to business performance levers. Originality/value: Disentangling the effects of intellectual capital on business performance is of the utmost importance in service firms, as they are heavily reliant on intangible resources and capabilities. This research contributes to develop current understanding of these effects. Moreover, interaction effects between human, structural and relational capital have also been uncovered, thus extending prior knowledge on these complex relationships. © Emerald Group Publishing Limited.","author":[{"dropping-particle":"","family":"Mention","given":"Anne Laure","non-dropping-particle":"","parse-names":false,"suffix":""},{"dropping-particle":"","family":"Bontis","given":"Nick","non-dropping-particle":"","parse-names":false,"suffix":""}],"container-title":"Journal of Intellectual Capital","id":"ITEM-1","issue":"2","issued":{"date-parts":[["2013"]]},"page":"286-309","title":"Intellectual capital and performance within the banking sector of Luxembourg and Belgium","type":"article-journal","volume":"14"},"uris":["http://www.mendeley.com/documents/?uuid=1b8cdd12-2f3a-4fc3-986c-2d5c7f2dea68","http://www.mendeley.com/documents/?uuid=1bcfd00d-8f33-410d-a83a-23a4ea3061b6"]}],"mendeley":{"formattedCitation":"(Mention &amp; Bontis, 2013)","plainTextFormattedCitation":"(Mention &amp; Bontis, 2013)","previouslyFormattedCitation":"(Mention &amp; Bontis, 2013)"},"properties":{"noteIndex":0},"schema":"https://github.com/citation-style-language/schema/raw/master/csl-citation.json"}</w:instrText>
      </w:r>
      <w:r w:rsidR="00E21470" w:rsidRPr="00E21470">
        <w:rPr>
          <w:rFonts w:ascii="Book Antiqua" w:hAnsi="Book Antiqua"/>
          <w:lang w:val="id-ID"/>
        </w:rPr>
        <w:fldChar w:fldCharType="separate"/>
      </w:r>
      <w:r w:rsidR="00E21470" w:rsidRPr="00E21470">
        <w:rPr>
          <w:rFonts w:ascii="Book Antiqua" w:hAnsi="Book Antiqua"/>
          <w:noProof/>
          <w:lang w:val="id-ID"/>
        </w:rPr>
        <w:t>(Mention &amp; Bontis, 2013)</w:t>
      </w:r>
      <w:r w:rsidR="00E21470" w:rsidRPr="00E21470">
        <w:rPr>
          <w:rFonts w:ascii="Book Antiqua" w:hAnsi="Book Antiqua"/>
          <w:lang w:val="id-ID"/>
        </w:rPr>
        <w:fldChar w:fldCharType="end"/>
      </w:r>
      <w:r w:rsidR="00E21470" w:rsidRPr="00E21470">
        <w:rPr>
          <w:rFonts w:ascii="Book Antiqua" w:hAnsi="Book Antiqua"/>
          <w:lang w:val="id-ID"/>
        </w:rPr>
        <w:t xml:space="preserve">. </w:t>
      </w:r>
      <w:r w:rsidRPr="00761470">
        <w:rPr>
          <w:rFonts w:ascii="Book Antiqua" w:hAnsi="Book Antiqua"/>
          <w:lang w:val="id-ID"/>
        </w:rPr>
        <w:t>Thus, the efficient use of Intellectual Capital (IC) plays an important role in achieving success in banking, which means that investment in matters related to Intellectual Capital (IC) such as human resources, brand development, technological systems and operational processes can improve the quality of services of banking. In line with this, several studies conducted in the banking sector, both on Islamic banks and conventional banks, show that Intellectual Capital (IC) has a positive effect on banking financial performance</w:t>
      </w:r>
      <w:r>
        <w:rPr>
          <w:rFonts w:ascii="Book Antiqua" w:hAnsi="Book Antiqua"/>
          <w:lang w:val="en-GB"/>
        </w:rPr>
        <w:t xml:space="preserve"> </w:t>
      </w:r>
      <w:r w:rsidR="00E21470" w:rsidRPr="00E21470">
        <w:rPr>
          <w:rFonts w:ascii="Book Antiqua" w:hAnsi="Book Antiqua"/>
          <w:lang w:val="id-ID"/>
        </w:rPr>
        <w:fldChar w:fldCharType="begin" w:fldLock="1"/>
      </w:r>
      <w:r w:rsidR="00154795">
        <w:rPr>
          <w:rFonts w:ascii="Book Antiqua" w:hAnsi="Book Antiqua"/>
          <w:lang w:val="id-ID"/>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2017)","plainTextFormattedCitation":"(Nawaz &amp; Haniffa, 2017)","previouslyFormattedCitation":"(Nawaz &amp; Haniffa, 2017)"},"properties":{"noteIndex":0},"schema":"https://github.com/citation-style-language/schema/raw/master/csl-citation.json"}</w:instrText>
      </w:r>
      <w:r w:rsidR="00E21470" w:rsidRPr="00E21470">
        <w:rPr>
          <w:rFonts w:ascii="Book Antiqua" w:hAnsi="Book Antiqua"/>
          <w:lang w:val="id-ID"/>
        </w:rPr>
        <w:fldChar w:fldCharType="separate"/>
      </w:r>
      <w:r w:rsidR="00E21470" w:rsidRPr="00E21470">
        <w:rPr>
          <w:rFonts w:ascii="Book Antiqua" w:hAnsi="Book Antiqua"/>
          <w:noProof/>
          <w:lang w:val="id-ID"/>
        </w:rPr>
        <w:t>(Nawaz &amp; Haniffa, 2017)</w:t>
      </w:r>
      <w:r w:rsidR="00E21470" w:rsidRPr="00E21470">
        <w:rPr>
          <w:rFonts w:ascii="Book Antiqua" w:hAnsi="Book Antiqua"/>
          <w:lang w:val="id-ID"/>
        </w:rPr>
        <w:fldChar w:fldCharType="end"/>
      </w:r>
      <w:r w:rsidR="00E21470" w:rsidRPr="00E21470">
        <w:rPr>
          <w:rFonts w:ascii="Book Antiqua" w:hAnsi="Book Antiqua"/>
          <w:lang w:val="id-ID"/>
        </w:rPr>
        <w:t xml:space="preserve">. </w:t>
      </w:r>
      <w:r w:rsidRPr="00761470">
        <w:rPr>
          <w:rFonts w:ascii="Book Antiqua" w:hAnsi="Book Antiqua"/>
          <w:lang w:val="id-ID"/>
        </w:rPr>
        <w:t>Which means that the creation and utilization of intellectual capital (IC) in banking institutions is efficiently able to provide added value which will then contribute to an increase in the ability to compete in the banking sector, as well as encourage the improvement of banking financial performance.</w:t>
      </w:r>
    </w:p>
    <w:p w14:paraId="5090645F" w14:textId="77777777" w:rsidR="00E21470" w:rsidRPr="00201E1B" w:rsidRDefault="00E21470" w:rsidP="00B3494A">
      <w:pPr>
        <w:ind w:firstLine="720"/>
        <w:jc w:val="both"/>
        <w:rPr>
          <w:rFonts w:ascii="Book Antiqua" w:hAnsi="Book Antiqua"/>
          <w:lang w:val="id-ID"/>
        </w:rPr>
      </w:pPr>
    </w:p>
    <w:p w14:paraId="115BC7F1" w14:textId="77777777" w:rsidR="00761470" w:rsidRDefault="00761470" w:rsidP="00761470">
      <w:pPr>
        <w:jc w:val="both"/>
        <w:rPr>
          <w:rFonts w:ascii="Book Antiqua" w:hAnsi="Book Antiqua"/>
          <w:b/>
          <w:bCs/>
          <w:lang w:val="en-US"/>
        </w:rPr>
      </w:pPr>
      <w:r w:rsidRPr="00761470">
        <w:rPr>
          <w:rFonts w:ascii="Book Antiqua" w:hAnsi="Book Antiqua"/>
          <w:b/>
          <w:bCs/>
          <w:lang w:val="en-US"/>
        </w:rPr>
        <w:t>The Relationship between Good Corporate Governance (GCG) and Financial Performance</w:t>
      </w:r>
    </w:p>
    <w:p w14:paraId="57DCE730" w14:textId="6D4A813A" w:rsidR="00FD2B40" w:rsidRPr="00FD2B40" w:rsidRDefault="00761470" w:rsidP="00761470">
      <w:pPr>
        <w:jc w:val="both"/>
        <w:rPr>
          <w:rFonts w:ascii="Book Antiqua" w:hAnsi="Book Antiqua"/>
          <w:color w:val="000000" w:themeColor="text1"/>
          <w:lang w:val="id-ID"/>
        </w:rPr>
      </w:pPr>
      <w:r w:rsidRPr="00761470">
        <w:rPr>
          <w:rFonts w:ascii="Book Antiqua" w:hAnsi="Book Antiqua"/>
          <w:color w:val="000000" w:themeColor="text1"/>
          <w:lang w:val="id-ID"/>
        </w:rPr>
        <w:t xml:space="preserve">The main theoretical approach that explains the relationship between Corporate Governance and financial performance is agency theory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{"citationItems":[{"id":"ITEM-1","itemData":{"DOI":"10.1016/j.econmod.2014.03.013","ISSN":"02649993","abstract":"In this study, a sample of 257 Singaporean domiciled non-financial listed companies is investigated using a system generalised method of moments (system GMM) estimator. This approach allows for controlling the potential sources of endogeneity which are inherent in the performance-governance relationship. Our findings strongly support the proposition that the relationship between corporate governance structures and firm performance is dynamic by nature. Moreover, our results show that the internal corporate governance structures do matter in Singapore, where the market for corporate control is relatively poor. This study is novel as it is the first to explore the corporate governance-firm performance nexus using a dynamic approach for the Singapore market. This study significantly contributes to a better understanding of international diversity on corporate governance by providing further empirical evidence from an emerging market characterised by the best corporate governance practices in the Asian region. © 2014 Elsevier B.V.","author":[{"dropping-particle":"","family":"Nguyen","given":"Tuan","non-dropping-particle":"","parse-names":false,"suffix":""},{"dropping-particle":"","family":"Locke","given":"Stuart","non-dropping-particle":"","parse-names":false,"suffix":""},{"dropping-particle":"","family":"Reddy","given":"Krishna","non-dropping-particle":"","parse-names":false,"suffix":""}],"container-title":"Economic Modelling","id":"ITEM-1","issued":{"date-parts":[["2014"]]},"page":"1-11","publisher":"Elsevier B.V.","title":"A dynamic estimation of governance structures and financial performance for Singaporean companies","type":"article-journal","volume":"40"},"uris":["http://www.mendeley.com/documents/?uuid=7532d4fe-1d43-4d14-ba67-7305cf3c834c","http://www.mendeley.com/documents/?uuid=8dfa80e9-57e1-44c3-b378-d714953f2ecd"]}],"mendeley":{"formattedCitation":"(Nguyen et al., 2014)","plainTextFormattedCitation":"(Nguyen et al., 2014)","previouslyFormattedCitation":"(Nguyen et al., 2014)"},"properties":{"noteIndex":0},"schema":"https://github.com/citation-style-language/schema/raw/master/csl-citation.json"}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(Nguyen et al., 2014)</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Agency theory is the relationship between the owner of the company and the agent, with the decision-making authority represented to the agent, where in the agency relationship, a possible conflict of interest between the owner of the company and the agent can occur. Different points of view where shareholders or company owners demand increased company profitability and dividends, while managers (agents) prefer to maximize the fulfillment of economic and psychological needs. On the basis of agency theory, management is encouraged to carry out profit management in presenting finances transparently</w:t>
      </w:r>
      <w:r w:rsidR="00FD2B40" w:rsidRPr="00FD2B40">
        <w:rPr>
          <w:rFonts w:ascii="Book Antiqua" w:hAnsi="Book Antiqua"/>
          <w:color w:val="000000" w:themeColor="text1"/>
          <w:lang w:val="id-ID"/>
        </w:rPr>
        <w:t xml:space="preserv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{"citationItems":[{"id":"ITEM-1","itemData":{"DOI":"http://dx.doi.org/10.1016/0304-405X(76)90026-X","ISBN":"0304-405X","ISSN":"0304405X","PMID":"12243301","abstract":"This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optirnality of their existence. We also provide a new definition of the firm, and show how our analysis of the factors in-fluencing tht-creation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frcqucntly watch over their own. Like the stewards of a rich man, they are apt to consider attention to small matters as not for their master's honour, and very easily give thcmsclvcs a dispensation from having it. Negligence and profusion, there-fore, must always prevail, more or Icss, in the management of the affairs of such a company. Adam Smith. Tire W&amp;rh of Ndutrs, 1776, Cannan Edition (Modern Library, New York, 1937) p. 700.","author":[{"dropping-particle":"","family":"Jensen","given":"Michael C","non-dropping-particle":"","parse-names":false,"suffix":""},{"dropping-particle":"","family":"Meckling","given":"William H","non-dropping-particle":"","parse-names":false,"suffix":""}],"container-title":"Journal of Financial Economics","id":"ITEM-1","issued":{"date-parts":[["1976"]]},"page":"305-360","title":"Theory of the Firm: Managerial","type":"article-journal","volume":"3"},"uris":["http://www.mendeley.com/documents/?uuid=3353ae62-483c-442c-8b7d-4c71982cb98b","http://www.mendeley.com/documents/?uuid=28a11fe3-9d38-498e-afa8-bbaa54126ba8"]}],"mendeley":{"formattedCitation":"(Jensen &amp; Meckling, 1976)","plainTextFormattedCitation":"(Jensen &amp; Meckling, 1976)","previouslyFormattedCitation":"(Jensen &amp; Meckling, 1976)"},"properties":{"noteIndex":0},"schema":"https://github.com/citation-style-language/schema/raw/master/csl-citation.json"}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(Jensen &amp; Meckling, 1976)</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 xml:space="preserve">Therefore, to prevent contract problems between management and investors and limit opportunistic management behavior, namely through the implementation of Good Corporate Governance (GCG)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{"citationItems":[{"id":"ITEM-1","itemData":{"DOI":"10.1007/s10693-016-0245-2","ISSN":"15730735","abstract":"We examine whether the difference in governance structures influences the risk taking and performance of Islamic banks compared to conventional banks. Using a sample of 52 Islamic banks and 104 conventional banks in 14 countries for the period from 2005 to 2013, we conclude that the governance structure in Islamic banks plays a crucial role in risk taking as well as financial performance that is distinct from conventional banks. Particularly, we show that the governance structure in Islamic banks allows them to take higher risks and achieve better performance because of product complexities and transaction mechanisms. However, Islamic banks maintain a higher capitalization compared to conventional banks. These results support the research on Islamic investment and risk taking. Our results add a new dimension to the governance research that could be a valuable source of knowledge for policy makers and regulators in the financial services sector.","author":[{"dropping-particle":"","family":"Mollah","given":"Sabur","non-dropping-particle":"","parse-names":false,"suffix":""},{"dropping-particle":"","family":"Hassan","given":"M. Kabir","non-dropping-particle":"","parse-names":false,"suffix":""},{"dropping-particle":"","family":"Farooque","given":"Omar","non-dropping-particle":"Al","parse-names":false,"suffix":""},{"dropping-particle":"","family":"Mobarek","given":"Asma","non-dropping-particle":"","parse-names":false,"suffix":""}],"container-title":"Journal of Financial Services Research","id":"ITEM-1","issue":"2","issued":{"date-parts":[["2017"]]},"page":"195-219","publisher":"Journal of Financial Services Research","title":"The governance, risk-taking, and performance of Islamic banks","type":"article-journal","volume":"51"},"uris":["http://www.mendeley.com/documents/?uuid=374872f2-bf86-48b5-a1ed-5250a1c1c35c","http://www.mendeley.com/documents/?uuid=6f1f9727-4c40-4e86-b08f-ef3892454d09"]}],"mendeley":{"formattedCitation":"(Mollah et al., 2017)","plainTextFormattedCitation":"(Mollah et al., 2017)","previouslyFormattedCitation":"(Mollah et al., 2017)"},"properties":{"noteIndex":0},"schema":"https://github.com/citation-style-language/schema/raw/master/csl-citation.json"}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(Mollah et al., 2017)</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 xml:space="preserve">Therefore, Good Corporate Governance (GCG) and financial performance have a unidirectional or positive relationship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{"citationItems":[{"id":"ITEM-1","itemData":{"DOI":"10.1108/ajar-06-2018-0008","ISSN":"2443-4175","abstract":"The purpose of this paper is to determine the direct influence of the mechanism of good corporate governance (GCG) and corporate social responsibility (CSR) on financial performance as well as through earnings management as a mediating variable.","author":[{"dropping-particle":"","family":"Mahrani","given":"Mayang","non-dropping-particle":"","parse-names":false,"suffix":""},{"dropping-particle":"","family":"Soewarno","given":"Noorlailie","non-dropping-particle":"","parse-names":false,"suffix":""}],"container-title":"Asian Journal of Accounting Research","id":"ITEM-1","issue":"1","issued":{"date-parts":[["2018"]]},"page":"41-60","title":"The effect of good corporate governance mechanism and corporate social responsibility on financial performance with earnings management as mediating variable","type":"article-journal","volume":"3"},"uris":["http://www.mendeley.com/documents/?uuid=bbb4ceaa-06e0-483b-afbe-617ff167d37d","http://www.mendeley.com/documents/?uuid=fa66f3ce-9725-44e6-9afd-ec31f9e6a3b8"]}],"mendeley":{"formattedCitation":"(Mahrani &amp; Soewarno, 2018)","plainTextFormattedCitation":"(Mahrani &amp; Soewarno, 2018)","previouslyFormattedCitation":"(Mahrani &amp; Soewarno, 2018)"},"properties":{"noteIndex":0},"schema":"https://github.com/citation-style-language/schema/raw/master/csl-citation.json"}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(Mahrani &amp; Soewarno, 2018)</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This is because the number of independent commissioners who are also included in corporate governance can affect the objectivity of decision making so that it will encourage improvement in financial performance</w:t>
      </w:r>
      <w:r>
        <w:rPr>
          <w:rFonts w:ascii="Book Antiqua" w:hAnsi="Book Antiqua"/>
          <w:color w:val="000000" w:themeColor="text1"/>
          <w:lang w:val="en-GB"/>
        </w:rPr>
        <w:t xml:space="preserve">. </w:t>
      </w:r>
      <w:r w:rsidRPr="00761470">
        <w:rPr>
          <w:rFonts w:ascii="Book Antiqua" w:hAnsi="Book Antiqua"/>
          <w:color w:val="000000" w:themeColor="text1"/>
          <w:lang w:val="id-ID"/>
        </w:rPr>
        <w:t xml:space="preserve">Good governance will support good managerial operations as well which will further have a positive </w:t>
      </w:r>
      <w:r w:rsidRPr="00761470">
        <w:rPr>
          <w:rFonts w:ascii="Book Antiqua" w:hAnsi="Book Antiqua"/>
          <w:color w:val="000000" w:themeColor="text1"/>
          <w:lang w:val="id-ID"/>
        </w:rPr>
        <w:lastRenderedPageBreak/>
        <w:t xml:space="preserve">influence on the company's profitability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{"citationItems":[{"id":"ITEM-1","itemData":{"author":[{"dropping-particle":"","family":"Ofoeda","given":"Isaac","non-dropping-particle":"","parse-names":false,"suffix":""}],"id":"ITEM-1","issued":{"date-parts":[["2016"]]},"title":"and non-bank financial institutions profitability Corporate Governance International Journal of Law and Management","type":"article-journal"},"uris":["http://www.mendeley.com/documents/?uuid=00818e7e-b8da-476f-8195-8a940bdc7c6d","http://www.mendeley.com/documents/?uuid=4511e5ba-1121-4803-906a-b951a01179cc"]}],"mendeley":{"formattedCitation":"(Ofoeda, 2016)","manualFormatting":"(Ofoeda, 2016","plainTextFormattedCitation":"(Ofoeda, 2016)","previouslyFormattedCitation":"(Ofoeda, 2016)"},"properties":{"noteIndex":0},"schema":"https://github.com/citation-style-language/schema/raw/master/csl-citation.json"}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(Ofoeda, 2016</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{"citationItems":[{"id":"ITEM-1","itemData":{"DOI":"10.1108/CG-01-2017-0011","ISSN":"14720701","abstract":"Purpose: The purpose of this paper is to analyze the effect of corporate governance practices on firms’ financial performance, as measured by comprehensive income (CI). Design/methodology/approach: Using a sample of 237 firms from the Standards &amp; Poor (S&amp;P) 500 index during the years 2004-2009, multivariate statistical analyses are conducted to confirm the authors’ main hypothesis. Findings: The results indicate that having high levels of corporate governance culture has a positive impact on a measure of firms’ financial performance, namely, CI. Furthermore, they indicate a positive correlation between a higher percentage of external directors and financial performance, and a negative relationship between number of board meetings and financial performance. Originality/value: The main contribution of this research is that good corporate governance strategies deliver superior financial performance for businesses in terms of CI. This serves as a method of value creation, which is the ultimate goal of a business. In addition to the use of CI as an indicator of financial performance, a unique measure of corporate governance level is tested.","author":[{"dropping-particle":"","family":"López-Quesada","given":"Erika","non-dropping-particle":"","parse-names":false,"suffix":""},{"dropping-particle":"","family":"Camacho-Miñano","given":"María del Mar","non-dropping-particle":"","parse-names":false,"suffix":""},{"dropping-particle":"","family":"O. Idowu","given":"Samuel","non-dropping-particle":"","parse-names":false,"suffix":""}],"container-title":"Corporate Governance (Bingley)","id":"ITEM-1","issue":"3","issued":{"date-parts":[["2018"]]},"page":"462-477","title":"Corporate governance practices and comprehensive income","type":"article-journal","volume":"18"},"uris":["http://www.mendeley.com/documents/?uuid=59f92cb7-41e8-43bd-9363-fdd35fa98303","http://www.mendeley.com/documents/?uuid=2f49ab3f-f003-49c0-b993-3269fdf3f627"]}],"mendeley":{"formattedCitation":"(López-Quesada et al., 2018)","manualFormatting":"López-Quesada et al., 2018","plainTextFormattedCitation":"(López-Quesada et al., 2018)","previouslyFormattedCitation":"(López-Quesada et al., 2018)"},"properties":{"noteIndex":0},"schema":"https://github.com/citation-style-language/schema/raw/master/csl-citation.json"}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López-Quesada et al., 2018</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Because companies with the implementation of good governance can protect the interests of shareholders, minimize agency problems and achieve superior organizational performance with continuously improving financial performance. In this regard, in Islamic banking the interest of stakeholders or shareholders is not limited to achieving profits or maximizing wealth but also the implementation of ethical aspects in its operations and sharia principles</w:t>
      </w:r>
      <w:r w:rsidR="00FD2B40" w:rsidRPr="00FD2B40">
        <w:rPr>
          <w:rFonts w:ascii="Book Antiqua" w:hAnsi="Book Antiqua"/>
          <w:color w:val="000000" w:themeColor="text1"/>
          <w:lang w:val="id-ID"/>
        </w:rPr>
        <w:t xml:space="preserv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{"citationItems":[{"id":"ITEM-1","itemData":{"DOI":"10.1108/IMEFM-05-2017-0131","ISSN":"17538408","abstract":"Purpose: This paper aims to assess the measurement of the Corporate Governance (CG) quality of Islamic Banks (IBs) and its effect on financial performance. Design/methodology/approach: In the applied part of this study, a sample of 44 IBs operating in Bahrain, Kuwait, Qatar, Oman, the United Arab Emirates and the Kingdom of Saudi Arabia were investigated according to information provided by the national central bank websites of the Gulf Cooperation Council (GCC) countries. To measure the governance quality, CG-index was constructed based on three sub-indices which are the Board of Directors (BOD), the Audit Committees (AC) and the Shariah Supervisory Board (SSB) indices. Findings: Findings revealed that CG quality of IBs in GCC countries adhere to 74 per cent of the attributes addressed in the CG-index. The results also showed that IBs in GCC countries valued the effectiveness of SSB much more than the conventional CG mechanisms. Using multiple regression models, findings suggested no statistically significant relation between CG quality and financial performance which would imply that good CG had an insignificant association with high performance in GCC IBs. Originality/value: The current paper may serve to assist IBs stakeholders to better understand the CG practices of IBs. In addition, the observed insignificant relation between the quality of CG practices and performance should sensitize the IBs regulators in the GCC countries to the necessity of improving the existing CG requirements.","author":[{"dropping-particle":"","family":"Ajili","given":"Hana","non-dropping-particle":"","parse-names":false,"suffix":""},{"dropping-particle":"","family":"Bouri","given":"Abdelfettah","non-dropping-particle":"","parse-names":false,"suffix":""}],"container-title":"International Journal of Islamic and Middle Eastern Finance and Management","id":"ITEM-1","issue":"3","issued":{"date-parts":[["2018"]]},"page":"470-487","title":"Corporate governance quality of Islamic banks: measurement and effect on financial performance","type":"article-journal","volume":"11"},"uris":["http://www.mendeley.com/documents/?uuid=fbc120ab-bf10-4f07-a3e8-dbab93048ce8","http://www.mendeley.com/documents/?uuid=5c007107-ba55-468a-af0b-83871ed847d1"]}],"mendeley":{"formattedCitation":"(Ajili &amp; Bouri, 2018)","plainTextFormattedCitation":"(Ajili &amp; Bouri, 2018)","previouslyFormattedCitation":"(Ajili &amp; Bouri, 2018)"},"properties":{"noteIndex":0},"schema":"https://github.com/citation-style-language/schema/raw/master/csl-citation.json"}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(Ajili &amp; Bouri, 2018)</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 xml:space="preserve">In fulfilling these matters, Islamic banking requires an effective framework related to corporate governance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{"citationItems":[{"id":"ITEM-1","itemData":{"DOI":"10.1108/IMEFM-10-2013-0111","ISSN":"17538408","abstract":"Purpose – The purpose of this paper is to examine the relationship between board structure (consisting of board size, board composition, CEO role duality and chairman composition), investment account holders (IAHs) and social contribution and the bank performance in one of the fastest-growing industries, Islamic banking. Design/methodology/approach – A generalized least square (GLS) regression model was used to investigate such relationship applying data from a sample of 40 Islamic banks operating in Gulf Cooperation Council (GCC) countries over the period of 2008 until 2011. Findings – The results show that both size and composition of the board have a negative effect on bank performance. On the other hand, the separation of CEO and chairman roles and the IAHs have no effect, while the chairman independence has a positive impact. As for the control variables, bank size positively influences bank performance whereas leverage has a negative effect. Zakah and gross domestic product produce no significant effect on bank performance. Research limitations/implications – Even though the model has explained the significant part of the variation in performance, there are other factors considered as noise in the model which are unexplained due to the lack of data. As such, other mechanisms of corporate governance (CG) comprising attributes of the remuneration and nominating committees and ownership structure may be used in future research. The sample size is also limited; thus, in future research, the sample size could be increased by including Islamic banks operating in all Middle East countries. Practical implications – The results suggest that to yield a better bank performance, Islamic banks should enhance the effectiveness of CG through the board of directors (BODs), whereby any decisions made by the BODs would lead to greater investors’ confidence in the market. The results suggest that policymakers should impose new mechanisms that could impact the effectiveness and compliance of BODs on the code of CG and guidelines of micro-finance, in general, and among Islamic banks, in particular. The community also has the right to know up to what extent are the Islamic banks are in compliance with Shariah principles and rules and the impact of their transactions on the society’s welfare. Originality/value – BODs’ failures are the primary reason for the recent financial collapses, and Islamic banks are not spared from these events. Even though many studies have exam…","author":[{"dropping-particle":"","family":"Bukair","given":"Abdullah Awadh","non-dropping-particle":"","parse-names":false,"suffix":""},{"dropping-particle":"","family":"Abdul Rahman","given":"Azhar","non-dropping-particle":"","parse-names":false,"suffix":""}],"container-title":"International Journal of Islamic and Middle Eastern Finance and Management","id":"ITEM-1","issue":"3","issued":{"date-parts":[["2015"]]},"page":"291-309","title":"Bank performance and board of directors attributes by Islamic banks","type":"article-journal","volume":"8"},"uris":["http://www.mendeley.com/documents/?uuid=de3de318-7a43-4727-b193-3c374c273b30","http://www.mendeley.com/documents/?uuid=011c8649-8737-4eff-bb41-b2924434e072"]}],"mendeley":{"formattedCitation":"(Bukair &amp; Abdul Rahman, 2015)","plainTextFormattedCitation":"(Bukair &amp; Abdul Rahman, 2015)","previouslyFormattedCitation":"(Bukair &amp; Abdul Rahman, 2015)"},"properties":{"noteIndex":0},"schema":"https://github.com/citation-style-language/schema/raw/master/csl-citation.json"}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(Bukair &amp; Abdul Rahman, 2015)</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w:t>
      </w:r>
    </w:p>
    <w:p w14:paraId="509E0E8D" w14:textId="3C78082E" w:rsidR="00FD2B40" w:rsidRPr="00FD2B40" w:rsidRDefault="00761470" w:rsidP="00FD2B40">
      <w:pPr>
        <w:ind w:firstLine="720"/>
        <w:jc w:val="both"/>
        <w:rPr>
          <w:rFonts w:ascii="Book Antiqua" w:hAnsi="Book Antiqua"/>
          <w:color w:val="000000" w:themeColor="text1"/>
          <w:lang w:val="id-ID"/>
        </w:rPr>
      </w:pPr>
      <w:r w:rsidRPr="00761470">
        <w:rPr>
          <w:rFonts w:ascii="Book Antiqua" w:hAnsi="Book Antiqua"/>
          <w:color w:val="000000" w:themeColor="text1"/>
          <w:lang w:val="id-ID"/>
        </w:rPr>
        <w:t xml:space="preserve">One of the most important governance mechanisms is the size of the board, as indicated the participation of the board in the interests and activities of the company. The number of members on the board indicates effectiveness in controlling and directing the company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{"citationItems":[{"id":"ITEM-1","itemData":{"author":[{"dropping-particle":"","family":"Maztoul","given":"S.B.M","non-dropping-particle":"","parse-names":false,"suffix":""}],"container-title":"International Journal of Business and Management","id":"ITEM-1","issue":"2","issued":{"date-parts":[["2014"]]},"page":"276-290","title":"Does corporate governance matter in meeting and beating analysts’ forecasts","type":"article-journal","volume":"14"},"uris":["http://www.mendeley.com/documents/?uuid=bdd192cb-18b3-4194-b1b2-bd44f8ca8570","http://www.mendeley.com/documents/?uuid=2e7f0041-f64f-4b70-a489-61d1bc3d0d7a"]}],"mendeley":{"formattedCitation":"(Maztoul, 2014)","plainTextFormattedCitation":"(Maztoul, 2014)","previouslyFormattedCitation":"(Maztoul, 2014)"},"properties":{"noteIndex":0},"schema":"https://github.com/citation-style-language/schema/raw/master/csl-citation.json"}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(Maztoul, 2014)</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But on the research conducted by</w:t>
      </w:r>
      <w:r w:rsidR="00FD2B40" w:rsidRPr="00FD2B40">
        <w:rPr>
          <w:rFonts w:ascii="Book Antiqua" w:hAnsi="Book Antiqua"/>
          <w:color w:val="000000" w:themeColor="text1"/>
          <w:lang w:val="id-ID"/>
        </w:rPr>
        <w:t xml:space="preserv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{"citationItems":[{"id":"ITEM-1","itemData":{"DOI":"10.1108/EJMBE-07-2017-005","ISSN":"24448451","abstract":"Purpose – The purpose of this paper is to examine if certain board characteristics have an impact on the financial performance of manufacturing firms in India. Design/methodology/approach – The study draws on data from 275 firms listed in NSE during from 2011 to 2015, using a multiple regression model. The present study examines the effect of board characteristics such as board size, CEO duality, independence and board activity devoted to the effectiveness of firms performance regarding market and accounting based financial performance measures. Findings – The finding supports an inverse association between the extent of board characteristics and the firms’ performance indicators. The study also finds a statistically significant negative relationship between board size and Tobins Q, ROA and ROE. The evidence also shows that the board independence and meeting frequency moderate the relationship between return on equity and return on assets by enhancing these measures among corporate governance mechanisms. Research limitations/implications – The present study does not include all possible board characteristics, i.e., large shareholders dominance on the board and promoter’s and institutional shareholding, to support firm’s performance. Further research might include the ownership structure of the board to improve firm’s performance. Originality/value – The study focuses on the corporate governance issues such as size, duality, independence and activity of the boards and their influence on firm performance. The subject analyzes the possible impact of board characteristics and firm-related features that have received much attention from academic research, which has largely focused on studying the publications of corporate governance in India and Asian context.","author":[{"dropping-particle":"","family":"Palaniappan","given":"G.","non-dropping-particle":"","parse-names":false,"suffix":""}],"container-title":"European Journal of Management and Business Economics","id":"ITEM-1","issue":"1","issued":{"date-parts":[["2017"]]},"page":"67-85","title":"Determinants of corporate financial performance relating to board characteristics of corporate governance in Indian manufacturing industry: An empirical study","type":"article-journal","volume":"26"},"uris":["http://www.mendeley.com/documents/?uuid=df28454f-ab5d-44db-8026-71a708623581","http://www.mendeley.com/documents/?uuid=267bfcc8-8bd2-4768-a2be-63c75beff8fe"]}],"mendeley":{"formattedCitation":"(Palaniappan, 2017)","manualFormatting":"Palaniappan (2017)","plainTextFormattedCitation":"(Palaniappan, 2017)","previouslyFormattedCitation":"(Palaniappan, 2017)"},"properties":{"noteIndex":0},"schema":"https://github.com/citation-style-language/schema/raw/master/csl-citation.json"}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Palaniappan (2017)</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 xml:space="preserve">revealed that the size of the board included in corporate governance has a negative relationship to the company's financial performance. These findings are in line with the concept proposed by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{"citationItems":[{"id":"ITEM-1","itemData":{"DOI":"10.1108/17439130810837375","ISSN":"17439132","abstract":"Purpose - This paper aims to extend the empirical literature on the determinants of agency costs by using a large sample of UK listed firms. Design/methodology/approach - The paper investigates the impact of several corporate governance mechanisms on two alternative proxies for agency costs, namely the ratio of total sales to total assets (asset turnover) and the ratio of selling, general and administrative expenses to total sales (SG&amp;A). The analysis depends on a cross-sectional regression approach. Findings - The results reveal that the capital structure characteristics of firms, namely bank debt and debt maturity, constitute important corporate governance devices for UK companies. Also, managerial ownership, managerial compensation and ownership concentration are strongly associated with agency costs. Finally, the results suggest that the impact exerted by specific internal governance mechanisms on agency costs varies with firms' growth opportunities. Originality/value - The analysis adds to the empirical literature on agency costs by providing useful insights into how debt maturity and managerial compensation can help mitigate agency-related problems. It also highlights important interactions between internal governance mechanisms and firm growth opportunities. © Emerald Group Publishing Limited.","author":[{"dropping-particle":"","family":"Florackis","given":"Chrisostomos","non-dropping-particle":"","parse-names":false,"suffix":""}],"container-title":"International Journal of Managerial Finance","id":"ITEM-1","issue":"1","issued":{"date-parts":[["2008"]]},"page":"37-59","title":"Agency costs and corporate governance mechanisms: Evidence for UK firms","type":"article-journal","volume":"4"},"uris":["http://www.mendeley.com/documents/?uuid=01a00e45-c999-4c14-a59a-9d48a3f73891","http://www.mendeley.com/documents/?uuid=1f32ae89-f373-4933-b754-f1e66ca0cd81"]}],"mendeley":{"formattedCitation":"(Florackis, 2008)","manualFormatting":"Florackis (2008)","plainTextFormattedCitation":"(Florackis, 2008)","previouslyFormattedCitation":"(Florackis, 2008)"},"properties":{"noteIndex":0},"schema":"https://github.com/citation-style-language/schema/raw/master/csl-citation.json"}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Florackis (2008)</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 xml:space="preserve"> </w:t>
      </w:r>
      <w:r w:rsidRPr="00761470">
        <w:rPr>
          <w:rFonts w:ascii="Book Antiqua" w:hAnsi="Book Antiqua"/>
          <w:color w:val="000000" w:themeColor="text1"/>
          <w:lang w:val="id-ID"/>
        </w:rPr>
        <w:t>which claims that the small size of the board is more effective in terms of coordination and communication. The negative relationship between governance and financial performance is also shown from the results of research conducted by</w:t>
      </w:r>
      <w:r w:rsidR="00FD2B40" w:rsidRPr="00FD2B40">
        <w:rPr>
          <w:rFonts w:ascii="Book Antiqua" w:hAnsi="Book Antiqua"/>
          <w:color w:val="000000" w:themeColor="text1"/>
          <w:lang w:val="id-ID"/>
        </w:rPr>
        <w:t xml:space="preserv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{"citationItems":[{"id":"ITEM-1","itemData":{"DOI":"10.1108/JFBM-11-2017-0036","ISBN":"1120170036","ISSN":"20436246","abstract":"Purpose: The purpose of this paper is to attempt to fill a research gap in the relationship between corporate governance mechanisms and financial performance of family and non-family firms’ by using a sample of non-financial firms listed on Amman Stock Exchange (ASE) for the period 2009–2015. Design/methodology/approach: This research employs a quantitative method using data that include corporate governance mechanisms, firm characteristics and financial ratios of a sample of Jordanian listed firms in the ASE over the period 2009–2015. The sample covers all companies that have been part of the ASE during the period including both family and non-family firms, part of total of 228 companies listed on the ASE as of 31 December 2015. The study used accounting-based measures such as return on asset (ROA) and market-based measures such as Tobin’s Q as proxies for corporate financial performance. Findings: The study found that board size both in term of Tobin’s Q and ROA has a negative relationship with the performance of family firms. In non-family firms, there is no systematic relationship with corporate performance. There is a strong relationship between corporate performance and independent directors in non-family firms. In addition, the authors found some evidence for a relationship between performance and independent directors in family firms. Also, results indicated that ownership concentration has an insignificant correlation with corporate performance and in family firms has a negative and significant correlation with Tobin’s Q. There is a significant relationship between local investors’ ownership and corporate performance as measured by Tobin’s Q in family and non-family firms. Originality/value: Studies concerned with the effect of corporate governance on firm performance remains comparatively under-researched in Middle East countries and Jordan in particular (Najib, 2007; Omet, 2004; Marashdeh, 2014). Moreover, studies investigating whether the practice of corporate governance has the same impact on family firm performance are still relatively less well known than those when ownership is distributed widely (non-family firms) (Jaggi, Leung and Gul, 2009; Prencipe and Bar-Yosef, 2011). This research is seeking to fill this current gap in Jordan, which is one of the developing countries with an emerging economics that are very poorly represented in the literature.","author":[{"dropping-particle":"","family":"Saidat","given":"Zaid","non-dropping-particle":"","parse-names":false,"suffix":""},{"dropping-particle":"","family":"Silva","given":"Mauricio","non-dropping-particle":"","parse-names":false,"suffix":""},{"dropping-particle":"","family":"Seaman","given":"Claire","non-dropping-particle":"","parse-names":false,"suffix":""}],"container-title":"Journal of Family Business Management","id":"ITEM-1","issue":"1","issued":{"date-parts":[["2019"]]},"page":"54-78","title":"The relationship between corporate governance and financial performance: Evidence from Jordanian family and nonfamily firms","type":"article-journal","volume":"9"},"uris":["http://www.mendeley.com/documents/?uuid=3bebaca2-c0b3-4a19-a9ab-d7c3158b4715","http://www.mendeley.com/documents/?uuid=5f506d45-9d19-4302-8353-dc6a28262a3e"]}],"mendeley":{"formattedCitation":"(Saidat et al., 2019)","manualFormatting":"Saidat et al. (2019)","plainTextFormattedCitation":"(Saidat et al., 2019)","previouslyFormattedCitation":"(Saidat et al., 2019)"},"properties":{"noteIndex":0},"schema":"https://github.com/citation-style-language/schema/raw/master/csl-citation.json"}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Saidat et al.</w:t>
      </w:r>
      <w:r>
        <w:rPr>
          <w:rFonts w:ascii="Book Antiqua" w:hAnsi="Book Antiqua"/>
          <w:noProof/>
          <w:color w:val="000000" w:themeColor="text1"/>
          <w:lang w:val="en-GB"/>
        </w:rPr>
        <w:t xml:space="preserve"> (</w:t>
      </w:r>
      <w:r w:rsidR="00FD2B40" w:rsidRPr="00FD2B40">
        <w:rPr>
          <w:rFonts w:ascii="Book Antiqua" w:hAnsi="Book Antiqua"/>
          <w:noProof/>
          <w:color w:val="000000" w:themeColor="text1"/>
          <w:lang w:val="id-ID"/>
        </w:rPr>
        <w:t>2019)</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w:t>
      </w:r>
      <w:r>
        <w:rPr>
          <w:rFonts w:ascii="Book Antiqua" w:hAnsi="Book Antiqua"/>
          <w:color w:val="000000" w:themeColor="text1"/>
          <w:lang w:val="en-GB"/>
        </w:rPr>
        <w:t xml:space="preserve"> </w:t>
      </w:r>
      <w:r w:rsidRPr="00761470">
        <w:rPr>
          <w:rFonts w:ascii="Book Antiqua" w:hAnsi="Book Antiqua"/>
          <w:color w:val="000000" w:themeColor="text1"/>
          <w:lang w:val="id-ID"/>
        </w:rPr>
        <w:t>Where this is because the research was carried out on a family company. because in family companies are reluctant to increase the number of boards in order to maintain control, and facilitate communication in decision making</w:t>
      </w:r>
      <w:r w:rsidR="00FD2B40" w:rsidRPr="00FD2B40">
        <w:rPr>
          <w:rFonts w:ascii="Book Antiqua" w:hAnsi="Book Antiqua"/>
          <w:color w:val="000000" w:themeColor="text1"/>
          <w:lang w:val="id-ID"/>
        </w:rPr>
        <w:t xml:space="preserve"> </w:t>
      </w:r>
      <w:r w:rsidR="00FD2B40"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author":[{"dropping-particle":"","family":"Navarro","given":"M.S","non-dropping-particle":"","parse-names":false,"suffix":""},{"dropping-particle":"","family":"Ansón","given":"S.G","non-dropping-particle":"","parse-names":false,"suffix":""}],"container-title":"Journal of Management &amp; Organization","id":"ITEM-1","issue":"3","issued":{"date-parts":[["2009"]]},"page":"327-345","title":"Do families shape corporate governance structure?","type":"article-journal","volume":"16"},"uris":["http://www.mendeley.com/documents/?uuid=b2fe2acb-5e92-40fc-94c3-7fae40a5e942","http://www.mendeley.com/documents/?uuid=79a85563-bc38-4223-9913-f5dabd9c6b25"]}],"mendeley":{"formattedCitation":"(Navarro &amp; Ansón, 2009)","plainTextFormattedCitation":"(Navarro &amp; Ansón, 2009)","previouslyFormattedCitation":"(Navarro &amp; Ansón, 2009)"},"properties":{"noteIndex":0},"schema":"https://github.com/citation-style-language/schema/raw/master/csl-citation.json"}</w:instrText>
      </w:r>
      <w:r w:rsidR="00FD2B40" w:rsidRPr="00FD2B40">
        <w:rPr>
          <w:rFonts w:ascii="Book Antiqua" w:hAnsi="Book Antiqua"/>
          <w:color w:val="000000" w:themeColor="text1"/>
          <w:lang w:val="id-ID"/>
        </w:rPr>
        <w:fldChar w:fldCharType="separate"/>
      </w:r>
      <w:r w:rsidR="00FD2B40" w:rsidRPr="00FD2B40">
        <w:rPr>
          <w:rFonts w:ascii="Book Antiqua" w:hAnsi="Book Antiqua"/>
          <w:noProof/>
          <w:color w:val="000000" w:themeColor="text1"/>
          <w:lang w:val="id-ID"/>
        </w:rPr>
        <w:t>(Navarro &amp; Ansón, 2009)</w:t>
      </w:r>
      <w:r w:rsidR="00FD2B40" w:rsidRPr="00FD2B40">
        <w:rPr>
          <w:rFonts w:ascii="Book Antiqua" w:hAnsi="Book Antiqua"/>
          <w:color w:val="000000" w:themeColor="text1"/>
          <w:lang w:val="en-US"/>
        </w:rPr>
        <w:fldChar w:fldCharType="end"/>
      </w:r>
      <w:r w:rsidR="00FD2B40" w:rsidRPr="00FD2B40">
        <w:rPr>
          <w:rFonts w:ascii="Book Antiqua" w:hAnsi="Book Antiqua"/>
          <w:color w:val="000000" w:themeColor="text1"/>
          <w:lang w:val="id-ID"/>
        </w:rPr>
        <w:t>.</w:t>
      </w:r>
    </w:p>
    <w:bookmarkEnd w:id="6"/>
    <w:bookmarkEnd w:id="7"/>
    <w:p w14:paraId="2B714FF5" w14:textId="77777777" w:rsidR="00761470" w:rsidRDefault="00761470" w:rsidP="0024329F">
      <w:pPr>
        <w:rPr>
          <w:rFonts w:ascii="Book Antiqua" w:eastAsia="Times New Roman" w:hAnsi="Book Antiqua"/>
          <w:b/>
          <w:lang w:val="en-US" w:eastAsia="en-US"/>
        </w:rPr>
      </w:pPr>
    </w:p>
    <w:p w14:paraId="06C65585" w14:textId="3407D489" w:rsidR="00E46444" w:rsidRDefault="00E46444" w:rsidP="0024329F">
      <w:pPr>
        <w:rPr>
          <w:rFonts w:ascii="Book Antiqua" w:eastAsia="Times New Roman" w:hAnsi="Book Antiqua"/>
          <w:b/>
          <w:color w:val="FF0000"/>
          <w:lang w:val="en-US" w:eastAsia="en-US"/>
        </w:rPr>
      </w:pPr>
      <w:r>
        <w:rPr>
          <w:rFonts w:ascii="Book Antiqua" w:eastAsia="Times New Roman" w:hAnsi="Book Antiqua"/>
          <w:b/>
          <w:lang w:val="en-US" w:eastAsia="en-US"/>
        </w:rPr>
        <w:t xml:space="preserve">Hypothesis </w:t>
      </w:r>
      <w:bookmarkStart w:id="8" w:name="_Hlk71157345"/>
      <w:bookmarkStart w:id="9" w:name="OLE_LINK42"/>
    </w:p>
    <w:bookmarkEnd w:id="8"/>
    <w:bookmarkEnd w:id="9"/>
    <w:p w14:paraId="1CA487BA" w14:textId="357678CD" w:rsidR="00574869" w:rsidRDefault="00761470" w:rsidP="00574869">
      <w:pPr>
        <w:jc w:val="both"/>
        <w:rPr>
          <w:rFonts w:ascii="Book Antiqua" w:hAnsi="Book Antiqua"/>
          <w:bCs/>
          <w:iCs/>
          <w:lang w:val="en-GB"/>
        </w:rPr>
      </w:pPr>
      <w:r w:rsidRPr="00761470">
        <w:rPr>
          <w:rFonts w:ascii="Book Antiqua" w:hAnsi="Book Antiqua"/>
          <w:bCs/>
          <w:iCs/>
          <w:lang w:val="id-ID"/>
        </w:rPr>
        <w:t>According to</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{"citationItems":[{"id":"ITEM-1","itemData":{"author":[{"dropping-particle":"","family":"Barney","given":"Joy","non-dropping-particle":"","parse-names":false,"suffix":""}],"container-title":"Journal of Management","id":"ITEM-1","issue":"1","issued":{"date-parts":[["1991"]]},"page":"99-120","title":"Firm Resources and Sustained Competitive Advantage","type":"article-journal","volume":"17"},"uris":["http://www.mendeley.com/documents/?uuid=9429c8d5-cd60-4de4-9270-d61685d5f957","http://www.mendeley.com/documents/?uuid=514c26ba-ce2c-49fd-ac4c-99d99942655c"]}],"mendeley":{"formattedCitation":"(Barney, 1991)","plainTextFormattedCitation":"(Barney, 1991)","previouslyFormattedCitation":"(Barney, 1991)"},"properties":{"noteIndex":0},"schema":"https://github.com/citation-style-language/schema/raw/master/csl-citation.json"}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(Barney, 1991)</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Resource-based theory recognizes that intangible assets are an important factor in generating competitive advantage and sustainable advantage in creating quality performance. In this regard, IC plays an important role in the creation of corporate value</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{"citationItems":[{"id":"ITEM-1","itemData":{"DOI":"10.1108/09513570310464264","ISSN":"09513574","abstract":"This paper explores the organisation of the information market and its ability to process intellectual capital information for capital markets. Discusses also incentives for market participants to create and use information on the role of intellectual capital (IC) in corporate value creation, and the capability of the market for information to process and use such information in the stock market valuation of companies. Particular attention is paid to corporate disclosure of, and fund manager use of, such information. The analysis also extends the idea of a knowledge-intensive value creation process to fund managers and analysts. Problems within corporate, fund manager, and analysts knowledge-intensive value creation chains are considered to be a source of barriers to the creation and use of corporate IC information in markets. Further research on these chains and barriers is required to improve the flow of IC information into stock prices. © 2003, MCB UP Limited","author":[{"dropping-particle":"","family":"Holland","given":"John","non-dropping-particle":"","parse-names":false,"suffix":""}],"container-title":"Accounting, Auditing &amp; Accountability Journal","id":"ITEM-1","issue":"1","issued":{"date-parts":[["2003"]]},"page":"39-48","title":"Intellectual capital and the capital market – organisation and competence","type":"article-journal","volume":"16"},"uris":["http://www.mendeley.com/documents/?uuid=39f8a768-8221-43d0-bd9b-a7f8345f7671","http://www.mendeley.com/documents/?uuid=afbe2a4b-6a63-4f33-9b8c-83c0d9d81bde"]}],"mendeley":{"formattedCitation":"(Holland, 2003)","plainTextFormattedCitation":"(Holland, 2003)","previouslyFormattedCitation":"(Holland, 2003)"},"properties":{"noteIndex":0},"schema":"https://github.com/citation-style-language/schema/raw/master/csl-citation.json"}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(Holland, 2003)</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Value creation in knowledge-intensive sectors such as banking requires ICs and tangible assets at the same time</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{"citationItems":[{"id":"ITEM-1","itemData":{"DOI":"10.1108/00251749810204142","ISSN":"00251747","abstract":"This paper details an empirical pilot study that explores the development of several conceptual measures and models regarding intellectual capital and its impact on business performance. The objective of this pilot study is to explore the development of items and constructs through principal components analysis and partial least squares (PLS). The final retained, subjective measures and optimal structural specification show a valid, reliable, significant and substantive causal link between dimensions of intellectual capital and business performance. These results should help both academics and practitioners more readily understand the components of intellectual capital and provide insight into developing and increasing it within an organization. Suggestions are then made to advance and improve this research programme. © 1998, MCB UP Limited","author":[{"dropping-particle":"","family":"Bontis","given":"N.","non-dropping-particle":"","parse-names":false,"suffix":""}],"container-title":"Management Decision","id":"ITEM-1","issue":"2","issued":{"date-parts":[["1998"]]},"page":"63-76","title":"Intellectual capital: an exploratory study that develops measures and models","type":"article-journal","volume":"36"},"uris":["http://www.mendeley.com/documents/?uuid=b35b4d10-0671-4460-9d53-3e1487a451ed","http://www.mendeley.com/documents/?uuid=96068dd9-558c-4686-907b-048f5fb65a1f"]}],"mendeley":{"formattedCitation":"(Bontis, 1998)","manualFormatting":"(Bontis, 1998","plainTextFormattedCitation":"(Bontis, 1998)","previouslyFormattedCitation":"(Bontis, 1998)"},"properties":{"noteIndex":0},"schema":"https://github.com/citation-style-language/schema/raw/master/csl-citation.json"}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(Bontis, 1998</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dan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{"citationItems":[{"id":"ITEM-1","itemData":{"DOI":"10.1108/13683040410524757","ISSN":"13683047","abstract":"Taking into account the transformation in economic reality towards a knowledge economy it seems logical that we treat IC as a resource, equal to that land, physical assets, and financial capital. This means that it is not anymore treated as a cost but as an investment. In order for the new system to be consistent we have to define a new index, namely the value creation efficiency of intellectual capital. Its empirical applications shows that while revenue, profit and GDP may indicate successful performance, IC efficiency may indicate the opposite, that value is being destroyed and not created. © 2004, Emerald Group Publishing Limited","author":[{"dropping-particle":"","family":"Pulic","given":"Ante","non-dropping-particle":"","parse-names":false,"suffix":""}],"container-title":"Measuring Business Excellence","id":"ITEM-1","issue":"1","issued":{"date-parts":[["2004"]]},"page":"62-68","title":"Intellectual capital – does it create or destroy value?","type":"article-journal","volume":"8"},"uris":["http://www.mendeley.com/documents/?uuid=96cf774e-2868-4de9-bd5f-0417bb827854","http://www.mendeley.com/documents/?uuid=fcb0aa84-a063-448d-853d-6dcd1e8697a8"]}],"mendeley":{"formattedCitation":"(Pulic, 2004)","manualFormatting":"Pulic, 2004)","plainTextFormattedCitation":"(Pulic, 2004)","previouslyFormattedCitation":"(Pulic, 2004)"},"properties":{"noteIndex":0},"schema":"https://github.com/citation-style-language/schema/raw/master/csl-citation.json"}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Pulic, 2004)</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Research</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2017)","manualFormatting":"Nawaz &amp; Haniffa (2017)","plainTextFormattedCitation":"(Nawaz &amp; Haniffa, 2017)","previouslyFormattedCitation":"(Nawaz &amp; Haniffa, 2017)"},"properties":{"noteIndex":0},"schema":"https://github.com/citation-style-language/schema/raw/master/csl-citation.json"}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Nawaz &amp; Haniffa</w:t>
      </w:r>
      <w:r>
        <w:rPr>
          <w:rFonts w:ascii="Book Antiqua" w:hAnsi="Book Antiqua"/>
          <w:bCs/>
          <w:iCs/>
          <w:noProof/>
          <w:lang w:val="en-GB"/>
        </w:rPr>
        <w:t xml:space="preserve"> (</w:t>
      </w:r>
      <w:r w:rsidR="00574869" w:rsidRPr="00574869">
        <w:rPr>
          <w:rFonts w:ascii="Book Antiqua" w:hAnsi="Book Antiqua"/>
          <w:bCs/>
          <w:iCs/>
          <w:noProof/>
          <w:lang w:val="id-ID"/>
        </w:rPr>
        <w:t>2017)</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 xml:space="preserve">shows a significantly positive relationship between VAIC (IC) and the financial performance of Islamic banks proxied with ROA. In line with this research is the research of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{"citationItems":[{"id":"ITEM-1","itemData":{"DOI":"10.1108/IJPPM-07-2016-0132","ISSN":"17410401","abstract":"Purpose: Motivated by the increased attention on intellectual capital reporting (ICR) from regulatory bodies, practitioners, and researchers and the recent calls for companies to supplement and complement their traditional financial statements with intellectual capital (IC) disclosure, the purpose of this paper is to investigate the drivers of ICR among the companies listed on the Kuwait Stock Exchange (KSE). Design/methodology/approach: Content analysis was applied to the annual reports of all companies listed on the KSE in 2013. A multiple regression analysis was employed to explore the ICR drivers. Findings: Despite the growing importance of ICR in capital markets, the study findings reveal an overall relatively low level of ICR among KSE-listed companies. In addition, the level of ICR varies significantly between companies. The results show that the level of ICR for all KSE-listed companies in 2013 ranged from 0 to 96 percent and the mean was 28 percent. The multiple regression analysis suggests that older, highly leveraged, larger, and profitable KSE-listed companies are associated with higher levels of ICR. Industrial sector is a partial driver. Practical implications: Surprisingly, many of the KSE-listed companies do not disclose any IC information in their annual reports. Given the increasingly important role that IC information plays in capital markets, regulatory bodies should encourage, stimulate, and guide companies to report IC information. The findings offer insights as to the drivers of ICR that should improve efforts to develop recommendations that push for greater IC disclosure in corporate annual reports. Originality/value: The study is the first examination of ICR drivers in Kuwait. It contributes to the literature by providing empirical evidence about ICR in a market with specific economic, social, and cultural characteristics. It enhances our understanding of ICR by revealing some of its drivers.","author":[{"dropping-particle":"","family":"Alfraih","given":"Mishari M.","non-dropping-particle":"","parse-names":false,"suffix":""}],"container-title":"International Journal of Productivity and Performance Management","id":"ITEM-1","issue":"3","issued":{"date-parts":[["2018"]]},"page":"571-589","title":"What drives intellectual capital reporting? Evidence from Kuwait","type":"article-journal","volume":"67"},"uris":["http://www.mendeley.com/documents/?uuid=0c788960-70de-4324-9d41-49efda92a9ba","http://www.mendeley.com/documents/?uuid=191e9ff5-a6ba-4c71-b7f7-d0f51415999c"]}],"mendeley":{"formattedCitation":"(Alfraih, 2018)","manualFormatting":"Alfraih (2018)","plainTextFormattedCitation":"(Alfraih, 2018)","previouslyFormattedCitation":"(Alfraih, 2018)"},"properties":{"noteIndex":0},"schema":"https://github.com/citation-style-language/schema/raw/master/csl-citation.json"}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Alfraih</w:t>
      </w:r>
      <w:r>
        <w:rPr>
          <w:rFonts w:ascii="Book Antiqua" w:hAnsi="Book Antiqua"/>
          <w:bCs/>
          <w:iCs/>
          <w:noProof/>
          <w:lang w:val="en-GB"/>
        </w:rPr>
        <w:t xml:space="preserve"> (</w:t>
      </w:r>
      <w:r w:rsidR="00574869" w:rsidRPr="00574869">
        <w:rPr>
          <w:rFonts w:ascii="Book Antiqua" w:hAnsi="Book Antiqua"/>
          <w:bCs/>
          <w:iCs/>
          <w:noProof/>
          <w:lang w:val="id-ID"/>
        </w:rPr>
        <w:t>2018)</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en-GB"/>
        </w:rPr>
        <w:t xml:space="preserve">shows that IC has a positive effect on financial performance. </w:t>
      </w:r>
      <w:proofErr w:type="gramStart"/>
      <w:r w:rsidRPr="00761470">
        <w:rPr>
          <w:rFonts w:ascii="Book Antiqua" w:hAnsi="Book Antiqua"/>
          <w:bCs/>
          <w:iCs/>
          <w:lang w:val="en-GB"/>
        </w:rPr>
        <w:t>So</w:t>
      </w:r>
      <w:proofErr w:type="gramEnd"/>
      <w:r w:rsidRPr="00761470">
        <w:rPr>
          <w:rFonts w:ascii="Book Antiqua" w:hAnsi="Book Antiqua"/>
          <w:bCs/>
          <w:iCs/>
          <w:lang w:val="en-GB"/>
        </w:rPr>
        <w:t xml:space="preserve"> it can be said that maximum utilization of ICs will improve financial performance.</w:t>
      </w:r>
    </w:p>
    <w:p w14:paraId="41B68C2A" w14:textId="77777777" w:rsidR="00761470" w:rsidRPr="00574869" w:rsidRDefault="00761470" w:rsidP="00574869">
      <w:pPr>
        <w:jc w:val="both"/>
        <w:rPr>
          <w:rFonts w:ascii="Book Antiqua" w:hAnsi="Book Antiqua"/>
          <w:bCs/>
          <w:iCs/>
          <w:lang w:val="id-ID"/>
        </w:rPr>
      </w:pPr>
    </w:p>
    <w:p w14:paraId="221A158A" w14:textId="77777777" w:rsidR="00761470" w:rsidRDefault="00761470" w:rsidP="00574869">
      <w:pPr>
        <w:jc w:val="both"/>
        <w:rPr>
          <w:rFonts w:ascii="Book Antiqua" w:hAnsi="Book Antiqua"/>
          <w:b/>
          <w:bCs/>
          <w:iCs/>
          <w:lang w:val="id-ID"/>
        </w:rPr>
      </w:pPr>
      <w:r w:rsidRPr="00761470">
        <w:rPr>
          <w:rFonts w:ascii="Book Antiqua" w:hAnsi="Book Antiqua"/>
          <w:b/>
          <w:bCs/>
          <w:iCs/>
          <w:lang w:val="id-ID"/>
        </w:rPr>
        <w:t>H1 : Intellectual Capital (IC) has a significant positive effect on the financial performance of Islamic banking</w:t>
      </w:r>
    </w:p>
    <w:p w14:paraId="2D099D70" w14:textId="5E8AFCA1" w:rsidR="00574869" w:rsidRDefault="00761470" w:rsidP="00574869">
      <w:pPr>
        <w:jc w:val="both"/>
        <w:rPr>
          <w:rFonts w:ascii="Book Antiqua" w:hAnsi="Book Antiqua"/>
          <w:bCs/>
          <w:iCs/>
          <w:lang w:val="id-ID"/>
        </w:rPr>
      </w:pPr>
      <w:r w:rsidRPr="00761470">
        <w:rPr>
          <w:rFonts w:ascii="Book Antiqua" w:hAnsi="Book Antiqua"/>
          <w:bCs/>
          <w:iCs/>
          <w:lang w:val="id-ID"/>
        </w:rPr>
        <w:t>Independent commissioners with high professionalism will produce more objective decisions and realize effectiveness in supervising managers, so that the decisions taken are not for certain interests but for the common interest in order to improve financial performance</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{"citationItems":[{"id":"ITEM-1","itemData":{"DOI":"10.1108/ajar-06-2018-0008","ISSN":"2443-4175","abstract":"The purpose of this paper is to determine the direct influence of the mechanism of good corporate governance (GCG) and corporate social responsibility (CSR) on financial performance as well as through earnings management as a mediating variable.","author":[{"dropping-particle":"","family":"Mahrani","given":"Mayang","non-dropping-particle":"","parse-names":false,"suffix":""},{"dropping-particle":"","family":"Soewarno","given":"Noorlailie","non-dropping-particle":"","parse-names":false,"suffix":""}],"container-title":"Asian Journal of Accounting Research","id":"ITEM-1","issue":"1","issued":{"date-parts":[["2018"]]},"page":"41-60","title":"The effect of good corporate governance mechanism and corporate social responsibility on financial performance with earnings management as mediating variable","type":"article-journal","volume":"3"},"uris":["http://www.mendeley.com/documents/?uuid=fa66f3ce-9725-44e6-9afd-ec31f9e6a3b8","http://www.mendeley.com/documents/?uuid=bbb4ceaa-06e0-483b-afbe-617ff167d37d"]}],"mendeley":{"formattedCitation":"(Mahrani &amp; Soewarno, 2018)","plainTextFormattedCitation":"(Mahrani &amp; Soewarno, 2018)","previouslyFormattedCitation":"(Mahrani &amp; Soewarno, 2018)"},"properties":{"noteIndex":0},"schema":"https://github.com/citation-style-language/schema/raw/master/csl-citation.json"}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(Mahrani &amp; Soewarno, 2018)</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 xml:space="preserve">Therefore, good </w:t>
      </w:r>
      <w:r w:rsidRPr="00761470">
        <w:rPr>
          <w:rFonts w:ascii="Book Antiqua" w:hAnsi="Book Antiqua"/>
          <w:bCs/>
          <w:iCs/>
          <w:lang w:val="id-ID"/>
        </w:rPr>
        <w:lastRenderedPageBreak/>
        <w:t>corporate governance can encourage the improvement of financial performance owned. Research conducted by</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{"citationItems":[{"id":"ITEM-1","itemData":{"author":[{"dropping-particle":"","family":"Ofoeda","given":"Isaac","non-dropping-particle":"","parse-names":false,"suffix":""}],"id":"ITEM-1","issued":{"date-parts":[["2016"]]},"title":"and non-bank financial institutions profitability Corporate Governance International Journal of Law and Management","type":"article-journal"},"uris":["http://www.mendeley.com/documents/?uuid=4511e5ba-1121-4803-906a-b951a01179cc","http://www.mendeley.com/documents/?uuid=00818e7e-b8da-476f-8195-8a940bdc7c6d"]}],"mendeley":{"formattedCitation":"(Ofoeda, 2016)","manualFormatting":"Ofoeda (2016","plainTextFormattedCitation":"(Ofoeda, 2016)","previouslyFormattedCitation":"(Ofoeda, 2016)"},"properties":{"noteIndex":0},"schema":"https://github.com/citation-style-language/schema/raw/master/csl-citation.json"}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Ofoeda</w:t>
      </w:r>
      <w:r>
        <w:rPr>
          <w:rFonts w:ascii="Book Antiqua" w:hAnsi="Book Antiqua"/>
          <w:bCs/>
          <w:iCs/>
          <w:noProof/>
          <w:lang w:val="en-GB"/>
        </w:rPr>
        <w:t xml:space="preserve"> (</w:t>
      </w:r>
      <w:r w:rsidR="00574869" w:rsidRPr="00574869">
        <w:rPr>
          <w:rFonts w:ascii="Book Antiqua" w:hAnsi="Book Antiqua"/>
          <w:bCs/>
          <w:iCs/>
          <w:noProof/>
          <w:lang w:val="id-ID"/>
        </w:rPr>
        <w:t>2016</w:t>
      </w:r>
      <w:r w:rsidR="00574869" w:rsidRPr="00574869">
        <w:rPr>
          <w:rFonts w:ascii="Book Antiqua" w:hAnsi="Book Antiqua"/>
          <w:bCs/>
          <w:iCs/>
          <w:lang w:val="en-US"/>
        </w:rPr>
        <w:fldChar w:fldCharType="end"/>
      </w:r>
      <w:r>
        <w:rPr>
          <w:rFonts w:ascii="Book Antiqua" w:hAnsi="Book Antiqua"/>
          <w:bCs/>
          <w:iCs/>
          <w:lang w:val="en-US"/>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{"citationItems":[{"id":"ITEM-1","itemData":{"DOI":"10.1108/ajar-06-2018-0008","ISSN":"2443-4175","abstract":"The purpose of this paper is to determine the direct influence of the mechanism of good corporate governance (GCG) and corporate social responsibility (CSR) on financial performance as well as through earnings management as a mediating variable.","author":[{"dropping-particle":"","family":"Mahrani","given":"Mayang","non-dropping-particle":"","parse-names":false,"suffix":""},{"dropping-particle":"","family":"Soewarno","given":"Noorlailie","non-dropping-particle":"","parse-names":false,"suffix":""}],"container-title":"Asian Journal of Accounting Research","id":"ITEM-1","issue":"1","issued":{"date-parts":[["2018"]]},"page":"41-60","title":"The effect of good corporate governance mechanism and corporate social responsibility on financial performance with earnings management as mediating variable","type":"article-journal","volume":"3"},"uris":["http://www.mendeley.com/documents/?uuid=fa66f3ce-9725-44e6-9afd-ec31f9e6a3b8","http://www.mendeley.com/documents/?uuid=bbb4ceaa-06e0-483b-afbe-617ff167d37d"]}],"mendeley":{"formattedCitation":"(Mahrani &amp; Soewarno, 2018)","manualFormatting":"Mahrani &amp; Soewarno (2018","plainTextFormattedCitation":"(Mahrani &amp; Soewarno, 2018)","previouslyFormattedCitation":"(Mahrani &amp; Soewarno, 2018)"},"properties":{"noteIndex":0},"schema":"https://github.com/citation-style-language/schema/raw/master/csl-citation.json"}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Mahrani &amp; Soewarno</w:t>
      </w:r>
      <w:r>
        <w:rPr>
          <w:rFonts w:ascii="Book Antiqua" w:hAnsi="Book Antiqua"/>
          <w:bCs/>
          <w:iCs/>
          <w:noProof/>
          <w:lang w:val="en-GB"/>
        </w:rPr>
        <w:t xml:space="preserve"> (</w:t>
      </w:r>
      <w:r w:rsidR="00574869" w:rsidRPr="00574869">
        <w:rPr>
          <w:rFonts w:ascii="Book Antiqua" w:hAnsi="Book Antiqua"/>
          <w:bCs/>
          <w:iCs/>
          <w:noProof/>
          <w:lang w:val="id-ID"/>
        </w:rPr>
        <w:t>2018</w:t>
      </w:r>
      <w:r w:rsidR="00574869" w:rsidRPr="00574869">
        <w:rPr>
          <w:rFonts w:ascii="Book Antiqua" w:hAnsi="Book Antiqua"/>
          <w:bCs/>
          <w:iCs/>
          <w:lang w:val="en-US"/>
        </w:rPr>
        <w:fldChar w:fldCharType="end"/>
      </w:r>
      <w:r>
        <w:rPr>
          <w:rFonts w:ascii="Book Antiqua" w:hAnsi="Book Antiqua"/>
          <w:bCs/>
          <w:iCs/>
          <w:lang w:val="en-US"/>
        </w:rPr>
        <w:t xml:space="preserve">), </w:t>
      </w:r>
      <w:r w:rsidR="00574869" w:rsidRPr="00574869">
        <w:rPr>
          <w:rFonts w:ascii="Book Antiqua" w:hAnsi="Book Antiqua"/>
          <w:bCs/>
          <w:iCs/>
          <w:lang w:val="id-ID"/>
        </w:rPr>
        <w:t xml:space="preserve"> </w:t>
      </w:r>
      <w:r w:rsidR="00574869" w:rsidRPr="00574869">
        <w:rPr>
          <w:rFonts w:ascii="Book Antiqua" w:hAnsi="Book Antiqua"/>
          <w:bCs/>
          <w:iCs/>
          <w:lang w:val="id-ID"/>
        </w:rPr>
        <w:fldChar w:fldCharType="begin" w:fldLock="1"/>
      </w:r>
      <w:r w:rsidR="00154795">
        <w:rPr>
          <w:rFonts w:ascii="Book Antiqua" w:hAnsi="Book Antiqua"/>
          <w:bCs/>
          <w:iCs/>
          <w:lang w:val="id-ID"/>
        </w:rPr>
        <w:instrText>ADDIN CSL_CITATION {"citationItems":[{"id":"ITEM-1","itemData":{"DOI":"10.1108/CG-01-2017-0011","ISSN":"14720701","abstract":"Purpose: The purpose of this paper is to analyze the effect of corporate governance practices on firms’ financial performance, as measured by comprehensive income (CI). Design/methodology/approach: Using a sample of 237 firms from the Standards &amp; Poor (S&amp;P) 500 index during the years 2004-2009, multivariate statistical analyses are conducted to confirm the authors’ main hypothesis. Findings: The results indicate that having high levels of corporate governance culture has a positive impact on a measure of firms’ financial performance, namely, CI. Furthermore, they indicate a positive correlation between a higher percentage of external directors and financial performance, and a negative relationship between number of board meetings and financial performance. Originality/value: The main contribution of this research is that good corporate governance strategies deliver superior financial performance for businesses in terms of CI. This serves as a method of value creation, which is the ultimate goal of a business. In addition to the use of CI as an indicator of financial performance, a unique measure of corporate governance level is tested.","author":[{"dropping-particle":"","family":"López-Quesada","given":"Erika","non-dropping-particle":"","parse-names":false,"suffix":""},{"dropping-particle":"","family":"Camacho-Miñano","given":"María del Mar","non-dropping-particle":"","parse-names":false,"suffix":""},{"dropping-particle":"","family":"O. Idowu","given":"Samuel","non-dropping-particle":"","parse-names":false,"suffix":""}],"container-title":"Corporate Governance (Bingley)","id":"ITEM-1","issue":"3","issued":{"date-parts":[["2018"]]},"page":"462-477","title":"Corporate governance practices and comprehensive income","type":"article-journal","volume":"18"},"uris":["http://www.mendeley.com/documents/?uuid=2f49ab3f-f003-49c0-b993-3269fdf3f627","http://www.mendeley.com/documents/?uuid=59f92cb7-41e8-43bd-9363-fdd35fa98303"]}],"mendeley":{"formattedCitation":"(López-Quesada et al., 2018)","manualFormatting":"López-Quesada et al. (2018)","plainTextFormattedCitation":"(López-Quesada et al., 2018)","previouslyFormattedCitation":"(López-Quesada et al., 2018)"},"properties":{"noteIndex":0},"schema":"https://github.com/citation-style-language/schema/raw/master/csl-citation.json"}</w:instrText>
      </w:r>
      <w:r w:rsidR="00574869" w:rsidRPr="00574869">
        <w:rPr>
          <w:rFonts w:ascii="Book Antiqua" w:hAnsi="Book Antiqua"/>
          <w:bCs/>
          <w:iCs/>
          <w:lang w:val="id-ID"/>
        </w:rPr>
        <w:fldChar w:fldCharType="separate"/>
      </w:r>
      <w:r w:rsidR="00574869" w:rsidRPr="00574869">
        <w:rPr>
          <w:rFonts w:ascii="Book Antiqua" w:hAnsi="Book Antiqua"/>
          <w:bCs/>
          <w:iCs/>
          <w:noProof/>
          <w:lang w:val="id-ID"/>
        </w:rPr>
        <w:t>López-Quesada et al.</w:t>
      </w:r>
      <w:r>
        <w:rPr>
          <w:rFonts w:ascii="Book Antiqua" w:hAnsi="Book Antiqua"/>
          <w:bCs/>
          <w:iCs/>
          <w:noProof/>
          <w:lang w:val="en-GB"/>
        </w:rPr>
        <w:t xml:space="preserve"> (</w:t>
      </w:r>
      <w:r w:rsidR="00574869" w:rsidRPr="00574869">
        <w:rPr>
          <w:rFonts w:ascii="Book Antiqua" w:hAnsi="Book Antiqua"/>
          <w:bCs/>
          <w:iCs/>
          <w:noProof/>
          <w:lang w:val="id-ID"/>
        </w:rPr>
        <w:t>2018)</w:t>
      </w:r>
      <w:r w:rsidR="00574869" w:rsidRPr="00574869">
        <w:rPr>
          <w:rFonts w:ascii="Book Antiqua" w:hAnsi="Book Antiqua"/>
          <w:bCs/>
          <w:iCs/>
          <w:lang w:val="en-US"/>
        </w:rPr>
        <w:fldChar w:fldCharType="end"/>
      </w:r>
      <w:r w:rsidR="00574869" w:rsidRPr="00574869">
        <w:rPr>
          <w:rFonts w:ascii="Book Antiqua" w:hAnsi="Book Antiqua"/>
          <w:bCs/>
          <w:iCs/>
          <w:lang w:val="id-ID"/>
        </w:rPr>
        <w:t xml:space="preserve"> </w:t>
      </w:r>
      <w:r w:rsidRPr="00761470">
        <w:rPr>
          <w:rFonts w:ascii="Book Antiqua" w:hAnsi="Book Antiqua"/>
          <w:bCs/>
          <w:iCs/>
          <w:lang w:val="id-ID"/>
        </w:rPr>
        <w:t>mentioned that the quality of governance has a positive effect on the company's financial performance. Based on this description, the hypothesis taken is:</w:t>
      </w:r>
    </w:p>
    <w:p w14:paraId="4BA56F52" w14:textId="77777777" w:rsidR="00761470" w:rsidRPr="00574869" w:rsidRDefault="00761470" w:rsidP="00574869">
      <w:pPr>
        <w:jc w:val="both"/>
        <w:rPr>
          <w:rFonts w:ascii="Book Antiqua" w:hAnsi="Book Antiqua"/>
          <w:b/>
          <w:bCs/>
          <w:iCs/>
          <w:lang w:val="id-ID"/>
        </w:rPr>
      </w:pPr>
    </w:p>
    <w:p w14:paraId="0CDF096E" w14:textId="5C83F04D" w:rsidR="00574869" w:rsidRDefault="000D320A" w:rsidP="00082809">
      <w:pPr>
        <w:jc w:val="both"/>
        <w:rPr>
          <w:rFonts w:ascii="Book Antiqua" w:hAnsi="Book Antiqua"/>
          <w:b/>
          <w:bCs/>
          <w:iCs/>
          <w:lang w:val="id-ID"/>
        </w:rPr>
      </w:pPr>
      <w:r w:rsidRPr="000D320A">
        <w:rPr>
          <w:rFonts w:ascii="Book Antiqua" w:hAnsi="Book Antiqua"/>
          <w:b/>
          <w:bCs/>
          <w:iCs/>
          <w:lang w:val="id-ID"/>
        </w:rPr>
        <w:t>H2 :Good Corporate Governance (GCG) has a significant positive effect on the financial performance of Islamic banking</w:t>
      </w:r>
    </w:p>
    <w:p w14:paraId="4CA69F80" w14:textId="77777777" w:rsidR="000D320A" w:rsidRPr="00082809" w:rsidRDefault="000D320A" w:rsidP="00082809">
      <w:pPr>
        <w:jc w:val="both"/>
        <w:rPr>
          <w:rFonts w:ascii="Book Antiqua" w:hAnsi="Book Antiqua"/>
          <w:bCs/>
          <w:iCs/>
          <w:lang w:val="en-US"/>
        </w:rPr>
      </w:pPr>
    </w:p>
    <w:p w14:paraId="5FDA3DD1" w14:textId="63250466" w:rsidR="00AC7A51" w:rsidRPr="00082809" w:rsidRDefault="00AC7A51" w:rsidP="00B22C63">
      <w:pPr>
        <w:pStyle w:val="IEEEParagraph"/>
        <w:ind w:firstLine="0"/>
        <w:rPr>
          <w:rFonts w:ascii="Book Antiqua" w:hAnsi="Book Antiqua"/>
          <w:color w:val="FF0000"/>
          <w:lang w:val="en-US"/>
        </w:rPr>
      </w:pPr>
      <w:r>
        <w:rPr>
          <w:rFonts w:ascii="Book Antiqua" w:hAnsi="Book Antiqua"/>
          <w:noProof/>
          <w:color w:val="FF0000"/>
          <w:lang w:val="en-US"/>
        </w:rPr>
        <mc:AlternateContent>
          <mc:Choice Requires="wpg">
            <w:drawing>
              <wp:inline distT="0" distB="0" distL="0" distR="0" wp14:anchorId="3CEC8723" wp14:editId="72EBBC33">
                <wp:extent cx="4816475" cy="1955800"/>
                <wp:effectExtent l="0" t="0" r="22225" b="2540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6475" cy="1955800"/>
                          <a:chOff x="2194" y="2243"/>
                          <a:chExt cx="7585" cy="2881"/>
                        </a:xfrm>
                      </wpg:grpSpPr>
                      <wps:wsp>
                        <wps:cNvPr id="4" name="Rectangle 3"/>
                        <wps:cNvSpPr>
                          <a:spLocks noChangeArrowheads="1"/>
                        </wps:cNvSpPr>
                        <wps:spPr bwMode="auto">
                          <a:xfrm>
                            <a:off x="2194" y="2243"/>
                            <a:ext cx="2813" cy="804"/>
                          </a:xfrm>
                          <a:prstGeom prst="rect">
                            <a:avLst/>
                          </a:prstGeom>
                          <a:solidFill>
                            <a:srgbClr val="FFFFFF"/>
                          </a:solidFill>
                          <a:ln w="9525">
                            <a:solidFill>
                              <a:srgbClr val="000000"/>
                            </a:solidFill>
                            <a:miter lim="800000"/>
                            <a:headEnd/>
                            <a:tailEnd/>
                          </a:ln>
                        </wps:spPr>
                        <wps:txbx>
                          <w:txbxContent>
                            <w:p w14:paraId="04F30A65" w14:textId="77777777" w:rsidR="00AC7A51" w:rsidRPr="0069765D" w:rsidRDefault="00AC7A51" w:rsidP="00AC7A51">
                              <w:pPr>
                                <w:rPr>
                                  <w:rFonts w:asciiTheme="majorBidi" w:hAnsiTheme="majorBidi" w:cstheme="majorBidi"/>
                                  <w:i/>
                                  <w:iCs/>
                                </w:rPr>
                              </w:pPr>
                              <w:r w:rsidRPr="0069765D">
                                <w:rPr>
                                  <w:rFonts w:asciiTheme="majorBidi" w:hAnsiTheme="majorBidi" w:cstheme="majorBidi"/>
                                  <w:i/>
                                  <w:iCs/>
                                </w:rPr>
                                <w:t xml:space="preserve">Intellectual Capital </w:t>
                              </w:r>
                              <w:r w:rsidRPr="0069765D">
                                <w:rPr>
                                  <w:rFonts w:asciiTheme="majorBidi" w:hAnsiTheme="majorBidi" w:cstheme="majorBidi"/>
                                </w:rPr>
                                <w:t>(IC)</w:t>
                              </w:r>
                            </w:p>
                          </w:txbxContent>
                        </wps:txbx>
                        <wps:bodyPr rot="0" vert="horz" wrap="square" lIns="91440" tIns="45720" rIns="91440" bIns="45720" anchor="t" anchorCtr="0" upright="1">
                          <a:noAutofit/>
                        </wps:bodyPr>
                      </wps:wsp>
                      <wps:wsp>
                        <wps:cNvPr id="5" name="Rectangle 4"/>
                        <wps:cNvSpPr>
                          <a:spLocks noChangeArrowheads="1"/>
                        </wps:cNvSpPr>
                        <wps:spPr bwMode="auto">
                          <a:xfrm>
                            <a:off x="2194" y="4342"/>
                            <a:ext cx="2946" cy="782"/>
                          </a:xfrm>
                          <a:prstGeom prst="rect">
                            <a:avLst/>
                          </a:prstGeom>
                          <a:solidFill>
                            <a:srgbClr val="FFFFFF"/>
                          </a:solidFill>
                          <a:ln w="9525">
                            <a:solidFill>
                              <a:srgbClr val="000000"/>
                            </a:solidFill>
                            <a:miter lim="800000"/>
                            <a:headEnd/>
                            <a:tailEnd/>
                          </a:ln>
                        </wps:spPr>
                        <wps:txbx>
                          <w:txbxContent>
                            <w:p w14:paraId="7AE27A90" w14:textId="77777777" w:rsidR="00AC7A51" w:rsidRPr="0069765D" w:rsidRDefault="00AC7A51" w:rsidP="00AC7A51">
                              <w:pPr>
                                <w:rPr>
                                  <w:rFonts w:asciiTheme="majorBidi" w:hAnsiTheme="majorBidi" w:cstheme="majorBidi"/>
                                </w:rPr>
                              </w:pPr>
                              <w:r w:rsidRPr="0069765D">
                                <w:rPr>
                                  <w:rFonts w:asciiTheme="majorBidi" w:hAnsiTheme="majorBidi" w:cstheme="majorBidi"/>
                                  <w:i/>
                                  <w:iCs/>
                                </w:rPr>
                                <w:t xml:space="preserve">Good Corporate Governance </w:t>
                              </w:r>
                              <w:r w:rsidRPr="0069765D">
                                <w:rPr>
                                  <w:rFonts w:asciiTheme="majorBidi" w:hAnsiTheme="majorBidi" w:cstheme="majorBidi"/>
                                </w:rPr>
                                <w:t>(GCG)</w:t>
                              </w:r>
                            </w:p>
                          </w:txbxContent>
                        </wps:txbx>
                        <wps:bodyPr rot="0" vert="horz" wrap="square" lIns="91440" tIns="45720" rIns="91440" bIns="45720" anchor="t" anchorCtr="0" upright="1">
                          <a:noAutofit/>
                        </wps:bodyPr>
                      </wps:wsp>
                      <wps:wsp>
                        <wps:cNvPr id="8" name="Rectangle 5"/>
                        <wps:cNvSpPr>
                          <a:spLocks noChangeArrowheads="1"/>
                        </wps:cNvSpPr>
                        <wps:spPr bwMode="auto">
                          <a:xfrm>
                            <a:off x="7229" y="3282"/>
                            <a:ext cx="2550" cy="698"/>
                          </a:xfrm>
                          <a:prstGeom prst="rect">
                            <a:avLst/>
                          </a:prstGeom>
                          <a:solidFill>
                            <a:srgbClr val="FFFFFF"/>
                          </a:solidFill>
                          <a:ln w="9525">
                            <a:solidFill>
                              <a:srgbClr val="000000"/>
                            </a:solidFill>
                            <a:miter lim="800000"/>
                            <a:headEnd/>
                            <a:tailEnd/>
                          </a:ln>
                        </wps:spPr>
                        <wps:txbx>
                          <w:txbxContent>
                            <w:p w14:paraId="5D84D727" w14:textId="77777777" w:rsidR="00AC7A51" w:rsidRPr="0069765D" w:rsidRDefault="00AC7A51" w:rsidP="00AC7A51">
                              <w:pPr>
                                <w:rPr>
                                  <w:rFonts w:asciiTheme="majorBidi" w:hAnsiTheme="majorBidi" w:cstheme="majorBidi"/>
                                </w:rPr>
                              </w:pPr>
                              <w:r>
                                <w:rPr>
                                  <w:rFonts w:asciiTheme="majorBidi" w:hAnsiTheme="majorBidi" w:cstheme="majorBidi"/>
                                  <w:lang w:val="en-US"/>
                                </w:rPr>
                                <w:t>Financial Performance</w:t>
                              </w:r>
                              <w:r w:rsidRPr="0069765D">
                                <w:rPr>
                                  <w:rFonts w:asciiTheme="majorBidi" w:hAnsiTheme="majorBidi" w:cstheme="majorBidi"/>
                                </w:rPr>
                                <w:t xml:space="preserve"> (</w:t>
                              </w:r>
                              <w:r>
                                <w:rPr>
                                  <w:rFonts w:asciiTheme="majorBidi" w:hAnsiTheme="majorBidi" w:cstheme="majorBidi"/>
                                  <w:lang w:val="en-US"/>
                                </w:rPr>
                                <w:t>FP</w:t>
                              </w:r>
                              <w:r w:rsidRPr="0069765D">
                                <w:rPr>
                                  <w:rFonts w:asciiTheme="majorBidi" w:hAnsiTheme="majorBidi" w:cstheme="majorBidi"/>
                                </w:rPr>
                                <w:t>)</w:t>
                              </w:r>
                            </w:p>
                          </w:txbxContent>
                        </wps:txbx>
                        <wps:bodyPr rot="0" vert="horz" wrap="square" lIns="91440" tIns="45720" rIns="91440" bIns="45720" anchor="t" anchorCtr="0" upright="1">
                          <a:noAutofit/>
                        </wps:bodyPr>
                      </wps:wsp>
                      <wps:wsp>
                        <wps:cNvPr id="9" name="AutoShape 6"/>
                        <wps:cNvCnPr>
                          <a:cxnSpLocks noChangeShapeType="1"/>
                        </wps:cNvCnPr>
                        <wps:spPr bwMode="auto">
                          <a:xfrm>
                            <a:off x="5007" y="2545"/>
                            <a:ext cx="2222" cy="10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7"/>
                        <wps:cNvCnPr>
                          <a:cxnSpLocks noChangeShapeType="1"/>
                        </wps:cNvCnPr>
                        <wps:spPr bwMode="auto">
                          <a:xfrm flipV="1">
                            <a:off x="5140" y="3717"/>
                            <a:ext cx="2089" cy="11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8"/>
                        <wps:cNvSpPr>
                          <a:spLocks noChangeArrowheads="1"/>
                        </wps:cNvSpPr>
                        <wps:spPr bwMode="auto">
                          <a:xfrm>
                            <a:off x="5593" y="2344"/>
                            <a:ext cx="602" cy="436"/>
                          </a:xfrm>
                          <a:prstGeom prst="rect">
                            <a:avLst/>
                          </a:prstGeom>
                          <a:solidFill>
                            <a:srgbClr val="FFFFFF"/>
                          </a:solidFill>
                          <a:ln w="9525">
                            <a:solidFill>
                              <a:srgbClr val="000000"/>
                            </a:solidFill>
                            <a:miter lim="800000"/>
                            <a:headEnd/>
                            <a:tailEnd/>
                          </a:ln>
                        </wps:spPr>
                        <wps:txbx>
                          <w:txbxContent>
                            <w:p w14:paraId="4C3EE249" w14:textId="77777777" w:rsidR="00AC7A51" w:rsidRPr="0069765D" w:rsidRDefault="001D431B" w:rsidP="00AC7A51">
                              <w:pPr>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1</m:t>
                                    </m:r>
                                  </m:sub>
                                </m:sSub>
                              </m:oMath>
                              <w:r w:rsidR="00AC7A51">
                                <w:rPr>
                                  <w:rFonts w:asciiTheme="majorBidi" w:hAnsiTheme="majorBidi" w:cstheme="majorBidi"/>
                                  <w:noProof/>
                                  <w:lang w:eastAsia="id-ID"/>
                                </w:rPr>
                                <w:drawing>
                                  <wp:inline distT="0" distB="0" distL="0" distR="0" wp14:anchorId="237BF2AC" wp14:editId="65197664">
                                    <wp:extent cx="189865" cy="90918"/>
                                    <wp:effectExtent l="1905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89865" cy="90918"/>
                                            </a:xfrm>
                                            <a:prstGeom prst="rect">
                                              <a:avLst/>
                                            </a:prstGeom>
                                            <a:noFill/>
                                            <a:ln w="9525">
                                              <a:noFill/>
                                              <a:miter lim="800000"/>
                                              <a:headEnd/>
                                              <a:tailEnd/>
                                            </a:ln>
                                          </pic:spPr>
                                        </pic:pic>
                                      </a:graphicData>
                                    </a:graphic>
                                  </wp:inline>
                                </w:drawing>
                              </w:r>
                              <w:r w:rsidR="00AC7A51">
                                <w:rPr>
                                  <w:rFonts w:asciiTheme="majorBidi" w:hAnsiTheme="majorBidi" w:cstheme="majorBidi"/>
                                  <w:noProof/>
                                  <w:lang w:eastAsia="id-ID"/>
                                </w:rPr>
                                <w:drawing>
                                  <wp:inline distT="0" distB="0" distL="0" distR="0" wp14:anchorId="1CDFC63A" wp14:editId="4FC46820">
                                    <wp:extent cx="189865" cy="90918"/>
                                    <wp:effectExtent l="19050" t="0" r="63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89865" cy="9091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13" name="Rectangle 9"/>
                        <wps:cNvSpPr>
                          <a:spLocks noChangeArrowheads="1"/>
                        </wps:cNvSpPr>
                        <wps:spPr bwMode="auto">
                          <a:xfrm>
                            <a:off x="5509" y="4661"/>
                            <a:ext cx="686" cy="463"/>
                          </a:xfrm>
                          <a:prstGeom prst="rect">
                            <a:avLst/>
                          </a:prstGeom>
                          <a:solidFill>
                            <a:srgbClr val="FFFFFF"/>
                          </a:solidFill>
                          <a:ln w="9525">
                            <a:solidFill>
                              <a:srgbClr val="000000"/>
                            </a:solidFill>
                            <a:miter lim="800000"/>
                            <a:headEnd/>
                            <a:tailEnd/>
                          </a:ln>
                        </wps:spPr>
                        <wps:txbx>
                          <w:txbxContent>
                            <w:p w14:paraId="3CDB7149" w14:textId="77777777" w:rsidR="00AC7A51" w:rsidRPr="0069765D" w:rsidRDefault="001D431B" w:rsidP="00AC7A51">
                              <w:pPr>
                                <w:rPr>
                                  <w:rFonts w:asciiTheme="majorBidi" w:hAnsiTheme="majorBidi" w:cstheme="majorBidi"/>
                                </w:rPr>
                              </w:pPr>
                              <m:oMathPara>
                                <m:oMath>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2</m:t>
                                      </m:r>
                                    </m:sub>
                                  </m:sSub>
                                </m:oMath>
                              </m:oMathPara>
                            </w:p>
                          </w:txbxContent>
                        </wps:txbx>
                        <wps:bodyPr rot="0" vert="horz" wrap="square" lIns="91440" tIns="45720" rIns="91440" bIns="45720" anchor="t" anchorCtr="0" upright="1">
                          <a:noAutofit/>
                        </wps:bodyPr>
                      </wps:wsp>
                    </wpg:wgp>
                  </a:graphicData>
                </a:graphic>
              </wp:inline>
            </w:drawing>
          </mc:Choice>
          <mc:Fallback>
            <w:pict>
              <v:group w14:anchorId="3CEC8723" id="Group 1" o:spid="_x0000_s1026" style="width:379.25pt;height:154pt;mso-position-horizontal-relative:char;mso-position-vertical-relative:line" coordorigin="2194,2243" coordsize="7585,2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">
                <v:rect id="Rectangle 3" o:spid="_x0000_s1027" style="position:absolute;left:2194;top:2243;width:2813;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04F30A65" w14:textId="77777777" w:rsidR="00AC7A51" w:rsidRPr="0069765D" w:rsidRDefault="00AC7A51" w:rsidP="00AC7A51">
                        <w:pPr>
                          <w:rPr>
                            <w:rFonts w:asciiTheme="majorBidi" w:hAnsiTheme="majorBidi" w:cstheme="majorBidi"/>
                            <w:i/>
                            <w:iCs/>
                          </w:rPr>
                        </w:pPr>
                        <w:r w:rsidRPr="0069765D">
                          <w:rPr>
                            <w:rFonts w:asciiTheme="majorBidi" w:hAnsiTheme="majorBidi" w:cstheme="majorBidi"/>
                            <w:i/>
                            <w:iCs/>
                          </w:rPr>
                          <w:t xml:space="preserve">Intellectual Capital </w:t>
                        </w:r>
                        <w:r w:rsidRPr="0069765D">
                          <w:rPr>
                            <w:rFonts w:asciiTheme="majorBidi" w:hAnsiTheme="majorBidi" w:cstheme="majorBidi"/>
                          </w:rPr>
                          <w:t>(IC)</w:t>
                        </w:r>
                      </w:p>
                    </w:txbxContent>
                  </v:textbox>
                </v:rect>
                <v:rect id="Rectangle 4" o:spid="_x0000_s1028" style="position:absolute;left:2194;top:4342;width:2946;height: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AE27A90" w14:textId="77777777" w:rsidR="00AC7A51" w:rsidRPr="0069765D" w:rsidRDefault="00AC7A51" w:rsidP="00AC7A51">
                        <w:pPr>
                          <w:rPr>
                            <w:rFonts w:asciiTheme="majorBidi" w:hAnsiTheme="majorBidi" w:cstheme="majorBidi"/>
                          </w:rPr>
                        </w:pPr>
                        <w:r w:rsidRPr="0069765D">
                          <w:rPr>
                            <w:rFonts w:asciiTheme="majorBidi" w:hAnsiTheme="majorBidi" w:cstheme="majorBidi"/>
                            <w:i/>
                            <w:iCs/>
                          </w:rPr>
                          <w:t xml:space="preserve">Good Corporate Governance </w:t>
                        </w:r>
                        <w:r w:rsidRPr="0069765D">
                          <w:rPr>
                            <w:rFonts w:asciiTheme="majorBidi" w:hAnsiTheme="majorBidi" w:cstheme="majorBidi"/>
                          </w:rPr>
                          <w:t>(GCG)</w:t>
                        </w:r>
                      </w:p>
                    </w:txbxContent>
                  </v:textbox>
                </v:rect>
                <v:rect id="Rectangle 5" o:spid="_x0000_s1029" style="position:absolute;left:7229;top:3282;width:255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5D84D727" w14:textId="77777777" w:rsidR="00AC7A51" w:rsidRPr="0069765D" w:rsidRDefault="00AC7A51" w:rsidP="00AC7A51">
                        <w:pPr>
                          <w:rPr>
                            <w:rFonts w:asciiTheme="majorBidi" w:hAnsiTheme="majorBidi" w:cstheme="majorBidi"/>
                          </w:rPr>
                        </w:pPr>
                        <w:r>
                          <w:rPr>
                            <w:rFonts w:asciiTheme="majorBidi" w:hAnsiTheme="majorBidi" w:cstheme="majorBidi"/>
                            <w:lang w:val="en-US"/>
                          </w:rPr>
                          <w:t>Financial Performance</w:t>
                        </w:r>
                        <w:r w:rsidRPr="0069765D">
                          <w:rPr>
                            <w:rFonts w:asciiTheme="majorBidi" w:hAnsiTheme="majorBidi" w:cstheme="majorBidi"/>
                          </w:rPr>
                          <w:t xml:space="preserve"> (</w:t>
                        </w:r>
                        <w:r>
                          <w:rPr>
                            <w:rFonts w:asciiTheme="majorBidi" w:hAnsiTheme="majorBidi" w:cstheme="majorBidi"/>
                            <w:lang w:val="en-US"/>
                          </w:rPr>
                          <w:t>FP</w:t>
                        </w:r>
                        <w:r w:rsidRPr="0069765D">
                          <w:rPr>
                            <w:rFonts w:asciiTheme="majorBidi" w:hAnsiTheme="majorBidi" w:cstheme="majorBidi"/>
                          </w:rPr>
                          <w:t>)</w:t>
                        </w:r>
                      </w:p>
                    </w:txbxContent>
                  </v:textbox>
                </v:rect>
                <v:shapetype id="_x0000_t32" coordsize="21600,21600" o:spt="32" o:oned="t" path="m,l21600,21600e" filled="f">
                  <v:path arrowok="t" fillok="f" o:connecttype="none"/>
                  <o:lock v:ext="edit" shapetype="t"/>
                </v:shapetype>
                <v:shape id="AutoShape 6" o:spid="_x0000_s1030" type="#_x0000_t32" style="position:absolute;left:5007;top:2545;width:2222;height:10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">
                  <v:stroke endarrow="block"/>
                </v:shape>
                <v:shape id="AutoShape 7" o:spid="_x0000_s1031" type="#_x0000_t32" style="position:absolute;left:5140;top:3717;width:2089;height:11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">
                  <v:stroke endarrow="block"/>
                </v:shape>
                <v:rect id="Rectangle 8" o:spid="_x0000_s1032" style="position:absolute;left:5593;top:2344;width:602;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4C3EE249" w14:textId="77777777" w:rsidR="00AC7A51" w:rsidRPr="0069765D" w:rsidRDefault="001D431B" w:rsidP="00AC7A51">
                        <w:pPr>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1</m:t>
                              </m:r>
                            </m:sub>
                          </m:sSub>
                        </m:oMath>
                        <w:r w:rsidR="00AC7A51">
                          <w:rPr>
                            <w:rFonts w:asciiTheme="majorBidi" w:hAnsiTheme="majorBidi" w:cstheme="majorBidi"/>
                            <w:noProof/>
                            <w:lang w:eastAsia="id-ID"/>
                          </w:rPr>
                          <w:drawing>
                            <wp:inline distT="0" distB="0" distL="0" distR="0" wp14:anchorId="237BF2AC" wp14:editId="65197664">
                              <wp:extent cx="189865" cy="90918"/>
                              <wp:effectExtent l="1905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89865" cy="90918"/>
                                      </a:xfrm>
                                      <a:prstGeom prst="rect">
                                        <a:avLst/>
                                      </a:prstGeom>
                                      <a:noFill/>
                                      <a:ln w="9525">
                                        <a:noFill/>
                                        <a:miter lim="800000"/>
                                        <a:headEnd/>
                                        <a:tailEnd/>
                                      </a:ln>
                                    </pic:spPr>
                                  </pic:pic>
                                </a:graphicData>
                              </a:graphic>
                            </wp:inline>
                          </w:drawing>
                        </w:r>
                        <w:r w:rsidR="00AC7A51">
                          <w:rPr>
                            <w:rFonts w:asciiTheme="majorBidi" w:hAnsiTheme="majorBidi" w:cstheme="majorBidi"/>
                            <w:noProof/>
                            <w:lang w:eastAsia="id-ID"/>
                          </w:rPr>
                          <w:drawing>
                            <wp:inline distT="0" distB="0" distL="0" distR="0" wp14:anchorId="1CDFC63A" wp14:editId="4FC46820">
                              <wp:extent cx="189865" cy="90918"/>
                              <wp:effectExtent l="19050" t="0" r="63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89865" cy="90918"/>
                                      </a:xfrm>
                                      <a:prstGeom prst="rect">
                                        <a:avLst/>
                                      </a:prstGeom>
                                      <a:noFill/>
                                      <a:ln w="9525">
                                        <a:noFill/>
                                        <a:miter lim="800000"/>
                                        <a:headEnd/>
                                        <a:tailEnd/>
                                      </a:ln>
                                    </pic:spPr>
                                  </pic:pic>
                                </a:graphicData>
                              </a:graphic>
                            </wp:inline>
                          </w:drawing>
                        </w:r>
                      </w:p>
                    </w:txbxContent>
                  </v:textbox>
                </v:rect>
                <v:rect id="Rectangle 9" o:spid="_x0000_s1033" style="position:absolute;left:5509;top:4661;width:686;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3CDB7149" w14:textId="77777777" w:rsidR="00AC7A51" w:rsidRPr="0069765D" w:rsidRDefault="001D431B" w:rsidP="00AC7A51">
                        <w:pPr>
                          <w:rPr>
                            <w:rFonts w:asciiTheme="majorBidi" w:hAnsiTheme="majorBidi" w:cstheme="majorBidi"/>
                          </w:rPr>
                        </w:pPr>
                        <m:oMathPara>
                          <m:oMath>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2</m:t>
                                </m:r>
                              </m:sub>
                            </m:sSub>
                          </m:oMath>
                        </m:oMathPara>
                      </w:p>
                    </w:txbxContent>
                  </v:textbox>
                </v:rect>
                <w10:anchorlock/>
              </v:group>
            </w:pict>
          </mc:Fallback>
        </mc:AlternateContent>
      </w:r>
    </w:p>
    <w:p w14:paraId="143080B4" w14:textId="77777777" w:rsidR="0024329F" w:rsidRPr="0024329F" w:rsidRDefault="0024329F" w:rsidP="0024329F">
      <w:pPr>
        <w:ind w:left="270"/>
        <w:rPr>
          <w:rFonts w:ascii="Book Antiqua" w:eastAsia="Times New Roman" w:hAnsi="Book Antiqua" w:cs="Angsana New"/>
          <w:b/>
          <w:bCs/>
          <w:color w:val="FF0000"/>
          <w:kern w:val="32"/>
          <w:lang w:eastAsia="en-US"/>
        </w:rPr>
      </w:pPr>
    </w:p>
    <w:p w14:paraId="00AA9E35" w14:textId="497C90E3" w:rsidR="00754AD9" w:rsidRPr="00183F36" w:rsidRDefault="00B22C63" w:rsidP="00183F36">
      <w:pPr>
        <w:pStyle w:val="ListParagraph"/>
        <w:numPr>
          <w:ilvl w:val="0"/>
          <w:numId w:val="11"/>
        </w:numPr>
        <w:rPr>
          <w:rFonts w:ascii="Book Antiqua" w:hAnsi="Book Antiqua"/>
          <w:color w:val="4472C4"/>
        </w:rPr>
      </w:pPr>
      <w:r w:rsidRPr="00183F36">
        <w:rPr>
          <w:rFonts w:ascii="Book Antiqua" w:eastAsia="Times New Roman" w:hAnsi="Book Antiqua"/>
          <w:b/>
          <w:lang w:val="en-US" w:eastAsia="en-US"/>
        </w:rPr>
        <w:t xml:space="preserve">Research </w:t>
      </w:r>
      <w:r w:rsidR="00AA0507" w:rsidRPr="00183F36">
        <w:rPr>
          <w:rFonts w:ascii="Book Antiqua" w:eastAsia="Times New Roman" w:hAnsi="Book Antiqua"/>
          <w:b/>
          <w:lang w:val="id-ID" w:eastAsia="en-US"/>
        </w:rPr>
        <w:t>Methods</w:t>
      </w:r>
      <w:r w:rsidR="00AA0507" w:rsidRPr="00183F36">
        <w:rPr>
          <w:rFonts w:ascii="Book Antiqua" w:eastAsia="Times New Roman" w:hAnsi="Book Antiqua"/>
          <w:b/>
          <w:lang w:val="en-US" w:eastAsia="en-US"/>
        </w:rPr>
        <w:t xml:space="preserve"> </w:t>
      </w:r>
    </w:p>
    <w:p w14:paraId="2B685123" w14:textId="1F9DED11" w:rsidR="00E53AEF" w:rsidRDefault="000D320A" w:rsidP="00177ED7">
      <w:pPr>
        <w:pStyle w:val="IEEEParagraph"/>
        <w:ind w:firstLine="720"/>
        <w:rPr>
          <w:rFonts w:ascii="Book Antiqua" w:hAnsi="Book Antiqua"/>
          <w:lang w:val="en-US"/>
        </w:rPr>
      </w:pPr>
      <w:r w:rsidRPr="000D320A">
        <w:rPr>
          <w:rFonts w:ascii="Book Antiqua" w:hAnsi="Book Antiqua"/>
          <w:lang w:val="en-US"/>
        </w:rPr>
        <w:t>In this study, it used independent variables in the form of intellectual capital intellectual capital, good company management (Good Corporate Governance), and dependent variables in the form of profitability which we measured using the Return on Asset (ROA) indicator. The population of this study is Sharia Commercial Banks (BUS) in Indonesia, which totals 14 companies. However, Sharia Commercial Banks (BUS) that issue financial statements and annual Good Corporate Governance (GCG) reports for the 2010-2018 period only amount to 7 Islamic banks, with the following details:</w:t>
      </w:r>
    </w:p>
    <w:p w14:paraId="279D036B" w14:textId="77777777" w:rsidR="00210630" w:rsidRDefault="00210630" w:rsidP="00177ED7">
      <w:pPr>
        <w:pStyle w:val="IEEEParagraph"/>
        <w:ind w:firstLine="720"/>
        <w:rPr>
          <w:rFonts w:ascii="Book Antiqua" w:hAnsi="Book Antiqua"/>
          <w:lang w:val="en-US"/>
        </w:rPr>
      </w:pPr>
    </w:p>
    <w:p w14:paraId="59D065CC" w14:textId="0903A087" w:rsidR="00300FF2" w:rsidRPr="00210630" w:rsidRDefault="00300FF2" w:rsidP="00210630">
      <w:pPr>
        <w:pStyle w:val="IEEEParagraph"/>
        <w:ind w:firstLine="720"/>
        <w:jc w:val="center"/>
        <w:rPr>
          <w:rFonts w:ascii="Book Antiqua" w:hAnsi="Book Antiqua"/>
          <w:b/>
          <w:bCs/>
          <w:lang w:val="en-US"/>
        </w:rPr>
      </w:pPr>
      <w:proofErr w:type="spellStart"/>
      <w:r w:rsidRPr="00210630">
        <w:rPr>
          <w:rFonts w:ascii="Book Antiqua" w:hAnsi="Book Antiqua"/>
          <w:b/>
          <w:bCs/>
          <w:lang w:val="en-US"/>
        </w:rPr>
        <w:t>Tabel</w:t>
      </w:r>
      <w:proofErr w:type="spellEnd"/>
      <w:r w:rsidRPr="00210630">
        <w:rPr>
          <w:rFonts w:ascii="Book Antiqua" w:hAnsi="Book Antiqua"/>
          <w:b/>
          <w:bCs/>
          <w:lang w:val="en-US"/>
        </w:rPr>
        <w:t xml:space="preserve"> 1. </w:t>
      </w:r>
      <w:r w:rsidR="000D320A" w:rsidRPr="000D320A">
        <w:rPr>
          <w:rFonts w:ascii="Book Antiqua" w:hAnsi="Book Antiqua"/>
          <w:lang w:val="en-US"/>
        </w:rPr>
        <w:t>Research Samples</w:t>
      </w:r>
    </w:p>
    <w:tbl>
      <w:tblPr>
        <w:tblStyle w:val="TableGrid"/>
        <w:tblW w:w="0" w:type="auto"/>
        <w:jc w:val="center"/>
        <w:tblLook w:val="04A0" w:firstRow="1" w:lastRow="0" w:firstColumn="1" w:lastColumn="0" w:noHBand="0" w:noVBand="1"/>
      </w:tblPr>
      <w:tblGrid>
        <w:gridCol w:w="550"/>
        <w:gridCol w:w="3934"/>
      </w:tblGrid>
      <w:tr w:rsidR="009615D9" w:rsidRPr="009615D9" w14:paraId="495813A7" w14:textId="77777777" w:rsidTr="009615D9">
        <w:trPr>
          <w:jc w:val="center"/>
        </w:trPr>
        <w:tc>
          <w:tcPr>
            <w:tcW w:w="510" w:type="dxa"/>
          </w:tcPr>
          <w:p w14:paraId="0B587D6E" w14:textId="77777777" w:rsidR="009615D9" w:rsidRPr="009615D9" w:rsidRDefault="009615D9" w:rsidP="009615D9">
            <w:pPr>
              <w:pStyle w:val="IEEEParagraph"/>
              <w:ind w:firstLine="0"/>
              <w:rPr>
                <w:rFonts w:ascii="Book Antiqua" w:hAnsi="Book Antiqua"/>
                <w:b/>
                <w:bCs/>
                <w:lang w:val="en-US"/>
              </w:rPr>
            </w:pPr>
            <w:r w:rsidRPr="009615D9">
              <w:rPr>
                <w:rFonts w:ascii="Book Antiqua" w:hAnsi="Book Antiqua"/>
                <w:b/>
                <w:bCs/>
                <w:lang w:val="en-US"/>
              </w:rPr>
              <w:t>No</w:t>
            </w:r>
          </w:p>
        </w:tc>
        <w:tc>
          <w:tcPr>
            <w:tcW w:w="3934" w:type="dxa"/>
          </w:tcPr>
          <w:p w14:paraId="5CD097B0" w14:textId="7953ACB1" w:rsidR="009615D9" w:rsidRPr="009615D9" w:rsidRDefault="000D320A" w:rsidP="009615D9">
            <w:pPr>
              <w:pStyle w:val="IEEEParagraph"/>
              <w:ind w:firstLine="0"/>
              <w:rPr>
                <w:rFonts w:ascii="Book Antiqua" w:hAnsi="Book Antiqua"/>
                <w:b/>
                <w:bCs/>
                <w:lang w:val="en-US"/>
              </w:rPr>
            </w:pPr>
            <w:r w:rsidRPr="000D320A">
              <w:rPr>
                <w:rFonts w:ascii="Book Antiqua" w:hAnsi="Book Antiqua"/>
                <w:b/>
                <w:bCs/>
                <w:lang w:val="en-US"/>
              </w:rPr>
              <w:t>Sharia Commercial Banks</w:t>
            </w:r>
          </w:p>
        </w:tc>
      </w:tr>
      <w:tr w:rsidR="009615D9" w:rsidRPr="009615D9" w14:paraId="57AD6872" w14:textId="77777777" w:rsidTr="009615D9">
        <w:trPr>
          <w:jc w:val="center"/>
        </w:trPr>
        <w:tc>
          <w:tcPr>
            <w:tcW w:w="510" w:type="dxa"/>
          </w:tcPr>
          <w:p w14:paraId="52F6C9E7" w14:textId="77777777" w:rsidR="009615D9" w:rsidRPr="009615D9" w:rsidRDefault="009615D9" w:rsidP="009615D9">
            <w:pPr>
              <w:pStyle w:val="IEEEParagraph"/>
              <w:ind w:firstLine="0"/>
              <w:rPr>
                <w:rFonts w:ascii="Book Antiqua" w:hAnsi="Book Antiqua"/>
                <w:lang w:val="en-US"/>
              </w:rPr>
            </w:pPr>
            <w:r w:rsidRPr="009615D9">
              <w:rPr>
                <w:rFonts w:ascii="Book Antiqua" w:hAnsi="Book Antiqua"/>
                <w:lang w:val="en-US"/>
              </w:rPr>
              <w:t>1</w:t>
            </w:r>
          </w:p>
        </w:tc>
        <w:tc>
          <w:tcPr>
            <w:tcW w:w="3934" w:type="dxa"/>
          </w:tcPr>
          <w:p w14:paraId="60AC93C2"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en-US"/>
              </w:rPr>
              <w:t xml:space="preserve">PT. Bank </w:t>
            </w:r>
            <w:proofErr w:type="spellStart"/>
            <w:r w:rsidRPr="009615D9">
              <w:rPr>
                <w:rFonts w:ascii="Book Antiqua" w:hAnsi="Book Antiqua"/>
                <w:lang w:val="en-US"/>
              </w:rPr>
              <w:t>Muamalat</w:t>
            </w:r>
            <w:proofErr w:type="spellEnd"/>
            <w:r w:rsidRPr="009615D9">
              <w:rPr>
                <w:rFonts w:ascii="Book Antiqua" w:hAnsi="Book Antiqua"/>
                <w:lang w:val="en-US"/>
              </w:rPr>
              <w:t xml:space="preserve"> Syariah</w:t>
            </w:r>
          </w:p>
        </w:tc>
      </w:tr>
      <w:tr w:rsidR="009615D9" w:rsidRPr="009615D9" w14:paraId="0F7A7D5E" w14:textId="77777777" w:rsidTr="009615D9">
        <w:trPr>
          <w:jc w:val="center"/>
        </w:trPr>
        <w:tc>
          <w:tcPr>
            <w:tcW w:w="510" w:type="dxa"/>
          </w:tcPr>
          <w:p w14:paraId="328CB7A1" w14:textId="77777777" w:rsidR="009615D9" w:rsidRPr="009615D9" w:rsidRDefault="009615D9" w:rsidP="009615D9">
            <w:pPr>
              <w:pStyle w:val="IEEEParagraph"/>
              <w:ind w:firstLine="0"/>
              <w:rPr>
                <w:rFonts w:ascii="Book Antiqua" w:hAnsi="Book Antiqua"/>
                <w:lang w:val="en-US"/>
              </w:rPr>
            </w:pPr>
            <w:r w:rsidRPr="009615D9">
              <w:rPr>
                <w:rFonts w:ascii="Book Antiqua" w:hAnsi="Book Antiqua"/>
                <w:lang w:val="en-US"/>
              </w:rPr>
              <w:t>2</w:t>
            </w:r>
          </w:p>
        </w:tc>
        <w:tc>
          <w:tcPr>
            <w:tcW w:w="3934" w:type="dxa"/>
          </w:tcPr>
          <w:p w14:paraId="5B6D69A3" w14:textId="77777777" w:rsidR="009615D9" w:rsidRPr="009615D9" w:rsidRDefault="009615D9" w:rsidP="009615D9">
            <w:pPr>
              <w:pStyle w:val="IEEEParagraph"/>
              <w:ind w:firstLine="0"/>
              <w:rPr>
                <w:rFonts w:ascii="Book Antiqua" w:hAnsi="Book Antiqua"/>
                <w:lang w:val="en-US"/>
              </w:rPr>
            </w:pPr>
            <w:r w:rsidRPr="009615D9">
              <w:rPr>
                <w:rFonts w:ascii="Book Antiqua" w:hAnsi="Book Antiqua"/>
                <w:lang w:val="en-US"/>
              </w:rPr>
              <w:t xml:space="preserve">PT. Bank </w:t>
            </w:r>
            <w:proofErr w:type="spellStart"/>
            <w:r w:rsidRPr="009615D9">
              <w:rPr>
                <w:rFonts w:ascii="Book Antiqua" w:hAnsi="Book Antiqua"/>
                <w:lang w:val="en-US"/>
              </w:rPr>
              <w:t>BRISyariah</w:t>
            </w:r>
            <w:proofErr w:type="spellEnd"/>
          </w:p>
        </w:tc>
      </w:tr>
      <w:tr w:rsidR="009615D9" w:rsidRPr="009615D9" w14:paraId="7962A6B6" w14:textId="77777777" w:rsidTr="009615D9">
        <w:trPr>
          <w:jc w:val="center"/>
        </w:trPr>
        <w:tc>
          <w:tcPr>
            <w:tcW w:w="510" w:type="dxa"/>
          </w:tcPr>
          <w:p w14:paraId="692828E2"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3</w:t>
            </w:r>
          </w:p>
        </w:tc>
        <w:tc>
          <w:tcPr>
            <w:tcW w:w="3934" w:type="dxa"/>
          </w:tcPr>
          <w:p w14:paraId="44B5469C"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PT. Bank BNI Syariah</w:t>
            </w:r>
          </w:p>
        </w:tc>
      </w:tr>
      <w:tr w:rsidR="009615D9" w:rsidRPr="009615D9" w14:paraId="0198190A" w14:textId="77777777" w:rsidTr="009615D9">
        <w:trPr>
          <w:jc w:val="center"/>
        </w:trPr>
        <w:tc>
          <w:tcPr>
            <w:tcW w:w="510" w:type="dxa"/>
          </w:tcPr>
          <w:p w14:paraId="58A27E5D"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4</w:t>
            </w:r>
          </w:p>
        </w:tc>
        <w:tc>
          <w:tcPr>
            <w:tcW w:w="3934" w:type="dxa"/>
          </w:tcPr>
          <w:p w14:paraId="6CD6A580" w14:textId="77777777" w:rsidR="009615D9" w:rsidRPr="009615D9" w:rsidRDefault="009615D9" w:rsidP="009615D9">
            <w:pPr>
              <w:pStyle w:val="IEEEParagraph"/>
              <w:ind w:firstLine="0"/>
              <w:rPr>
                <w:rFonts w:ascii="Book Antiqua" w:hAnsi="Book Antiqua"/>
                <w:lang w:val="en-US"/>
              </w:rPr>
            </w:pPr>
            <w:proofErr w:type="spellStart"/>
            <w:proofErr w:type="gramStart"/>
            <w:r w:rsidRPr="009615D9">
              <w:rPr>
                <w:rFonts w:ascii="Book Antiqua" w:hAnsi="Book Antiqua"/>
                <w:lang w:val="en-US"/>
              </w:rPr>
              <w:t>PT.Bank</w:t>
            </w:r>
            <w:proofErr w:type="spellEnd"/>
            <w:proofErr w:type="gramEnd"/>
            <w:r w:rsidRPr="009615D9">
              <w:rPr>
                <w:rFonts w:ascii="Book Antiqua" w:hAnsi="Book Antiqua"/>
                <w:lang w:val="en-US"/>
              </w:rPr>
              <w:t xml:space="preserve"> Mega Syariah</w:t>
            </w:r>
          </w:p>
        </w:tc>
      </w:tr>
      <w:tr w:rsidR="009615D9" w:rsidRPr="009615D9" w14:paraId="7F4B7750" w14:textId="77777777" w:rsidTr="009615D9">
        <w:trPr>
          <w:jc w:val="center"/>
        </w:trPr>
        <w:tc>
          <w:tcPr>
            <w:tcW w:w="510" w:type="dxa"/>
          </w:tcPr>
          <w:p w14:paraId="430539B9"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5</w:t>
            </w:r>
          </w:p>
        </w:tc>
        <w:tc>
          <w:tcPr>
            <w:tcW w:w="3934" w:type="dxa"/>
          </w:tcPr>
          <w:p w14:paraId="3A8444AD"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PT. Bank Panin Dubai Syariah</w:t>
            </w:r>
          </w:p>
        </w:tc>
      </w:tr>
      <w:tr w:rsidR="009615D9" w:rsidRPr="009615D9" w14:paraId="1528E7C9" w14:textId="77777777" w:rsidTr="009615D9">
        <w:trPr>
          <w:jc w:val="center"/>
        </w:trPr>
        <w:tc>
          <w:tcPr>
            <w:tcW w:w="510" w:type="dxa"/>
          </w:tcPr>
          <w:p w14:paraId="0D2D296F"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6</w:t>
            </w:r>
          </w:p>
        </w:tc>
        <w:tc>
          <w:tcPr>
            <w:tcW w:w="3934" w:type="dxa"/>
          </w:tcPr>
          <w:p w14:paraId="189B340F" w14:textId="77777777" w:rsidR="009615D9" w:rsidRPr="009615D9" w:rsidRDefault="009615D9" w:rsidP="009615D9">
            <w:pPr>
              <w:pStyle w:val="IEEEParagraph"/>
              <w:ind w:firstLine="0"/>
              <w:rPr>
                <w:rFonts w:ascii="Book Antiqua" w:hAnsi="Book Antiqua"/>
                <w:lang w:val="en-US"/>
              </w:rPr>
            </w:pPr>
            <w:r w:rsidRPr="009615D9">
              <w:rPr>
                <w:rFonts w:ascii="Book Antiqua" w:hAnsi="Book Antiqua"/>
                <w:lang w:val="en-US"/>
              </w:rPr>
              <w:t xml:space="preserve">PT. Bank Syariah </w:t>
            </w:r>
            <w:proofErr w:type="spellStart"/>
            <w:r w:rsidRPr="009615D9">
              <w:rPr>
                <w:rFonts w:ascii="Book Antiqua" w:hAnsi="Book Antiqua"/>
                <w:lang w:val="en-US"/>
              </w:rPr>
              <w:t>Bukopin</w:t>
            </w:r>
            <w:proofErr w:type="spellEnd"/>
          </w:p>
        </w:tc>
      </w:tr>
      <w:tr w:rsidR="009615D9" w:rsidRPr="009615D9" w14:paraId="4F4C13DA" w14:textId="77777777" w:rsidTr="009615D9">
        <w:trPr>
          <w:jc w:val="center"/>
        </w:trPr>
        <w:tc>
          <w:tcPr>
            <w:tcW w:w="510" w:type="dxa"/>
          </w:tcPr>
          <w:p w14:paraId="5D50D6AB" w14:textId="77777777" w:rsidR="009615D9" w:rsidRPr="009615D9" w:rsidRDefault="009615D9" w:rsidP="009615D9">
            <w:pPr>
              <w:pStyle w:val="IEEEParagraph"/>
              <w:ind w:firstLine="0"/>
              <w:rPr>
                <w:rFonts w:ascii="Book Antiqua" w:hAnsi="Book Antiqua"/>
                <w:lang w:val="id-ID"/>
              </w:rPr>
            </w:pPr>
            <w:r w:rsidRPr="009615D9">
              <w:rPr>
                <w:rFonts w:ascii="Book Antiqua" w:hAnsi="Book Antiqua"/>
                <w:lang w:val="id-ID"/>
              </w:rPr>
              <w:t>7</w:t>
            </w:r>
          </w:p>
        </w:tc>
        <w:tc>
          <w:tcPr>
            <w:tcW w:w="3934" w:type="dxa"/>
          </w:tcPr>
          <w:p w14:paraId="0148575C" w14:textId="77777777" w:rsidR="009615D9" w:rsidRPr="009615D9" w:rsidRDefault="009615D9" w:rsidP="009615D9">
            <w:pPr>
              <w:pStyle w:val="IEEEParagraph"/>
              <w:ind w:firstLine="0"/>
              <w:rPr>
                <w:rFonts w:ascii="Book Antiqua" w:hAnsi="Book Antiqua"/>
                <w:lang w:val="en-US"/>
              </w:rPr>
            </w:pPr>
            <w:r w:rsidRPr="009615D9">
              <w:rPr>
                <w:rFonts w:ascii="Book Antiqua" w:hAnsi="Book Antiqua"/>
                <w:lang w:val="en-US"/>
              </w:rPr>
              <w:t>PT. Bank BCA Syariah</w:t>
            </w:r>
          </w:p>
        </w:tc>
      </w:tr>
    </w:tbl>
    <w:p w14:paraId="02EDFA4E" w14:textId="77777777" w:rsidR="00FA3893" w:rsidRDefault="00FA3893" w:rsidP="00177ED7">
      <w:pPr>
        <w:pStyle w:val="IEEEParagraph"/>
        <w:ind w:firstLine="720"/>
        <w:rPr>
          <w:rFonts w:ascii="Book Antiqua" w:hAnsi="Book Antiqua"/>
          <w:lang w:val="en-US"/>
        </w:rPr>
      </w:pPr>
    </w:p>
    <w:p w14:paraId="4233834B" w14:textId="0C0DC095" w:rsidR="00DE0DE3" w:rsidRDefault="000D320A" w:rsidP="00177ED7">
      <w:pPr>
        <w:pStyle w:val="IEEEParagraph"/>
        <w:ind w:firstLine="720"/>
        <w:rPr>
          <w:rFonts w:ascii="Book Antiqua" w:hAnsi="Book Antiqua"/>
          <w:lang w:val="en-US"/>
        </w:rPr>
      </w:pPr>
      <w:r w:rsidRPr="000D320A">
        <w:rPr>
          <w:rFonts w:ascii="Book Antiqua" w:hAnsi="Book Antiqua"/>
          <w:lang w:val="en-US"/>
        </w:rPr>
        <w:lastRenderedPageBreak/>
        <w:t xml:space="preserve">To measure the first independent variable in the form of intellectual capital, we use the method used by </w:t>
      </w:r>
      <w:r w:rsidR="0082127A" w:rsidRPr="0082127A">
        <w:rPr>
          <w:rFonts w:ascii="Book Antiqua" w:hAnsi="Book Antiqua"/>
          <w:lang w:val="id-ID"/>
        </w:rPr>
        <w:fldChar w:fldCharType="begin" w:fldLock="1"/>
      </w:r>
      <w:r w:rsidR="00154795">
        <w:rPr>
          <w:rFonts w:ascii="Book Antiqua" w:hAnsi="Book Antiqua"/>
          <w:lang w:val="id-ID"/>
        </w:rPr>
        <w:instrText>ADDIN CSL_CITATION {"citationItems":[{"id":"ITEM-1","itemData":{"DOI":"10.18326/infsl3.v7i1.185-206","ISSN":"1978-7332","abstract":"The aim of this study is to develop a measurement of intellectual capital performance of Indonesian syariah banking by modifying the Pulic’s model that popular with the name of VAIC (value added intellectual coefficient). This study was done by documentation and focus group discussion with some financial accounting experts and public accountants. The result show that the main formula to measure IC performance of syariah banking is not too different with Pulic model, it was: iB-VAIC™ = iB-VACA + IB-VAHU + iB-STVA. The different one is the accounts to develop VA. VA in Pulic model was constructed by total revenue, while in iB-VAIC, VA was constructed from syariah activities.","author":[{"dropping-particle":"","family":"Ulum","given":"Ihyaul","non-dropping-particle":"","parse-names":false,"suffix":""}],"container-title":"Inferensi","id":"ITEM-1","issue":"1","issued":{"date-parts":[["2013"]]},"page":"185","title":"Model Pengukuran Kinerja Intellectual Capital Dengan Ib-Vaic Di Perbankan Syariah","type":"article-journal","volume":"7"},"uris":["http://www.mendeley.com/documents/?uuid=1d96cbd1-f4b5-4899-b739-3ac4354b8cb6","http://www.mendeley.com/documents/?uuid=7fa7886f-bac0-46c3-8743-9aa70ef9f0f1"]}],"mendeley":{"formattedCitation":"(Ulum, 2013)","manualFormatting":"Ulum (2013","plainTextFormattedCitation":"(Ulum, 2013)","previouslyFormattedCitation":"(Ulum, 2013)"},"properties":{"noteIndex":0},"schema":"https://github.com/citation-style-language/schema/raw/master/csl-citation.json"}</w:instrText>
      </w:r>
      <w:r w:rsidR="0082127A" w:rsidRPr="0082127A">
        <w:rPr>
          <w:rFonts w:ascii="Book Antiqua" w:hAnsi="Book Antiqua"/>
          <w:lang w:val="id-ID"/>
        </w:rPr>
        <w:fldChar w:fldCharType="separate"/>
      </w:r>
      <w:r w:rsidR="0082127A" w:rsidRPr="0082127A">
        <w:rPr>
          <w:rFonts w:ascii="Book Antiqua" w:hAnsi="Book Antiqua"/>
          <w:noProof/>
          <w:lang w:val="id-ID"/>
        </w:rPr>
        <w:t xml:space="preserve">Ulum </w:t>
      </w:r>
      <w:r w:rsidR="0082127A">
        <w:rPr>
          <w:rFonts w:ascii="Book Antiqua" w:hAnsi="Book Antiqua"/>
          <w:noProof/>
          <w:lang w:val="en-US"/>
        </w:rPr>
        <w:t>(</w:t>
      </w:r>
      <w:r w:rsidR="0082127A" w:rsidRPr="0082127A">
        <w:rPr>
          <w:rFonts w:ascii="Book Antiqua" w:hAnsi="Book Antiqua"/>
          <w:noProof/>
          <w:lang w:val="id-ID"/>
        </w:rPr>
        <w:t>2013</w:t>
      </w:r>
      <w:r w:rsidR="0082127A" w:rsidRPr="0082127A">
        <w:rPr>
          <w:rFonts w:ascii="Book Antiqua" w:hAnsi="Book Antiqua"/>
          <w:lang w:val="en-US"/>
        </w:rPr>
        <w:fldChar w:fldCharType="end"/>
      </w:r>
      <w:r w:rsidR="0082127A">
        <w:rPr>
          <w:rFonts w:ascii="Book Antiqua" w:hAnsi="Book Antiqua"/>
          <w:lang w:val="en-US"/>
        </w:rPr>
        <w:t>).</w:t>
      </w:r>
      <w:r w:rsidR="00FE5842">
        <w:rPr>
          <w:rFonts w:ascii="Book Antiqua" w:hAnsi="Book Antiqua"/>
          <w:lang w:val="en-US"/>
        </w:rPr>
        <w:t xml:space="preserve"> </w:t>
      </w:r>
      <w:r w:rsidRPr="000D320A">
        <w:rPr>
          <w:rFonts w:ascii="Book Antiqua" w:hAnsi="Book Antiqua"/>
          <w:lang w:val="en-US"/>
        </w:rPr>
        <w:t>The method is calculated using the formula:</w:t>
      </w:r>
    </w:p>
    <w:p w14:paraId="13097647" w14:textId="77777777" w:rsidR="000D320A" w:rsidRDefault="000D320A" w:rsidP="00177ED7">
      <w:pPr>
        <w:pStyle w:val="IEEEParagraph"/>
        <w:ind w:firstLine="720"/>
        <w:rPr>
          <w:rFonts w:ascii="Book Antiqua" w:hAnsi="Book Antiqua"/>
          <w:lang w:val="en-US"/>
        </w:rPr>
      </w:pPr>
    </w:p>
    <w:p w14:paraId="6C11A18F" w14:textId="2F83B130" w:rsidR="00FE5842" w:rsidRPr="002971BC" w:rsidRDefault="00C14FAD" w:rsidP="00FE5842">
      <w:pPr>
        <w:pStyle w:val="ListParagraph"/>
        <w:ind w:left="142"/>
        <w:jc w:val="center"/>
        <w:rPr>
          <w:rFonts w:asciiTheme="majorBidi" w:hAnsiTheme="majorBidi" w:cstheme="majorBidi"/>
        </w:rPr>
      </w:pPr>
      <m:oMathPara>
        <m:oMath>
          <m:r>
            <w:rPr>
              <w:rFonts w:ascii="Cambria Math" w:hAnsi="Cambria Math" w:cstheme="majorBidi"/>
            </w:rPr>
            <m:t>I</m:t>
          </m:r>
          <m:sSub>
            <m:sSubPr>
              <m:ctrlPr>
                <w:rPr>
                  <w:rFonts w:ascii="Cambria Math" w:hAnsi="Cambria Math" w:cstheme="majorBidi"/>
                  <w:i/>
                </w:rPr>
              </m:ctrlPr>
            </m:sSubPr>
            <m:e>
              <m:r>
                <w:rPr>
                  <w:rFonts w:ascii="Cambria Math" w:hAnsi="Cambria Math" w:cstheme="majorBidi"/>
                </w:rPr>
                <m:t>B_Vaic</m:t>
              </m:r>
            </m:e>
            <m:sub/>
          </m:sSub>
          <m:r>
            <w:rPr>
              <w:rFonts w:ascii="Cambria Math" w:hAnsi="Cambria Math" w:cstheme="majorBidi"/>
            </w:rPr>
            <m:t>= I</m:t>
          </m:r>
          <m:sSub>
            <m:sSubPr>
              <m:ctrlPr>
                <w:rPr>
                  <w:rFonts w:ascii="Cambria Math" w:hAnsi="Cambria Math" w:cstheme="majorBidi"/>
                  <w:i/>
                </w:rPr>
              </m:ctrlPr>
            </m:sSubPr>
            <m:e>
              <m:r>
                <w:rPr>
                  <w:rFonts w:ascii="Cambria Math" w:hAnsi="Cambria Math" w:cstheme="majorBidi"/>
                </w:rPr>
                <m:t>B_VACA</m:t>
              </m:r>
            </m:e>
            <m:sub/>
          </m:sSub>
          <m:r>
            <w:rPr>
              <w:rFonts w:ascii="Cambria Math" w:hAnsi="Cambria Math" w:cstheme="majorBidi"/>
            </w:rPr>
            <m:t>+I</m:t>
          </m:r>
          <m:sSub>
            <m:sSubPr>
              <m:ctrlPr>
                <w:rPr>
                  <w:rFonts w:ascii="Cambria Math" w:hAnsi="Cambria Math" w:cstheme="majorBidi"/>
                  <w:i/>
                </w:rPr>
              </m:ctrlPr>
            </m:sSubPr>
            <m:e>
              <m:r>
                <w:rPr>
                  <w:rFonts w:ascii="Cambria Math" w:hAnsi="Cambria Math" w:cstheme="majorBidi"/>
                </w:rPr>
                <m:t>B_VAHU</m:t>
              </m:r>
            </m:e>
            <m:sub/>
          </m:sSub>
          <m:r>
            <w:rPr>
              <w:rFonts w:ascii="Cambria Math" w:hAnsi="Cambria Math" w:cstheme="majorBidi"/>
            </w:rPr>
            <m:t>+IB _STVA</m:t>
          </m:r>
        </m:oMath>
      </m:oMathPara>
    </w:p>
    <w:p w14:paraId="79A5EAA0" w14:textId="3A11D42D" w:rsidR="00FE5842" w:rsidRDefault="00FE5842" w:rsidP="00177ED7">
      <w:pPr>
        <w:pStyle w:val="IEEEParagraph"/>
        <w:ind w:firstLine="720"/>
        <w:rPr>
          <w:rFonts w:ascii="Book Antiqua" w:hAnsi="Book Antiqua"/>
          <w:lang w:val="en-US"/>
        </w:rPr>
      </w:pPr>
    </w:p>
    <w:p w14:paraId="39E76799" w14:textId="77777777" w:rsidR="000D320A" w:rsidRDefault="000D320A" w:rsidP="00233E0E">
      <w:pPr>
        <w:pStyle w:val="IEEEParagraph"/>
        <w:ind w:firstLine="720"/>
        <w:rPr>
          <w:rFonts w:ascii="Book Antiqua" w:hAnsi="Book Antiqua"/>
          <w:lang w:val="en-US"/>
        </w:rPr>
      </w:pPr>
      <w:r w:rsidRPr="000D320A">
        <w:rPr>
          <w:rFonts w:ascii="Book Antiqua" w:hAnsi="Book Antiqua"/>
          <w:lang w:val="en-US"/>
        </w:rPr>
        <w:t xml:space="preserve">Where, IB_VAIC is </w:t>
      </w:r>
      <w:r w:rsidR="00213EA2" w:rsidRPr="000D320A">
        <w:rPr>
          <w:rFonts w:ascii="Book Antiqua" w:hAnsi="Book Antiqua"/>
          <w:lang w:val="id-ID"/>
        </w:rPr>
        <w:t xml:space="preserve">islamic Bangking-Value Added Intellectual </w:t>
      </w:r>
      <w:r w:rsidRPr="000D320A">
        <w:rPr>
          <w:rFonts w:ascii="Book Antiqua" w:hAnsi="Book Antiqua"/>
          <w:lang w:val="id-ID"/>
        </w:rPr>
        <w:t>Capital,</w:t>
      </w:r>
      <w:r w:rsidR="00213EA2" w:rsidRPr="000D320A">
        <w:rPr>
          <w:rFonts w:ascii="Book Antiqua" w:hAnsi="Book Antiqua"/>
          <w:lang w:val="en-US"/>
        </w:rPr>
        <w:t xml:space="preserve"> </w:t>
      </w:r>
      <w:r w:rsidRPr="000D320A">
        <w:rPr>
          <w:rFonts w:ascii="Book Antiqua" w:hAnsi="Book Antiqua"/>
          <w:lang w:val="en-US"/>
        </w:rPr>
        <w:t>IB_VACE is Islamic Banking-Value Added Capital Employed</w:t>
      </w:r>
      <w:r w:rsidR="00213EA2" w:rsidRPr="000D320A">
        <w:rPr>
          <w:rFonts w:ascii="Book Antiqua" w:hAnsi="Book Antiqua"/>
          <w:lang w:val="en-US"/>
        </w:rPr>
        <w:t>, I</w:t>
      </w:r>
      <w:r w:rsidR="00213EA2" w:rsidRPr="000D320A">
        <w:rPr>
          <w:rFonts w:ascii="Book Antiqua" w:hAnsi="Book Antiqua"/>
          <w:lang w:val="id-ID"/>
        </w:rPr>
        <w:t>B</w:t>
      </w:r>
      <w:r w:rsidR="00213EA2" w:rsidRPr="000D320A">
        <w:rPr>
          <w:rFonts w:ascii="Book Antiqua" w:hAnsi="Book Antiqua"/>
          <w:lang w:val="en-US"/>
        </w:rPr>
        <w:t>_</w:t>
      </w:r>
      <w:r w:rsidR="00213EA2" w:rsidRPr="000D320A">
        <w:rPr>
          <w:rFonts w:ascii="Book Antiqua" w:hAnsi="Book Antiqua"/>
          <w:lang w:val="id-ID"/>
        </w:rPr>
        <w:t xml:space="preserve">VAHU </w:t>
      </w:r>
      <w:r w:rsidRPr="000D320A">
        <w:rPr>
          <w:rFonts w:ascii="Book Antiqua" w:hAnsi="Book Antiqua"/>
          <w:lang w:val="en-US"/>
        </w:rPr>
        <w:t xml:space="preserve">is </w:t>
      </w:r>
      <w:r>
        <w:rPr>
          <w:rFonts w:ascii="Book Antiqua" w:hAnsi="Book Antiqua"/>
          <w:lang w:val="en-US"/>
        </w:rPr>
        <w:t>I</w:t>
      </w:r>
      <w:r w:rsidR="00213EA2" w:rsidRPr="000D320A">
        <w:rPr>
          <w:rFonts w:ascii="Book Antiqua" w:hAnsi="Book Antiqua"/>
          <w:lang w:val="id-ID"/>
        </w:rPr>
        <w:t>slamic Banking-Value Added Human Capital</w:t>
      </w:r>
      <w:r w:rsidR="00213EA2" w:rsidRPr="000D320A">
        <w:rPr>
          <w:rFonts w:ascii="Book Antiqua" w:hAnsi="Book Antiqua"/>
          <w:lang w:val="en-US"/>
        </w:rPr>
        <w:t xml:space="preserve">, </w:t>
      </w:r>
      <w:r w:rsidRPr="000D320A">
        <w:rPr>
          <w:rFonts w:ascii="Book Antiqua" w:hAnsi="Book Antiqua"/>
          <w:lang w:val="en-US"/>
        </w:rPr>
        <w:t>IB_CSVA is Islamic Banking-Structural Capital Value Added.</w:t>
      </w:r>
    </w:p>
    <w:p w14:paraId="1E7A7B69" w14:textId="77777777" w:rsidR="000D320A" w:rsidRDefault="000D320A" w:rsidP="00213EA2">
      <w:pPr>
        <w:pStyle w:val="IEEEParagraph"/>
        <w:ind w:firstLine="720"/>
        <w:rPr>
          <w:rFonts w:ascii="Book Antiqua" w:hAnsi="Book Antiqua"/>
          <w:lang w:val="id-ID"/>
        </w:rPr>
      </w:pPr>
      <w:r w:rsidRPr="000D320A">
        <w:rPr>
          <w:rFonts w:ascii="Book Antiqua" w:hAnsi="Book Antiqua"/>
          <w:lang w:val="id-ID"/>
        </w:rPr>
        <w:t>In the first stage we will calculate IB_Value Added (IB_VA). Value added is used to calculate the added value in equity, the added value in human capital, and the added value in the capital structure. The Value Added value is calculated to find out how strong the company's ability to generate added value for the company. IB_VA is calculated through the difference from income minus expenses formulated as follows:</w:t>
      </w:r>
    </w:p>
    <w:p w14:paraId="4F3F90AA" w14:textId="77777777" w:rsidR="000D320A" w:rsidRDefault="000D320A" w:rsidP="00213EA2">
      <w:pPr>
        <w:pStyle w:val="IEEEParagraph"/>
        <w:ind w:firstLine="720"/>
        <w:rPr>
          <w:rFonts w:ascii="Book Antiqua" w:hAnsi="Book Antiqua"/>
          <w:lang w:val="id-ID"/>
        </w:rPr>
      </w:pPr>
    </w:p>
    <w:p w14:paraId="61C94029" w14:textId="549D9A14" w:rsidR="00213EA2" w:rsidRPr="000D320A" w:rsidRDefault="00ED537C" w:rsidP="00213EA2">
      <w:pPr>
        <w:pStyle w:val="IEEEParagraph"/>
        <w:ind w:firstLine="720"/>
        <w:rPr>
          <w:rFonts w:ascii="Book Antiqua" w:hAnsi="Book Antiqua"/>
          <w:lang w:val="en-US"/>
        </w:rPr>
      </w:pPr>
      <m:oMathPara>
        <m:oMath>
          <m:r>
            <w:rPr>
              <w:rFonts w:ascii="Cambria Math" w:hAnsi="Cambria Math"/>
              <w:lang w:val="en-US"/>
            </w:rPr>
            <m:t>I</m:t>
          </m:r>
          <m:sSub>
            <m:sSubPr>
              <m:ctrlPr>
                <w:rPr>
                  <w:rFonts w:ascii="Cambria Math" w:hAnsi="Cambria Math"/>
                  <w:i/>
                  <w:lang w:val="en-US"/>
                </w:rPr>
              </m:ctrlPr>
            </m:sSubPr>
            <m:e>
              <m:r>
                <w:rPr>
                  <w:rFonts w:ascii="Cambria Math" w:hAnsi="Cambria Math"/>
                  <w:lang w:val="en-US"/>
                </w:rPr>
                <m:t>B_VA</m:t>
              </m:r>
            </m:e>
            <m:sub/>
          </m:sSub>
          <m:r>
            <w:rPr>
              <w:rFonts w:ascii="Cambria Math" w:hAnsi="Cambria Math"/>
              <w:lang w:val="en-US"/>
            </w:rPr>
            <m:t>=OUT-IN</m:t>
          </m:r>
        </m:oMath>
      </m:oMathPara>
    </w:p>
    <w:p w14:paraId="3D2CE6AE" w14:textId="77777777" w:rsidR="000D320A" w:rsidRPr="00AF3A29" w:rsidRDefault="000D320A" w:rsidP="00213EA2">
      <w:pPr>
        <w:pStyle w:val="IEEEParagraph"/>
        <w:ind w:firstLine="720"/>
        <w:rPr>
          <w:rFonts w:ascii="Book Antiqua" w:hAnsi="Book Antiqua"/>
          <w:lang w:val="en-US"/>
        </w:rPr>
      </w:pPr>
    </w:p>
    <w:p w14:paraId="41A8BC0C" w14:textId="2C1C7B7D" w:rsidR="00AF3A29" w:rsidRPr="00C16003" w:rsidRDefault="000D320A" w:rsidP="00AF3A29">
      <w:pPr>
        <w:pStyle w:val="IEEEParagraph"/>
        <w:ind w:firstLine="720"/>
        <w:rPr>
          <w:rFonts w:ascii="Book Antiqua" w:hAnsi="Book Antiqua"/>
          <w:lang w:val="en-US"/>
        </w:rPr>
      </w:pPr>
      <w:r w:rsidRPr="000D320A">
        <w:rPr>
          <w:rFonts w:ascii="Book Antiqua" w:hAnsi="Book Antiqua"/>
          <w:lang w:val="en-US"/>
        </w:rPr>
        <w:t xml:space="preserve">Where, OUT is the total income derived from the main operating income of sharia activities in addition to other operating income and minus the third party's right to profit sharing and temporary </w:t>
      </w:r>
      <w:proofErr w:type="spellStart"/>
      <w:r w:rsidRPr="000D320A">
        <w:rPr>
          <w:rFonts w:ascii="Book Antiqua" w:hAnsi="Book Antiqua"/>
          <w:lang w:val="en-US"/>
        </w:rPr>
        <w:t>syirkah</w:t>
      </w:r>
      <w:proofErr w:type="spellEnd"/>
      <w:r w:rsidRPr="000D320A">
        <w:rPr>
          <w:rFonts w:ascii="Book Antiqua" w:hAnsi="Book Antiqua"/>
          <w:lang w:val="en-US"/>
        </w:rPr>
        <w:t>. Furthermore, IN is the total operational and non-operational expenses, except staffing/employee expenses. Furthermore, the calculation results IB_VA used to obtain variable added value to total equity, added value to human capital, and added value to the capital structure.</w:t>
      </w:r>
    </w:p>
    <w:p w14:paraId="10B857FB" w14:textId="594547B9" w:rsidR="00C16003" w:rsidRDefault="000D320A" w:rsidP="00FB4D8B">
      <w:pPr>
        <w:pStyle w:val="IEEEParagraph"/>
        <w:ind w:firstLine="720"/>
        <w:rPr>
          <w:rFonts w:ascii="Book Antiqua" w:hAnsi="Book Antiqua"/>
          <w:lang w:val="id-ID"/>
        </w:rPr>
      </w:pPr>
      <w:r w:rsidRPr="000D320A">
        <w:rPr>
          <w:rFonts w:ascii="Book Antiqua" w:hAnsi="Book Antiqua"/>
          <w:lang w:val="en-US"/>
        </w:rPr>
        <w:t>In the next stage we will use the results of the value-added calculation (IB_VA) to get the value-added figure on equity (IB_VACE). IB_VACE is an indicator of the IB_VA created from equity. This ratio shows the contribution of each unit of the available Fund or total equity (Capital Employment / CE) to the value added of the company. IB_VACE is calculated by the following formula:</w:t>
      </w:r>
    </w:p>
    <w:p w14:paraId="02D9329B" w14:textId="77777777" w:rsidR="000D320A" w:rsidRDefault="000D320A" w:rsidP="00FB4D8B">
      <w:pPr>
        <w:pStyle w:val="IEEEParagraph"/>
        <w:ind w:firstLine="720"/>
        <w:rPr>
          <w:rFonts w:ascii="Book Antiqua" w:hAnsi="Book Antiqua"/>
          <w:lang w:val="id-ID"/>
        </w:rPr>
      </w:pPr>
    </w:p>
    <w:p w14:paraId="7453E8A5" w14:textId="0F04FC40" w:rsidR="00B50B32" w:rsidRPr="002971BC" w:rsidRDefault="008A15AA" w:rsidP="00B50B32">
      <w:pPr>
        <w:pStyle w:val="ListParagraph"/>
        <w:spacing w:line="360" w:lineRule="auto"/>
        <w:ind w:left="0"/>
        <w:jc w:val="center"/>
        <w:rPr>
          <w:rFonts w:asciiTheme="majorBidi" w:eastAsiaTheme="minorEastAsia" w:hAnsiTheme="majorBidi" w:cstheme="majorBidi"/>
        </w:rPr>
      </w:pPr>
      <m:oMathPara>
        <m:oMath>
          <m:r>
            <w:rPr>
              <w:rFonts w:ascii="Cambria Math" w:hAnsi="Cambria Math" w:cstheme="majorBidi"/>
            </w:rPr>
            <m:t xml:space="preserve">IB_VACE= </m:t>
          </m:r>
          <m:f>
            <m:fPr>
              <m:ctrlPr>
                <w:rPr>
                  <w:rFonts w:ascii="Cambria Math" w:hAnsiTheme="majorBidi" w:cstheme="majorBidi"/>
                  <w:iCs/>
                </w:rPr>
              </m:ctrlPr>
            </m:fPr>
            <m:num>
              <m:r>
                <m:rPr>
                  <m:sty m:val="p"/>
                </m:rPr>
                <w:rPr>
                  <w:rFonts w:ascii="Cambria Math" w:hAnsiTheme="majorBidi" w:cstheme="majorBidi"/>
                </w:rPr>
                <m:t>IB</m:t>
              </m:r>
              <m:r>
                <m:rPr>
                  <m:sty m:val="p"/>
                </m:rPr>
                <w:rPr>
                  <w:rFonts w:ascii="Cambria Math" w:hAnsi="Cambria Math" w:cstheme="majorBidi"/>
                </w:rPr>
                <m:t>_</m:t>
              </m:r>
              <m:r>
                <m:rPr>
                  <m:sty m:val="p"/>
                </m:rPr>
                <w:rPr>
                  <w:rFonts w:ascii="Cambria Math" w:hAnsiTheme="majorBidi" w:cstheme="majorBidi"/>
                </w:rPr>
                <m:t>VA</m:t>
              </m:r>
            </m:num>
            <m:den>
              <m:r>
                <m:rPr>
                  <m:sty m:val="p"/>
                </m:rPr>
                <w:rPr>
                  <w:rFonts w:ascii="Cambria Math" w:hAnsiTheme="majorBidi" w:cstheme="majorBidi"/>
                </w:rPr>
                <m:t>CE</m:t>
              </m:r>
            </m:den>
          </m:f>
        </m:oMath>
      </m:oMathPara>
    </w:p>
    <w:p w14:paraId="68468472" w14:textId="77777777" w:rsidR="00B50B32" w:rsidRPr="00C16003" w:rsidRDefault="00B50B32" w:rsidP="00C16003">
      <w:pPr>
        <w:pStyle w:val="IEEEParagraph"/>
        <w:ind w:firstLine="720"/>
        <w:rPr>
          <w:rFonts w:ascii="Book Antiqua" w:hAnsi="Book Antiqua"/>
          <w:lang w:val="id-ID"/>
        </w:rPr>
      </w:pPr>
    </w:p>
    <w:p w14:paraId="07CBF8B0" w14:textId="73F22DE6" w:rsidR="00AC1BC5" w:rsidRDefault="000D320A" w:rsidP="00AC1BC5">
      <w:pPr>
        <w:pStyle w:val="IEEEParagraph"/>
        <w:ind w:firstLine="720"/>
        <w:rPr>
          <w:rFonts w:ascii="Book Antiqua" w:hAnsi="Book Antiqua"/>
          <w:lang w:val="en-US"/>
        </w:rPr>
      </w:pPr>
      <w:r w:rsidRPr="000D320A">
        <w:rPr>
          <w:rFonts w:ascii="Book Antiqua" w:hAnsi="Book Antiqua"/>
          <w:lang w:val="en-US"/>
        </w:rPr>
        <w:t xml:space="preserve">Furthermore, we use value-added (IB_VA) calculations that we also use to find added value in human capital (IB_VAHU). </w:t>
      </w:r>
      <w:proofErr w:type="spellStart"/>
      <w:r w:rsidRPr="000D320A">
        <w:rPr>
          <w:rFonts w:ascii="Book Antiqua" w:hAnsi="Book Antiqua"/>
          <w:lang w:val="en-US"/>
        </w:rPr>
        <w:t>iB</w:t>
      </w:r>
      <w:proofErr w:type="spellEnd"/>
      <w:r w:rsidRPr="000D320A">
        <w:rPr>
          <w:rFonts w:ascii="Book Antiqua" w:hAnsi="Book Antiqua"/>
          <w:lang w:val="en-US"/>
        </w:rPr>
        <w:t>-VAHU shows how much added value can be generated with funds spent on labor. This ratio shows the contribution made by each rupiah invested in human capital (HC) to the value added of the organization. Human capital (HC) is measured using employee salary burden or total salary. IB-VAHU is calculated by the following formula:</w:t>
      </w:r>
    </w:p>
    <w:p w14:paraId="2CD7B483" w14:textId="77777777" w:rsidR="000D320A" w:rsidRDefault="000D320A" w:rsidP="00AC1BC5">
      <w:pPr>
        <w:pStyle w:val="IEEEParagraph"/>
        <w:ind w:firstLine="720"/>
        <w:rPr>
          <w:rFonts w:ascii="Book Antiqua" w:hAnsi="Book Antiqua"/>
          <w:lang w:val="id-ID"/>
        </w:rPr>
      </w:pPr>
    </w:p>
    <w:p w14:paraId="38522C75" w14:textId="53E5EA1E" w:rsidR="00022114" w:rsidRPr="00912510" w:rsidRDefault="00022114" w:rsidP="00AC1BC5">
      <w:pPr>
        <w:pStyle w:val="IEEEParagraph"/>
        <w:ind w:firstLine="720"/>
        <w:rPr>
          <w:rFonts w:ascii="Book Antiqua" w:hAnsi="Book Antiqua"/>
          <w:iCs/>
        </w:rPr>
      </w:pPr>
      <m:oMathPara>
        <m:oMath>
          <m:r>
            <w:rPr>
              <w:rFonts w:ascii="Cambria Math" w:hAnsi="Cambria Math" w:cstheme="majorBidi"/>
            </w:rPr>
            <w:lastRenderedPageBreak/>
            <m:t xml:space="preserve">IB_VAHU= </m:t>
          </m:r>
          <m:f>
            <m:fPr>
              <m:ctrlPr>
                <w:rPr>
                  <w:rFonts w:ascii="Cambria Math" w:hAnsiTheme="majorBidi" w:cstheme="majorBidi"/>
                  <w:iCs/>
                </w:rPr>
              </m:ctrlPr>
            </m:fPr>
            <m:num>
              <m:r>
                <m:rPr>
                  <m:sty m:val="p"/>
                </m:rPr>
                <w:rPr>
                  <w:rFonts w:ascii="Cambria Math" w:hAnsiTheme="majorBidi" w:cstheme="majorBidi"/>
                </w:rPr>
                <m:t>IB</m:t>
              </m:r>
              <m:r>
                <m:rPr>
                  <m:sty m:val="p"/>
                </m:rPr>
                <w:rPr>
                  <w:rFonts w:ascii="Cambria Math" w:hAnsi="Cambria Math" w:cstheme="majorBidi"/>
                </w:rPr>
                <m:t>_</m:t>
              </m:r>
              <m:r>
                <m:rPr>
                  <m:sty m:val="p"/>
                </m:rPr>
                <w:rPr>
                  <w:rFonts w:ascii="Cambria Math" w:hAnsiTheme="majorBidi" w:cstheme="majorBidi"/>
                </w:rPr>
                <m:t>VA</m:t>
              </m:r>
            </m:num>
            <m:den>
              <m:r>
                <m:rPr>
                  <m:sty m:val="p"/>
                </m:rPr>
                <w:rPr>
                  <w:rFonts w:ascii="Cambria Math" w:hAnsiTheme="majorBidi" w:cstheme="majorBidi"/>
                </w:rPr>
                <m:t>HC</m:t>
              </m:r>
            </m:den>
          </m:f>
        </m:oMath>
      </m:oMathPara>
    </w:p>
    <w:p w14:paraId="365361A2" w14:textId="77777777" w:rsidR="00912510" w:rsidRPr="00AC1BC5" w:rsidRDefault="00912510" w:rsidP="00AC1BC5">
      <w:pPr>
        <w:pStyle w:val="IEEEParagraph"/>
        <w:ind w:firstLine="720"/>
        <w:rPr>
          <w:rFonts w:ascii="Book Antiqua" w:hAnsi="Book Antiqua"/>
          <w:lang w:val="id-ID"/>
        </w:rPr>
      </w:pPr>
    </w:p>
    <w:p w14:paraId="3AC2BFC7" w14:textId="5C227087" w:rsidR="00624DE8" w:rsidRDefault="000D320A" w:rsidP="00624DE8">
      <w:pPr>
        <w:pStyle w:val="IEEEParagraph"/>
        <w:ind w:firstLine="720"/>
        <w:rPr>
          <w:rFonts w:ascii="Book Antiqua" w:hAnsi="Book Antiqua"/>
          <w:lang w:val="en-US"/>
        </w:rPr>
      </w:pPr>
      <w:r w:rsidRPr="000D320A">
        <w:rPr>
          <w:rFonts w:ascii="Book Antiqua" w:hAnsi="Book Antiqua"/>
          <w:lang w:val="en-US"/>
        </w:rPr>
        <w:t>To obtain variable value-added to the capital structure (IB_CSVA), we use a capital structure rather than a value-added one. This ratio measures the amount of capital structure needed to generate a rupiah added value and is an indication of how successful the capital structure is in value creation. IB_CSVA can be calculated using the formula:</w:t>
      </w:r>
    </w:p>
    <w:p w14:paraId="3043DA63" w14:textId="77777777" w:rsidR="000D320A" w:rsidRPr="008A29E7" w:rsidRDefault="000D320A" w:rsidP="00624DE8">
      <w:pPr>
        <w:pStyle w:val="IEEEParagraph"/>
        <w:ind w:firstLine="720"/>
        <w:rPr>
          <w:rFonts w:ascii="Book Antiqua" w:hAnsi="Book Antiqua"/>
          <w:lang w:val="en-US"/>
        </w:rPr>
      </w:pPr>
    </w:p>
    <w:p w14:paraId="38897487" w14:textId="60EBA339" w:rsidR="008A29E7" w:rsidRPr="00AC1BC5" w:rsidRDefault="008A29E7" w:rsidP="008A29E7">
      <w:pPr>
        <w:pStyle w:val="IEEEParagraph"/>
        <w:ind w:firstLine="720"/>
        <w:rPr>
          <w:rFonts w:ascii="Book Antiqua" w:hAnsi="Book Antiqua"/>
          <w:lang w:val="id-ID"/>
        </w:rPr>
      </w:pPr>
      <m:oMathPara>
        <m:oMath>
          <m:r>
            <w:rPr>
              <w:rFonts w:ascii="Cambria Math" w:hAnsi="Cambria Math" w:cstheme="majorBidi"/>
            </w:rPr>
            <m:t xml:space="preserve">IB_CSVA= </m:t>
          </m:r>
          <m:f>
            <m:fPr>
              <m:ctrlPr>
                <w:rPr>
                  <w:rFonts w:ascii="Cambria Math" w:hAnsiTheme="majorBidi" w:cstheme="majorBidi"/>
                  <w:iCs/>
                </w:rPr>
              </m:ctrlPr>
            </m:fPr>
            <m:num>
              <m:r>
                <m:rPr>
                  <m:sty m:val="p"/>
                </m:rPr>
                <w:rPr>
                  <w:rFonts w:ascii="Cambria Math" w:hAnsiTheme="majorBidi" w:cstheme="majorBidi"/>
                </w:rPr>
                <m:t>CS</m:t>
              </m:r>
            </m:num>
            <m:den>
              <m:r>
                <m:rPr>
                  <m:sty m:val="p"/>
                </m:rPr>
                <w:rPr>
                  <w:rFonts w:ascii="Cambria Math" w:hAnsiTheme="majorBidi" w:cstheme="majorBidi"/>
                </w:rPr>
                <m:t>IB</m:t>
              </m:r>
              <m:r>
                <m:rPr>
                  <m:sty m:val="p"/>
                </m:rPr>
                <w:rPr>
                  <w:rFonts w:ascii="Cambria Math" w:hAnsi="Cambria Math" w:cstheme="majorBidi"/>
                </w:rPr>
                <m:t>_</m:t>
              </m:r>
              <m:r>
                <m:rPr>
                  <m:sty m:val="p"/>
                </m:rPr>
                <w:rPr>
                  <w:rFonts w:ascii="Cambria Math" w:hAnsiTheme="majorBidi" w:cstheme="majorBidi"/>
                </w:rPr>
                <m:t>VA</m:t>
              </m:r>
            </m:den>
          </m:f>
        </m:oMath>
      </m:oMathPara>
    </w:p>
    <w:p w14:paraId="44BFE8F8" w14:textId="5C44101B" w:rsidR="00AB318F" w:rsidRPr="00AF3A29" w:rsidRDefault="00AB318F" w:rsidP="00AF3A29">
      <w:pPr>
        <w:pStyle w:val="IEEEParagraph"/>
        <w:ind w:firstLine="720"/>
        <w:rPr>
          <w:rFonts w:ascii="Book Antiqua" w:hAnsi="Book Antiqua"/>
          <w:lang w:val="en-US"/>
        </w:rPr>
      </w:pPr>
    </w:p>
    <w:p w14:paraId="054CB603" w14:textId="69B348A8" w:rsidR="00CE57AA" w:rsidRPr="00CE57AA" w:rsidRDefault="000D320A" w:rsidP="00CE57AA">
      <w:pPr>
        <w:pStyle w:val="IEEEParagraph"/>
        <w:ind w:firstLine="720"/>
        <w:rPr>
          <w:rFonts w:ascii="Book Antiqua" w:hAnsi="Book Antiqua"/>
          <w:lang w:val="id-ID"/>
        </w:rPr>
      </w:pPr>
      <w:r w:rsidRPr="000D320A">
        <w:rPr>
          <w:rFonts w:ascii="Book Antiqua" w:hAnsi="Book Antiqua"/>
          <w:lang w:val="id-ID"/>
        </w:rPr>
        <w:t>The next stage, after knowing the results of the iB-VAIC calculation from each Sharia Commercial Bank (BUS), is to rank according to the resulting value with the following ranking categories:</w:t>
      </w:r>
    </w:p>
    <w:p w14:paraId="356B2737" w14:textId="77777777" w:rsidR="000D320A" w:rsidRPr="000D320A" w:rsidRDefault="000D320A" w:rsidP="000D320A">
      <w:pPr>
        <w:pStyle w:val="IEEEParagraph"/>
        <w:ind w:firstLine="720"/>
        <w:rPr>
          <w:rFonts w:ascii="Book Antiqua" w:hAnsi="Book Antiqua"/>
          <w:lang w:val="id-ID"/>
        </w:rPr>
      </w:pPr>
      <w:r w:rsidRPr="000D320A">
        <w:rPr>
          <w:rFonts w:ascii="Book Antiqua" w:hAnsi="Book Antiqua"/>
          <w:lang w:val="id-ID"/>
        </w:rPr>
        <w:t>1. Top Performance–VAIC score above 3.00</w:t>
      </w:r>
    </w:p>
    <w:p w14:paraId="6ACC3807" w14:textId="77777777" w:rsidR="000D320A" w:rsidRPr="000D320A" w:rsidRDefault="000D320A" w:rsidP="000D320A">
      <w:pPr>
        <w:pStyle w:val="IEEEParagraph"/>
        <w:ind w:firstLine="720"/>
        <w:rPr>
          <w:rFonts w:ascii="Book Antiqua" w:hAnsi="Book Antiqua"/>
          <w:lang w:val="id-ID"/>
        </w:rPr>
      </w:pPr>
      <w:r w:rsidRPr="000D320A">
        <w:rPr>
          <w:rFonts w:ascii="Book Antiqua" w:hAnsi="Book Antiqua"/>
          <w:lang w:val="id-ID"/>
        </w:rPr>
        <w:t>2. Good Performance – VAIC score between 2.0 to 2.99</w:t>
      </w:r>
    </w:p>
    <w:p w14:paraId="378E5696" w14:textId="77777777" w:rsidR="000D320A" w:rsidRPr="000D320A" w:rsidRDefault="000D320A" w:rsidP="000D320A">
      <w:pPr>
        <w:pStyle w:val="IEEEParagraph"/>
        <w:ind w:firstLine="720"/>
        <w:rPr>
          <w:rFonts w:ascii="Book Antiqua" w:hAnsi="Book Antiqua"/>
          <w:lang w:val="id-ID"/>
        </w:rPr>
      </w:pPr>
      <w:r w:rsidRPr="000D320A">
        <w:rPr>
          <w:rFonts w:ascii="Book Antiqua" w:hAnsi="Book Antiqua"/>
          <w:lang w:val="id-ID"/>
        </w:rPr>
        <w:t>3. Common Performance–VAIC score between 1.5 to 1.99</w:t>
      </w:r>
    </w:p>
    <w:p w14:paraId="5AC77A56" w14:textId="4757074C" w:rsidR="00AF3A29" w:rsidRPr="000D320A" w:rsidRDefault="000D320A" w:rsidP="000D320A">
      <w:pPr>
        <w:pStyle w:val="IEEEParagraph"/>
        <w:ind w:firstLine="720"/>
        <w:rPr>
          <w:rFonts w:ascii="Book Antiqua" w:hAnsi="Book Antiqua"/>
          <w:lang w:val="id-ID"/>
        </w:rPr>
      </w:pPr>
      <w:r w:rsidRPr="000D320A">
        <w:rPr>
          <w:rFonts w:ascii="Book Antiqua" w:hAnsi="Book Antiqua"/>
          <w:lang w:val="id-ID"/>
        </w:rPr>
        <w:t>4. Bad Performers–VAIC score below 1.5.</w:t>
      </w:r>
    </w:p>
    <w:p w14:paraId="70BFC73F" w14:textId="77777777" w:rsidR="000D320A" w:rsidRDefault="000D320A" w:rsidP="000D320A">
      <w:pPr>
        <w:pStyle w:val="IEEEParagraph"/>
        <w:ind w:firstLine="720"/>
        <w:rPr>
          <w:rFonts w:ascii="Book Antiqua" w:hAnsi="Book Antiqua"/>
          <w:lang w:val="en-US"/>
        </w:rPr>
      </w:pPr>
    </w:p>
    <w:p w14:paraId="051E67A4" w14:textId="7FFB6BD8" w:rsidR="000D320A" w:rsidRDefault="000D320A" w:rsidP="000D320A">
      <w:pPr>
        <w:pStyle w:val="ListParagraph"/>
        <w:ind w:left="0" w:firstLine="567"/>
        <w:jc w:val="both"/>
        <w:rPr>
          <w:rFonts w:ascii="Book Antiqua" w:hAnsi="Book Antiqua"/>
        </w:rPr>
      </w:pPr>
      <w:r w:rsidRPr="000D320A">
        <w:rPr>
          <w:rFonts w:ascii="Book Antiqua" w:hAnsi="Book Antiqua"/>
        </w:rPr>
        <w:t>To measure the second independent variable, namely Good Corporate Governance, this study uses the ranking of the implementation of Good Corporate Governance (GCG). The quality of the implementation of Good Corporate Governance (GCG) is seen from the composite value of self-assessment poured in Bank Indonesia regulation Number 12/13/</w:t>
      </w:r>
      <w:proofErr w:type="spellStart"/>
      <w:r w:rsidRPr="000D320A">
        <w:rPr>
          <w:rFonts w:ascii="Book Antiqua" w:hAnsi="Book Antiqua"/>
        </w:rPr>
        <w:t>DPbS</w:t>
      </w:r>
      <w:proofErr w:type="spellEnd"/>
      <w:r w:rsidRPr="000D320A">
        <w:rPr>
          <w:rFonts w:ascii="Book Antiqua" w:hAnsi="Book Antiqua"/>
        </w:rPr>
        <w:t xml:space="preserve"> concerning the obligation of Islamic banks to conduct a self-assessment of the implementation of Good Corporate Governance (GCG). This value is then ranked in accordance with the qualifications in the Good Corporate Governance (GCG) report issued by Islamic banks. Classification based on composite ratings specified in Bank Indonesia Circular Letter number 12/13/</w:t>
      </w:r>
      <w:proofErr w:type="spellStart"/>
      <w:r w:rsidRPr="000D320A">
        <w:rPr>
          <w:rFonts w:ascii="Book Antiqua" w:hAnsi="Book Antiqua"/>
        </w:rPr>
        <w:t>DPbS</w:t>
      </w:r>
      <w:proofErr w:type="spellEnd"/>
      <w:r w:rsidRPr="000D320A">
        <w:rPr>
          <w:rFonts w:ascii="Book Antiqua" w:hAnsi="Book Antiqua"/>
        </w:rPr>
        <w:t>, as follows:</w:t>
      </w:r>
    </w:p>
    <w:p w14:paraId="6B65465C" w14:textId="77777777" w:rsidR="000D320A" w:rsidRDefault="000D320A" w:rsidP="000D320A">
      <w:pPr>
        <w:pStyle w:val="ListParagraph"/>
        <w:ind w:left="0" w:firstLine="567"/>
        <w:jc w:val="both"/>
        <w:rPr>
          <w:rFonts w:ascii="Book Antiqua" w:hAnsi="Book Antiqua"/>
        </w:rPr>
      </w:pPr>
    </w:p>
    <w:p w14:paraId="37BE19AD" w14:textId="199BFA3D" w:rsidR="00300FF2" w:rsidRPr="00300FF2" w:rsidRDefault="000D320A" w:rsidP="00300FF2">
      <w:pPr>
        <w:pStyle w:val="ListParagraph"/>
        <w:ind w:left="0" w:firstLine="567"/>
        <w:jc w:val="center"/>
        <w:rPr>
          <w:rFonts w:asciiTheme="majorBidi" w:hAnsiTheme="majorBidi" w:cstheme="majorBidi"/>
          <w:b/>
          <w:bCs/>
          <w:sz w:val="22"/>
          <w:szCs w:val="22"/>
          <w:lang w:val="id-ID" w:eastAsia="en-US"/>
        </w:rPr>
      </w:pPr>
      <w:r w:rsidRPr="000D320A">
        <w:rPr>
          <w:rFonts w:ascii="Book Antiqua" w:hAnsi="Book Antiqua"/>
          <w:b/>
          <w:bCs/>
          <w:lang w:val="en-US"/>
        </w:rPr>
        <w:t>Table 2. Qualifications for GCG Implementation</w:t>
      </w:r>
    </w:p>
    <w:tbl>
      <w:tblPr>
        <w:tblStyle w:val="TableGrid"/>
        <w:tblW w:w="8379" w:type="dxa"/>
        <w:tblLook w:val="04A0" w:firstRow="1" w:lastRow="0" w:firstColumn="1" w:lastColumn="0" w:noHBand="0" w:noVBand="1"/>
      </w:tblPr>
      <w:tblGrid>
        <w:gridCol w:w="2943"/>
        <w:gridCol w:w="2718"/>
        <w:gridCol w:w="2718"/>
      </w:tblGrid>
      <w:tr w:rsidR="000D320A" w:rsidRPr="000D320A" w14:paraId="3A83E3F2"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3539CC36" w14:textId="0AB28749" w:rsidR="000D320A" w:rsidRPr="000D320A" w:rsidRDefault="000D320A" w:rsidP="000D320A">
            <w:pPr>
              <w:pStyle w:val="HTMLPreformatted"/>
              <w:jc w:val="center"/>
              <w:rPr>
                <w:rFonts w:ascii="Book Antiqua" w:hAnsi="Book Antiqua" w:cstheme="majorBidi"/>
                <w:b/>
                <w:bCs/>
                <w:lang w:val="en-US"/>
              </w:rPr>
            </w:pPr>
            <w:r w:rsidRPr="000D320A">
              <w:rPr>
                <w:rFonts w:ascii="Book Antiqua" w:hAnsi="Book Antiqua"/>
                <w:b/>
                <w:bCs/>
              </w:rPr>
              <w:t>Composite Value Predicate Composite Rating</w:t>
            </w:r>
          </w:p>
        </w:tc>
        <w:tc>
          <w:tcPr>
            <w:tcW w:w="2718" w:type="dxa"/>
            <w:tcBorders>
              <w:top w:val="single" w:sz="4" w:space="0" w:color="auto"/>
              <w:left w:val="single" w:sz="4" w:space="0" w:color="auto"/>
              <w:bottom w:val="single" w:sz="4" w:space="0" w:color="auto"/>
              <w:right w:val="single" w:sz="4" w:space="0" w:color="auto"/>
            </w:tcBorders>
            <w:hideMark/>
          </w:tcPr>
          <w:p w14:paraId="055C163A" w14:textId="7925A9CF" w:rsidR="000D320A" w:rsidRPr="000D320A" w:rsidRDefault="000D320A" w:rsidP="000D320A">
            <w:pPr>
              <w:pStyle w:val="HTMLPreformatted"/>
              <w:jc w:val="center"/>
              <w:rPr>
                <w:rFonts w:ascii="Book Antiqua" w:hAnsi="Book Antiqua" w:cstheme="majorBidi"/>
                <w:b/>
                <w:bCs/>
              </w:rPr>
            </w:pPr>
            <w:r w:rsidRPr="000D320A">
              <w:rPr>
                <w:rFonts w:ascii="Book Antiqua" w:hAnsi="Book Antiqua"/>
                <w:b/>
                <w:bCs/>
              </w:rPr>
              <w:t>Composite Value Predicate Composite Rating</w:t>
            </w:r>
          </w:p>
        </w:tc>
        <w:tc>
          <w:tcPr>
            <w:tcW w:w="2718" w:type="dxa"/>
            <w:tcBorders>
              <w:top w:val="single" w:sz="4" w:space="0" w:color="auto"/>
              <w:left w:val="single" w:sz="4" w:space="0" w:color="auto"/>
              <w:bottom w:val="single" w:sz="4" w:space="0" w:color="auto"/>
              <w:right w:val="single" w:sz="4" w:space="0" w:color="auto"/>
            </w:tcBorders>
            <w:hideMark/>
          </w:tcPr>
          <w:p w14:paraId="38CD640C" w14:textId="5A3D9100" w:rsidR="000D320A" w:rsidRPr="000D320A" w:rsidRDefault="000D320A" w:rsidP="000D320A">
            <w:pPr>
              <w:pStyle w:val="HTMLPreformatted"/>
              <w:jc w:val="center"/>
              <w:rPr>
                <w:rFonts w:ascii="Book Antiqua" w:hAnsi="Book Antiqua" w:cstheme="majorBidi"/>
                <w:b/>
                <w:bCs/>
              </w:rPr>
            </w:pPr>
            <w:r w:rsidRPr="000D320A">
              <w:rPr>
                <w:rFonts w:ascii="Book Antiqua" w:hAnsi="Book Antiqua"/>
                <w:b/>
                <w:bCs/>
              </w:rPr>
              <w:t>Composite Value Predicate Composite Rating</w:t>
            </w:r>
          </w:p>
        </w:tc>
      </w:tr>
      <w:tr w:rsidR="000D320A" w:rsidRPr="000D320A" w14:paraId="77043AD1"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70CC8E9B" w14:textId="617C0230" w:rsidR="000D320A" w:rsidRPr="000D320A" w:rsidRDefault="000D320A" w:rsidP="000D320A">
            <w:pPr>
              <w:pStyle w:val="HTMLPreformatted"/>
              <w:jc w:val="center"/>
              <w:rPr>
                <w:rFonts w:ascii="Book Antiqua" w:hAnsi="Book Antiqua" w:cstheme="majorBidi"/>
              </w:rPr>
            </w:pPr>
            <w:r w:rsidRPr="000D320A">
              <w:rPr>
                <w:rFonts w:ascii="Book Antiqua" w:hAnsi="Book Antiqua"/>
              </w:rPr>
              <w:t>Composite value &lt; 1.50 Very good 1</w:t>
            </w:r>
          </w:p>
        </w:tc>
        <w:tc>
          <w:tcPr>
            <w:tcW w:w="2718" w:type="dxa"/>
            <w:tcBorders>
              <w:top w:val="single" w:sz="4" w:space="0" w:color="auto"/>
              <w:left w:val="single" w:sz="4" w:space="0" w:color="auto"/>
              <w:bottom w:val="single" w:sz="4" w:space="0" w:color="auto"/>
              <w:right w:val="single" w:sz="4" w:space="0" w:color="auto"/>
            </w:tcBorders>
            <w:hideMark/>
          </w:tcPr>
          <w:p w14:paraId="7287CC63" w14:textId="04DE7260" w:rsidR="000D320A" w:rsidRPr="000D320A" w:rsidRDefault="000D320A" w:rsidP="000D320A">
            <w:pPr>
              <w:pStyle w:val="HTMLPreformatted"/>
              <w:jc w:val="center"/>
              <w:rPr>
                <w:rFonts w:ascii="Book Antiqua" w:hAnsi="Book Antiqua" w:cstheme="majorBidi"/>
              </w:rPr>
            </w:pPr>
            <w:r w:rsidRPr="000D320A">
              <w:rPr>
                <w:rFonts w:ascii="Book Antiqua" w:hAnsi="Book Antiqua"/>
              </w:rPr>
              <w:t>Composite value &lt; 1.50 Very good 1</w:t>
            </w:r>
          </w:p>
        </w:tc>
        <w:tc>
          <w:tcPr>
            <w:tcW w:w="2718" w:type="dxa"/>
            <w:tcBorders>
              <w:top w:val="single" w:sz="4" w:space="0" w:color="auto"/>
              <w:left w:val="single" w:sz="4" w:space="0" w:color="auto"/>
              <w:bottom w:val="single" w:sz="4" w:space="0" w:color="auto"/>
              <w:right w:val="single" w:sz="4" w:space="0" w:color="auto"/>
            </w:tcBorders>
            <w:hideMark/>
          </w:tcPr>
          <w:p w14:paraId="5EB8EA60" w14:textId="5466384B" w:rsidR="000D320A" w:rsidRPr="000D320A" w:rsidRDefault="000D320A" w:rsidP="000D320A">
            <w:pPr>
              <w:pStyle w:val="HTMLPreformatted"/>
              <w:jc w:val="center"/>
              <w:rPr>
                <w:rFonts w:ascii="Book Antiqua" w:hAnsi="Book Antiqua" w:cstheme="majorBidi"/>
              </w:rPr>
            </w:pPr>
            <w:r w:rsidRPr="000D320A">
              <w:rPr>
                <w:rFonts w:ascii="Book Antiqua" w:hAnsi="Book Antiqua"/>
              </w:rPr>
              <w:t>Composite value &lt; 1.50 Very good 1</w:t>
            </w:r>
          </w:p>
        </w:tc>
      </w:tr>
      <w:tr w:rsidR="000D320A" w:rsidRPr="000D320A" w14:paraId="5E4B1790"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78514AE0" w14:textId="020F7880" w:rsidR="000D320A" w:rsidRPr="000D320A" w:rsidRDefault="000D320A" w:rsidP="000D320A">
            <w:pPr>
              <w:pStyle w:val="HTMLPreformatted"/>
              <w:jc w:val="center"/>
              <w:rPr>
                <w:rFonts w:ascii="Book Antiqua" w:hAnsi="Book Antiqua" w:cstheme="majorBidi"/>
              </w:rPr>
            </w:pPr>
            <w:r w:rsidRPr="000D320A">
              <w:rPr>
                <w:rFonts w:ascii="Book Antiqua" w:hAnsi="Book Antiqua"/>
              </w:rPr>
              <w:t>1.5 ≤ Composite Value &lt; 2.5 Good 2</w:t>
            </w:r>
          </w:p>
        </w:tc>
        <w:tc>
          <w:tcPr>
            <w:tcW w:w="2718" w:type="dxa"/>
            <w:tcBorders>
              <w:top w:val="single" w:sz="4" w:space="0" w:color="auto"/>
              <w:left w:val="single" w:sz="4" w:space="0" w:color="auto"/>
              <w:bottom w:val="single" w:sz="4" w:space="0" w:color="auto"/>
              <w:right w:val="single" w:sz="4" w:space="0" w:color="auto"/>
            </w:tcBorders>
            <w:hideMark/>
          </w:tcPr>
          <w:p w14:paraId="61B26364" w14:textId="1390F3AC" w:rsidR="000D320A" w:rsidRPr="000D320A" w:rsidRDefault="000D320A" w:rsidP="000D320A">
            <w:pPr>
              <w:pStyle w:val="HTMLPreformatted"/>
              <w:jc w:val="center"/>
              <w:rPr>
                <w:rFonts w:ascii="Book Antiqua" w:hAnsi="Book Antiqua" w:cstheme="majorBidi"/>
              </w:rPr>
            </w:pPr>
            <w:r w:rsidRPr="000D320A">
              <w:rPr>
                <w:rFonts w:ascii="Book Antiqua" w:hAnsi="Book Antiqua"/>
              </w:rPr>
              <w:t>1.5 ≤ Composite Value &lt; 2.5 Good 2</w:t>
            </w:r>
          </w:p>
        </w:tc>
        <w:tc>
          <w:tcPr>
            <w:tcW w:w="2718" w:type="dxa"/>
            <w:tcBorders>
              <w:top w:val="single" w:sz="4" w:space="0" w:color="auto"/>
              <w:left w:val="single" w:sz="4" w:space="0" w:color="auto"/>
              <w:bottom w:val="single" w:sz="4" w:space="0" w:color="auto"/>
              <w:right w:val="single" w:sz="4" w:space="0" w:color="auto"/>
            </w:tcBorders>
            <w:hideMark/>
          </w:tcPr>
          <w:p w14:paraId="139BE273" w14:textId="0C3B94FE" w:rsidR="000D320A" w:rsidRPr="000D320A" w:rsidRDefault="000D320A" w:rsidP="000D320A">
            <w:pPr>
              <w:pStyle w:val="HTMLPreformatted"/>
              <w:jc w:val="center"/>
              <w:rPr>
                <w:rFonts w:ascii="Book Antiqua" w:hAnsi="Book Antiqua" w:cstheme="majorBidi"/>
              </w:rPr>
            </w:pPr>
            <w:r w:rsidRPr="000D320A">
              <w:rPr>
                <w:rFonts w:ascii="Book Antiqua" w:hAnsi="Book Antiqua"/>
              </w:rPr>
              <w:t>1.5 ≤ Composite Value &lt; 2.5 Good 2</w:t>
            </w:r>
          </w:p>
        </w:tc>
      </w:tr>
      <w:tr w:rsidR="000D320A" w:rsidRPr="000D320A" w14:paraId="1EF0CA3F"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01D3DB97" w14:textId="452923A1" w:rsidR="000D320A" w:rsidRPr="000D320A" w:rsidRDefault="000D320A" w:rsidP="000D320A">
            <w:pPr>
              <w:pStyle w:val="HTMLPreformatted"/>
              <w:jc w:val="center"/>
              <w:rPr>
                <w:rFonts w:ascii="Book Antiqua" w:hAnsi="Book Antiqua" w:cstheme="majorBidi"/>
              </w:rPr>
            </w:pPr>
            <w:r w:rsidRPr="000D320A">
              <w:rPr>
                <w:rFonts w:ascii="Book Antiqua" w:hAnsi="Book Antiqua"/>
              </w:rPr>
              <w:t>2.5 ≤ Composite Value &lt; 3.5 Enough 3</w:t>
            </w:r>
          </w:p>
        </w:tc>
        <w:tc>
          <w:tcPr>
            <w:tcW w:w="2718" w:type="dxa"/>
            <w:tcBorders>
              <w:top w:val="single" w:sz="4" w:space="0" w:color="auto"/>
              <w:left w:val="single" w:sz="4" w:space="0" w:color="auto"/>
              <w:bottom w:val="single" w:sz="4" w:space="0" w:color="auto"/>
              <w:right w:val="single" w:sz="4" w:space="0" w:color="auto"/>
            </w:tcBorders>
            <w:hideMark/>
          </w:tcPr>
          <w:p w14:paraId="379BCF07" w14:textId="5D99350B" w:rsidR="000D320A" w:rsidRPr="000D320A" w:rsidRDefault="000D320A" w:rsidP="000D320A">
            <w:pPr>
              <w:pStyle w:val="HTMLPreformatted"/>
              <w:jc w:val="center"/>
              <w:rPr>
                <w:rFonts w:ascii="Book Antiqua" w:hAnsi="Book Antiqua" w:cstheme="majorBidi"/>
              </w:rPr>
            </w:pPr>
            <w:r w:rsidRPr="000D320A">
              <w:rPr>
                <w:rFonts w:ascii="Book Antiqua" w:hAnsi="Book Antiqua"/>
              </w:rPr>
              <w:t>2.5 ≤ Composite Value &lt; 3.5 Enough 3</w:t>
            </w:r>
          </w:p>
        </w:tc>
        <w:tc>
          <w:tcPr>
            <w:tcW w:w="2718" w:type="dxa"/>
            <w:tcBorders>
              <w:top w:val="single" w:sz="4" w:space="0" w:color="auto"/>
              <w:left w:val="single" w:sz="4" w:space="0" w:color="auto"/>
              <w:bottom w:val="single" w:sz="4" w:space="0" w:color="auto"/>
              <w:right w:val="single" w:sz="4" w:space="0" w:color="auto"/>
            </w:tcBorders>
            <w:hideMark/>
          </w:tcPr>
          <w:p w14:paraId="6F620899" w14:textId="0897A26D" w:rsidR="000D320A" w:rsidRPr="000D320A" w:rsidRDefault="000D320A" w:rsidP="000D320A">
            <w:pPr>
              <w:pStyle w:val="HTMLPreformatted"/>
              <w:jc w:val="center"/>
              <w:rPr>
                <w:rFonts w:ascii="Book Antiqua" w:hAnsi="Book Antiqua" w:cstheme="majorBidi"/>
              </w:rPr>
            </w:pPr>
            <w:r w:rsidRPr="000D320A">
              <w:rPr>
                <w:rFonts w:ascii="Book Antiqua" w:hAnsi="Book Antiqua"/>
              </w:rPr>
              <w:t>2.5 ≤ Composite Value &lt; 3.5 Enough 3</w:t>
            </w:r>
          </w:p>
        </w:tc>
      </w:tr>
      <w:tr w:rsidR="000D320A" w:rsidRPr="000D320A" w14:paraId="4521782C"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168BA5AF" w14:textId="3E600E55" w:rsidR="000D320A" w:rsidRPr="000D320A" w:rsidRDefault="000D320A" w:rsidP="000D320A">
            <w:pPr>
              <w:pStyle w:val="HTMLPreformatted"/>
              <w:jc w:val="center"/>
              <w:rPr>
                <w:rFonts w:ascii="Book Antiqua" w:hAnsi="Book Antiqua" w:cstheme="majorBidi"/>
              </w:rPr>
            </w:pPr>
            <w:r w:rsidRPr="000D320A">
              <w:rPr>
                <w:rFonts w:ascii="Book Antiqua" w:hAnsi="Book Antiqua"/>
              </w:rPr>
              <w:t>3.5 ≤ Composite Value &lt; 4.5 Not Good 4</w:t>
            </w:r>
          </w:p>
        </w:tc>
        <w:tc>
          <w:tcPr>
            <w:tcW w:w="2718" w:type="dxa"/>
            <w:tcBorders>
              <w:top w:val="single" w:sz="4" w:space="0" w:color="auto"/>
              <w:left w:val="single" w:sz="4" w:space="0" w:color="auto"/>
              <w:bottom w:val="single" w:sz="4" w:space="0" w:color="auto"/>
              <w:right w:val="single" w:sz="4" w:space="0" w:color="auto"/>
            </w:tcBorders>
            <w:hideMark/>
          </w:tcPr>
          <w:p w14:paraId="065FF967" w14:textId="3CFE2929" w:rsidR="000D320A" w:rsidRPr="000D320A" w:rsidRDefault="000D320A" w:rsidP="000D320A">
            <w:pPr>
              <w:pStyle w:val="HTMLPreformatted"/>
              <w:jc w:val="center"/>
              <w:rPr>
                <w:rFonts w:ascii="Book Antiqua" w:hAnsi="Book Antiqua" w:cstheme="majorBidi"/>
              </w:rPr>
            </w:pPr>
            <w:r w:rsidRPr="000D320A">
              <w:rPr>
                <w:rFonts w:ascii="Book Antiqua" w:hAnsi="Book Antiqua"/>
              </w:rPr>
              <w:t>3.5 ≤ Composite Value &lt; 4.5 Not Good 4</w:t>
            </w:r>
          </w:p>
        </w:tc>
        <w:tc>
          <w:tcPr>
            <w:tcW w:w="2718" w:type="dxa"/>
            <w:tcBorders>
              <w:top w:val="single" w:sz="4" w:space="0" w:color="auto"/>
              <w:left w:val="single" w:sz="4" w:space="0" w:color="auto"/>
              <w:bottom w:val="single" w:sz="4" w:space="0" w:color="auto"/>
              <w:right w:val="single" w:sz="4" w:space="0" w:color="auto"/>
            </w:tcBorders>
            <w:hideMark/>
          </w:tcPr>
          <w:p w14:paraId="2AEF9B31" w14:textId="5388E259" w:rsidR="000D320A" w:rsidRPr="000D320A" w:rsidRDefault="000D320A" w:rsidP="000D320A">
            <w:pPr>
              <w:pStyle w:val="HTMLPreformatted"/>
              <w:jc w:val="center"/>
              <w:rPr>
                <w:rFonts w:ascii="Book Antiqua" w:hAnsi="Book Antiqua" w:cstheme="majorBidi"/>
              </w:rPr>
            </w:pPr>
            <w:r w:rsidRPr="000D320A">
              <w:rPr>
                <w:rFonts w:ascii="Book Antiqua" w:hAnsi="Book Antiqua"/>
              </w:rPr>
              <w:t>3.5 ≤ Composite Value &lt; 4.5 Not Good 4</w:t>
            </w:r>
          </w:p>
        </w:tc>
      </w:tr>
      <w:tr w:rsidR="000D320A" w:rsidRPr="000D320A" w14:paraId="64F13FE4" w14:textId="77777777" w:rsidTr="002E093C">
        <w:tc>
          <w:tcPr>
            <w:tcW w:w="2943" w:type="dxa"/>
            <w:tcBorders>
              <w:top w:val="single" w:sz="4" w:space="0" w:color="auto"/>
              <w:left w:val="single" w:sz="4" w:space="0" w:color="auto"/>
              <w:bottom w:val="single" w:sz="4" w:space="0" w:color="auto"/>
              <w:right w:val="single" w:sz="4" w:space="0" w:color="auto"/>
            </w:tcBorders>
            <w:hideMark/>
          </w:tcPr>
          <w:p w14:paraId="300C13DD" w14:textId="172AECFD" w:rsidR="000D320A" w:rsidRPr="000D320A" w:rsidRDefault="000D320A" w:rsidP="000D320A">
            <w:pPr>
              <w:pStyle w:val="HTMLPreformatted"/>
              <w:jc w:val="center"/>
              <w:rPr>
                <w:rFonts w:ascii="Book Antiqua" w:hAnsi="Book Antiqua" w:cstheme="majorBidi"/>
              </w:rPr>
            </w:pPr>
            <w:r w:rsidRPr="000D320A">
              <w:rPr>
                <w:rFonts w:ascii="Book Antiqua" w:hAnsi="Book Antiqua"/>
              </w:rPr>
              <w:t>4.5 ≤ Composite Value &lt; 5.0 Not Good 5</w:t>
            </w:r>
          </w:p>
        </w:tc>
        <w:tc>
          <w:tcPr>
            <w:tcW w:w="2718" w:type="dxa"/>
            <w:tcBorders>
              <w:top w:val="single" w:sz="4" w:space="0" w:color="auto"/>
              <w:left w:val="single" w:sz="4" w:space="0" w:color="auto"/>
              <w:bottom w:val="single" w:sz="4" w:space="0" w:color="auto"/>
              <w:right w:val="single" w:sz="4" w:space="0" w:color="auto"/>
            </w:tcBorders>
            <w:hideMark/>
          </w:tcPr>
          <w:p w14:paraId="5A62E3FE" w14:textId="62A1C8F1" w:rsidR="000D320A" w:rsidRPr="000D320A" w:rsidRDefault="000D320A" w:rsidP="000D320A">
            <w:pPr>
              <w:pStyle w:val="HTMLPreformatted"/>
              <w:jc w:val="center"/>
              <w:rPr>
                <w:rFonts w:ascii="Book Antiqua" w:hAnsi="Book Antiqua" w:cstheme="majorBidi"/>
              </w:rPr>
            </w:pPr>
            <w:r w:rsidRPr="000D320A">
              <w:rPr>
                <w:rFonts w:ascii="Book Antiqua" w:hAnsi="Book Antiqua"/>
              </w:rPr>
              <w:t>4.5 ≤ Composite Value &lt; 5.0 Not Good 5</w:t>
            </w:r>
          </w:p>
        </w:tc>
        <w:tc>
          <w:tcPr>
            <w:tcW w:w="2718" w:type="dxa"/>
            <w:tcBorders>
              <w:top w:val="single" w:sz="4" w:space="0" w:color="auto"/>
              <w:left w:val="single" w:sz="4" w:space="0" w:color="auto"/>
              <w:bottom w:val="single" w:sz="4" w:space="0" w:color="auto"/>
              <w:right w:val="single" w:sz="4" w:space="0" w:color="auto"/>
            </w:tcBorders>
            <w:hideMark/>
          </w:tcPr>
          <w:p w14:paraId="1ED177E5" w14:textId="1DADA1C2" w:rsidR="000D320A" w:rsidRPr="000D320A" w:rsidRDefault="000D320A" w:rsidP="000D320A">
            <w:pPr>
              <w:pStyle w:val="HTMLPreformatted"/>
              <w:jc w:val="center"/>
              <w:rPr>
                <w:rFonts w:ascii="Book Antiqua" w:hAnsi="Book Antiqua" w:cstheme="majorBidi"/>
              </w:rPr>
            </w:pPr>
            <w:r w:rsidRPr="000D320A">
              <w:rPr>
                <w:rFonts w:ascii="Book Antiqua" w:hAnsi="Book Antiqua"/>
              </w:rPr>
              <w:t>4.5 ≤ Composite Value &lt; 5.0 Not Good 5</w:t>
            </w:r>
          </w:p>
        </w:tc>
      </w:tr>
    </w:tbl>
    <w:p w14:paraId="5905A028" w14:textId="128F3BA2" w:rsidR="00213EA2" w:rsidRPr="00E53AEF" w:rsidRDefault="00213EA2" w:rsidP="00177ED7">
      <w:pPr>
        <w:pStyle w:val="IEEEParagraph"/>
        <w:ind w:firstLine="720"/>
        <w:rPr>
          <w:rFonts w:ascii="Book Antiqua" w:hAnsi="Book Antiqua"/>
          <w:lang w:val="en-US"/>
        </w:rPr>
      </w:pPr>
    </w:p>
    <w:p w14:paraId="61956575" w14:textId="116F80FE" w:rsidR="00952DCE" w:rsidRDefault="000D320A" w:rsidP="00952DCE">
      <w:pPr>
        <w:pStyle w:val="IEEEParagraph"/>
        <w:ind w:firstLine="720"/>
        <w:rPr>
          <w:rFonts w:ascii="Book Antiqua" w:hAnsi="Book Antiqua"/>
          <w:lang w:val="id-ID"/>
        </w:rPr>
      </w:pPr>
      <w:r w:rsidRPr="000D320A">
        <w:rPr>
          <w:rFonts w:ascii="Book Antiqua" w:hAnsi="Book Antiqua"/>
        </w:rPr>
        <w:lastRenderedPageBreak/>
        <w:t xml:space="preserve">To measure profitability, we use the Return on Assets (ROA) indicator. ROA reflects the efficient use of available assets in creating profit, which is calculated from the net profit before tax of each bank with an average total asset. In line with this </w:t>
      </w:r>
      <w:r w:rsidR="00952DCE" w:rsidRPr="00952DCE">
        <w:rPr>
          <w:rFonts w:ascii="Book Antiqua" w:hAnsi="Book Antiqua"/>
          <w:lang w:val="id-ID"/>
        </w:rPr>
        <w:fldChar w:fldCharType="begin" w:fldLock="1"/>
      </w:r>
      <w:r w:rsidR="00154795">
        <w:rPr>
          <w:rFonts w:ascii="Book Antiqua" w:hAnsi="Book Antiqua"/>
          <w:lang w:val="id-ID"/>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2017)","plainTextFormattedCitation":"(Nawaz &amp; Haniffa, 2017)","previouslyFormattedCitation":"(Nawaz &amp; Haniffa, 2017)"},"properties":{"noteIndex":0},"schema":"https://github.com/citation-style-language/schema/raw/master/csl-citation.json"}</w:instrText>
      </w:r>
      <w:r w:rsidR="00952DCE" w:rsidRPr="00952DCE">
        <w:rPr>
          <w:rFonts w:ascii="Book Antiqua" w:hAnsi="Book Antiqua"/>
          <w:lang w:val="id-ID"/>
        </w:rPr>
        <w:fldChar w:fldCharType="separate"/>
      </w:r>
      <w:r w:rsidR="00952DCE" w:rsidRPr="00952DCE">
        <w:rPr>
          <w:rFonts w:ascii="Book Antiqua" w:hAnsi="Book Antiqua"/>
          <w:noProof/>
          <w:lang w:val="id-ID"/>
        </w:rPr>
        <w:t>(Nawaz &amp; Haniffa, 2017)</w:t>
      </w:r>
      <w:r w:rsidR="00952DCE" w:rsidRPr="00952DCE">
        <w:rPr>
          <w:rFonts w:ascii="Book Antiqua" w:hAnsi="Book Antiqua"/>
        </w:rPr>
        <w:fldChar w:fldCharType="end"/>
      </w:r>
      <w:r w:rsidR="00952DCE" w:rsidRPr="00952DCE">
        <w:rPr>
          <w:rFonts w:ascii="Book Antiqua" w:hAnsi="Book Antiqua"/>
          <w:lang w:val="id-ID"/>
        </w:rPr>
        <w:t xml:space="preserve"> </w:t>
      </w:r>
      <w:r w:rsidRPr="000D320A">
        <w:rPr>
          <w:rFonts w:ascii="Book Antiqua" w:hAnsi="Book Antiqua"/>
          <w:lang w:val="id-ID"/>
        </w:rPr>
        <w:t xml:space="preserve">states that ROA provides an idea of </w:t>
      </w:r>
      <w:r w:rsidRPr="000D320A">
        <w:rPr>
          <w:lang w:val="id-ID"/>
        </w:rPr>
        <w:t>​​</w:t>
      </w:r>
      <w:r w:rsidRPr="000D320A">
        <w:rPr>
          <w:rFonts w:ascii="Book Antiqua" w:hAnsi="Book Antiqua"/>
          <w:lang w:val="id-ID"/>
        </w:rPr>
        <w:t>management efficiency in using its assets to generate income</w:t>
      </w:r>
      <w:r w:rsidR="00877865">
        <w:rPr>
          <w:rFonts w:ascii="Book Antiqua" w:hAnsi="Book Antiqua"/>
          <w:lang w:val="en-US"/>
        </w:rPr>
        <w:t xml:space="preserve"> </w:t>
      </w:r>
      <w:r w:rsidR="00877865" w:rsidRPr="00877865">
        <w:rPr>
          <w:rFonts w:ascii="Book Antiqua" w:hAnsi="Book Antiqua"/>
        </w:rPr>
        <w:fldChar w:fldCharType="begin" w:fldLock="1"/>
      </w:r>
      <w:r w:rsidR="00154795">
        <w:rPr>
          <w:rFonts w:ascii="Book Antiqua" w:hAnsi="Book Antiqua"/>
        </w:rPr>
        <w:instrText>ADDIN CSL_CITATION {"citationItems":[{"id":"ITEM-1","itemData":{"author":[{"dropping-particle":"","family":"Nimtrakoon","given":"Sirinuch","non-dropping-particle":"","parse-names":false,"suffix":""}],"container-title":"Journal of Intellectual Capital","id":"ITEM-1","issue":"3","issued":{"date-parts":[["2015"]]},"page":"587-618","title":"The Relationship Between Intellectual Capital, Firms’ market value and Financial Performance: Empirical evidence from the ASEAN","type":"article-journal","volume":"16"},"uris":["http://www.mendeley.com/documents/?uuid=b7460441-7ed1-42ce-9092-864d9aa7f764","http://www.mendeley.com/documents/?uuid=333a76a3-df1b-41f4-9a16-4c2bdf3e17f0"]}],"mendeley":{"formattedCitation":"(Nimtrakoon, 2015)","plainTextFormattedCitation":"(Nimtrakoon, 2015)","previouslyFormattedCitation":"(Nimtrakoon, 2015)"},"properties":{"noteIndex":0},"schema":"https://github.com/citation-style-language/schema/raw/master/csl-citation.json"}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(Nimtrakoon, 2015)</w:t>
      </w:r>
      <w:r w:rsidR="00877865" w:rsidRPr="00877865">
        <w:rPr>
          <w:rFonts w:ascii="Book Antiqua" w:hAnsi="Book Antiqua"/>
          <w:lang w:val="en-US"/>
        </w:rPr>
        <w:fldChar w:fldCharType="end"/>
      </w:r>
      <w:r w:rsidR="00877865" w:rsidRPr="00877865">
        <w:rPr>
          <w:rFonts w:ascii="Book Antiqua" w:hAnsi="Book Antiqua"/>
        </w:rPr>
        <w:t xml:space="preserve">; </w:t>
      </w:r>
      <w:r w:rsidR="00877865" w:rsidRPr="00877865">
        <w:rPr>
          <w:rFonts w:ascii="Book Antiqua" w:hAnsi="Book Antiqua"/>
        </w:rPr>
        <w:fldChar w:fldCharType="begin" w:fldLock="1"/>
      </w:r>
      <w:r w:rsidR="00154795">
        <w:rPr>
          <w:rFonts w:ascii="Book Antiqua" w:hAnsi="Book Antiqua"/>
        </w:rPr>
        <w:instrText>ADDIN CSL_CITATION {"citationItems":[{"id":"ITEM-1","itemData":{"DOI":"10.1108/JIC-07-2015-0068","ISSN":"17587468","abstract":"Purpose – The purpose of this paper is to examine whether intellectual capital (IC) creates value in the Serbian information communication technology (ICT) sector. More specifically, it examines the degree to which IC and its key components affect the financial performance of selected ICT companies compared to effects on physical and financial capital. Design/methodology/approach – The analysis included 13,989 Serbian ICT companies during 2009-2013. Value-added intellectual coefficient (VAIC) was used to measure the level of IC contribution to value creation. Measures of financial performance used in the study were return on equity, return on assets, return on invested capital, profitability, and asset turnover. Findings – Results indicate that, when using firm size and leverage as control variables, only capital-employed efficiency has significant effect on financial performance. Finally, the research confirms that there were no significant differences in financial performance among different ICT subsectors. Research limitations/implications – Main research limitation is related to the disadvantages of VAIC as the measure of IC’s contribution to value creation. Practical implications – Owners and managers of Serbian ICT companies must recognize the importance of managing both the physical capital and the intangible resources embedded in their employees and processes. Originality/value – This is the first paper to examine comprehensively the impact of IC on financial performance in the ICT sector in a transitional economy. This study differs from prior studies in that the authors analyzed every company that operated in Serbian ICT sector.","author":[{"dropping-particle":"","family":"Dženopoljac","given":"Vladimir","non-dropping-particle":"","parse-names":false,"suffix":""},{"dropping-particle":"","family":"Janoševic","given":"Stevo","non-dropping-particle":"","parse-names":false,"suffix":""},{"dropping-particle":"","family":"Bontis","given":"Nick","non-dropping-particle":"","parse-names":false,"suffix":""}],"container-title":"Journal of Intellectual Capital","id":"ITEM-1","issue":"2","issued":{"date-parts":[["2016"]]},"page":"373-396","title":"Intellectual capital and financial performance in the Serbian ICT industry","type":"article-journal","volume":"17"},"uris":["http://www.mendeley.com/documents/?uuid=a80ae825-7896-474e-864a-b10d929776fc","http://www.mendeley.com/documents/?uuid=7d838fda-f105-482e-8b1e-c3029c969d69"]}],"mendeley":{"formattedCitation":"(Dženopoljac et al., 2016)","manualFormatting":"Dženopoljac et al., 2016","plainTextFormattedCitation":"(Dženopoljac et al., 2016)","previouslyFormattedCitation":"(Dženopoljac et al., 2016)"},"properties":{"noteIndex":0},"schema":"https://github.com/citation-style-language/schema/raw/master/csl-citation.json"}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Dženopoljac et al., 2016</w:t>
      </w:r>
      <w:r w:rsidR="00877865" w:rsidRPr="00877865">
        <w:rPr>
          <w:rFonts w:ascii="Book Antiqua" w:hAnsi="Book Antiqua"/>
          <w:lang w:val="en-US"/>
        </w:rPr>
        <w:fldChar w:fldCharType="end"/>
      </w:r>
      <w:r w:rsidR="00877865" w:rsidRPr="00877865">
        <w:rPr>
          <w:rFonts w:ascii="Book Antiqua" w:hAnsi="Book Antiqua"/>
        </w:rPr>
        <w:t xml:space="preserve">; </w:t>
      </w:r>
      <w:r w:rsidR="00877865" w:rsidRPr="00877865">
        <w:rPr>
          <w:rFonts w:ascii="Book Antiqua" w:hAnsi="Book Antiqua"/>
        </w:rPr>
        <w:fldChar w:fldCharType="begin" w:fldLock="1"/>
      </w:r>
      <w:r w:rsidR="00154795">
        <w:rPr>
          <w:rFonts w:ascii="Book Antiqua" w:hAnsi="Book Antiqua"/>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2017)","manualFormatting":"Nawaz &amp; Haniffa, 2017","plainTextFormattedCitation":"(Nawaz &amp; Haniffa, 2017)","previouslyFormattedCitation":"(Nawaz &amp; Haniffa, 2017)"},"properties":{"noteIndex":0},"schema":"https://github.com/citation-style-language/schema/raw/master/csl-citation.json"}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Nawaz &amp; Haniffa, 2017</w:t>
      </w:r>
      <w:r w:rsidR="00877865" w:rsidRPr="00877865">
        <w:rPr>
          <w:rFonts w:ascii="Book Antiqua" w:hAnsi="Book Antiqua"/>
          <w:lang w:val="en-US"/>
        </w:rPr>
        <w:fldChar w:fldCharType="end"/>
      </w:r>
      <w:r w:rsidR="00877865" w:rsidRPr="00877865">
        <w:rPr>
          <w:rFonts w:ascii="Book Antiqua" w:hAnsi="Book Antiqua"/>
        </w:rPr>
        <w:fldChar w:fldCharType="begin" w:fldLock="1"/>
      </w:r>
      <w:r w:rsidR="00154795">
        <w:rPr>
          <w:rFonts w:ascii="Book Antiqua" w:hAnsi="Book Antiqua"/>
        </w:rPr>
        <w:instrText>ADDIN CSL_CITATION {"citationItems":[{"id":"ITEM-1","itemData":{"DOI":"10.1108/EJMBE-07-2017-005","ISSN":"24448451","abstract":"Purpose – The purpose of this paper is to examine if certain board characteristics have an impact on the financial performance of manufacturing firms in India. Design/methodology/approach – The study draws on data from 275 firms listed in NSE during from 2011 to 2015, using a multiple regression model. The present study examines the effect of board characteristics such as board size, CEO duality, independence and board activity devoted to the effectiveness of firms performance regarding market and accounting based financial performance measures. Findings – The finding supports an inverse association between the extent of board characteristics and the firms’ performance indicators. The study also finds a statistically significant negative relationship between board size and Tobins Q, ROA and ROE. The evidence also shows that the board independence and meeting frequency moderate the relationship between return on equity and return on assets by enhancing these measures among corporate governance mechanisms. Research limitations/implications – The present study does not include all possible board characteristics, i.e., large shareholders dominance on the board and promoter’s and institutional shareholding, to support firm’s performance. Further research might include the ownership structure of the board to improve firm’s performance. Originality/value – The study focuses on the corporate governance issues such as size, duality, independence and activity of the boards and their influence on firm performance. The subject analyzes the possible impact of board characteristics and firm-related features that have received much attention from academic research, which has largely focused on studying the publications of corporate governance in India and Asian context.","author":[{"dropping-particle":"","family":"Palaniappan","given":"G.","non-dropping-particle":"","parse-names":false,"suffix":""}],"container-title":"European Journal of Management and Business Economics","id":"ITEM-1","issue":"1","issued":{"date-parts":[["2017"]]},"page":"67-85","title":"Determinants of corporate financial performance relating to board characteristics of corporate governance in Indian manufacturing industry: An empirical study","type":"article-journal","volume":"26"},"uris":["http://www.mendeley.com/documents/?uuid=267bfcc8-8bd2-4768-a2be-63c75beff8fe","http://www.mendeley.com/documents/?uuid=df28454f-ab5d-44db-8026-71a708623581"]}],"mendeley":{"formattedCitation":"(Palaniappan, 2017)","manualFormatting":";Palaniappan, 2017","plainTextFormattedCitation":"(Palaniappan, 2017)","previouslyFormattedCitation":"(Palaniappan, 2017)"},"properties":{"noteIndex":0},"schema":"https://github.com/citation-style-language/schema/raw/master/csl-citation.json"}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;Palaniappan, 2017</w:t>
      </w:r>
      <w:r w:rsidR="00877865" w:rsidRPr="00877865">
        <w:rPr>
          <w:rFonts w:ascii="Book Antiqua" w:hAnsi="Book Antiqua"/>
          <w:lang w:val="en-US"/>
        </w:rPr>
        <w:fldChar w:fldCharType="end"/>
      </w:r>
      <w:r w:rsidR="00877865" w:rsidRPr="00877865">
        <w:rPr>
          <w:rFonts w:ascii="Book Antiqua" w:hAnsi="Book Antiqua"/>
        </w:rPr>
        <w:t>;</w:t>
      </w:r>
      <w:proofErr w:type="spellStart"/>
      <w:r w:rsidR="00877865" w:rsidRPr="00877865">
        <w:rPr>
          <w:rFonts w:ascii="Book Antiqua" w:hAnsi="Book Antiqua"/>
        </w:rPr>
        <w:fldChar w:fldCharType="begin" w:fldLock="1"/>
      </w:r>
      <w:r w:rsidR="00154795">
        <w:rPr>
          <w:rFonts w:ascii="Book Antiqua" w:hAnsi="Book Antiqua"/>
        </w:rPr>
        <w:instrText>ADDIN CSL_CITATION {"citationItems":[{"id":"ITEM-1","itemData":{"author":[{"dropping-particle":"","family":"Ofoeda","given":"Isaac","non-dropping-particle":"","parse-names":false,"suffix":""}],"id":"ITEM-1","issued":{"date-parts":[["2016"]]},"title":"and non-bank financial institutions profitability Corporate Governance International Journal of Law and Management","type":"article-journal"},"uris":["http://www.mendeley.com/documents/?uuid=4511e5ba-1121-4803-906a-b951a01179cc","http://www.mendeley.com/documents/?uuid=00818e7e-b8da-476f-8195-8a940bdc7c6d"]}],"mendeley":{"formattedCitation":"(Ofoeda, 2016)","manualFormatting":"Ofoeda, 2016","plainTextFormattedCitation":"(Ofoeda, 2016)","previouslyFormattedCitation":"(Ofoeda, 2016)"},"properties":{"noteIndex":0},"schema":"https://github.com/citation-style-language/schema/raw/master/csl-citation.json"}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Ofoeda</w:t>
      </w:r>
      <w:proofErr w:type="spellEnd"/>
      <w:r w:rsidR="00877865" w:rsidRPr="00877865">
        <w:rPr>
          <w:rFonts w:ascii="Book Antiqua" w:hAnsi="Book Antiqua"/>
          <w:noProof/>
        </w:rPr>
        <w:t>, 2016</w:t>
      </w:r>
      <w:r w:rsidR="00877865" w:rsidRPr="00877865">
        <w:rPr>
          <w:rFonts w:ascii="Book Antiqua" w:hAnsi="Book Antiqua"/>
          <w:lang w:val="en-US"/>
        </w:rPr>
        <w:fldChar w:fldCharType="end"/>
      </w:r>
      <w:r w:rsidR="00877865" w:rsidRPr="00877865">
        <w:rPr>
          <w:rFonts w:ascii="Book Antiqua" w:hAnsi="Book Antiqua"/>
        </w:rPr>
        <w:t xml:space="preserve">; </w:t>
      </w:r>
      <w:r w:rsidR="00877865" w:rsidRPr="00877865">
        <w:rPr>
          <w:rFonts w:ascii="Book Antiqua" w:hAnsi="Book Antiqua"/>
        </w:rPr>
        <w:fldChar w:fldCharType="begin" w:fldLock="1"/>
      </w:r>
      <w:r w:rsidR="00154795">
        <w:rPr>
          <w:rFonts w:ascii="Book Antiqua" w:hAnsi="Book Antiqua"/>
        </w:rPr>
        <w:instrText>ADDIN CSL_CITATION {"citationItems":[{"id":"ITEM-1","itemData":{"DOI":"10.1108/JAOC-11-2017-0109","ISBN":"1120170109","ISSN":"18325912","abstract":"Purpose: The purpose of this paper is to investigate the influence of intellectual capital (IC) on financial performance and, in turn, to provide insights into its impact on emerging economies. Design/methodology/approach: Data were collected from 34 textile firms in Bangladesh between 2013 and 2017. The IC efficiency, through value-added intellectual coefficient (VAIC) model, and its impact on financial performance, through return on assets (ROA), return on equity and asset turnover (ATO), was examined using descriptive statistics and multiple regression techniques. The analysis is based on secondary data obtained from annual reports. Findings: The results indicate the impact of VAIC components on financial performance and also demonstrate diverse relationships with changes in financial indicators. The VAIC components significantly influenced productivity outcomes, with tangible capital playing a major role in both productivity and profitability. Moreover, it was found that structural capital had a considerable effect on ATO and ROA with human capital indicating an insignificant impact on all financial performance indicators. Research limitations/implications: The research outcome is specific to the textile industry in emerging economies. The study may guide future research on IC performance in textile firms and cross-industry comparisons. Practical implications: Managers, firm owners and regulators need to align IC to performance management to sustain the competitive advantage in globalised competitive settings. Originality/value: The study provides an empirical evidence and extends knowledge of IC utilisation for enhancing the financial performance of the textile firms in emerging economies.","author":[{"dropping-particle":"","family":"Chowdhury","given":"Leena Afroz Mostofa","non-dropping-particle":"","parse-names":false,"suffix":""},{"dropping-particle":"","family":"Rana","given":"Tarek","non-dropping-particle":"","parse-names":false,"suffix":""},{"dropping-particle":"","family":"Akter","given":"Mahmuda","non-dropping-particle":"","parse-names":false,"suffix":""},{"dropping-particle":"","family":"Hoque","given":"Mahfuzul","non-dropping-particle":"","parse-names":false,"suffix":""}],"container-title":"Journal of Accounting and Organizational Change","id":"ITEM-1","issue":"4","issued":{"date-parts":[["2018"]]},"page":"429-454","title":"Impact of intellectual capital on financial performance: evidence from the Bangladeshi textile sector","type":"article-journal","volume":"14"},"uris":["http://www.mendeley.com/documents/?uuid=16d2a555-b3f8-4ced-bb7c-d99a64a71fe0","http://www.mendeley.com/documents/?uuid=c5ad931f-32e8-4846-bae5-28d1900ea98b"]}],"mendeley":{"formattedCitation":"(Chowdhury et al., 2018)","manualFormatting":"Chowdhury et al., 2018)","plainTextFormattedCitation":"(Chowdhury et al., 2018)","previouslyFormattedCitation":"(Chowdhury et al., 2018)"},"properties":{"noteIndex":0},"schema":"https://github.com/citation-style-language/schema/raw/master/csl-citation.json"}</w:instrText>
      </w:r>
      <w:r w:rsidR="00877865" w:rsidRPr="00877865">
        <w:rPr>
          <w:rFonts w:ascii="Book Antiqua" w:hAnsi="Book Antiqua"/>
        </w:rPr>
        <w:fldChar w:fldCharType="separate"/>
      </w:r>
      <w:r w:rsidR="00877865" w:rsidRPr="00877865">
        <w:rPr>
          <w:rFonts w:ascii="Book Antiqua" w:hAnsi="Book Antiqua"/>
          <w:noProof/>
        </w:rPr>
        <w:t>Chowdhury et al., 2018)</w:t>
      </w:r>
      <w:r w:rsidR="00877865" w:rsidRPr="00877865">
        <w:rPr>
          <w:rFonts w:ascii="Book Antiqua" w:hAnsi="Book Antiqua"/>
          <w:lang w:val="en-US"/>
        </w:rPr>
        <w:fldChar w:fldCharType="end"/>
      </w:r>
      <w:r w:rsidR="00952DCE" w:rsidRPr="00952DCE">
        <w:rPr>
          <w:rFonts w:ascii="Book Antiqua" w:hAnsi="Book Antiqua"/>
          <w:lang w:val="id-ID"/>
        </w:rPr>
        <w:t xml:space="preserve">. </w:t>
      </w:r>
      <w:r w:rsidRPr="000D320A">
        <w:rPr>
          <w:rFonts w:ascii="Book Antiqua" w:hAnsi="Book Antiqua"/>
          <w:lang w:val="id-ID"/>
        </w:rPr>
        <w:t>So that the ROA ratio can be calculated by the following formula:</w:t>
      </w:r>
    </w:p>
    <w:p w14:paraId="71E67463" w14:textId="77777777" w:rsidR="000D320A" w:rsidRPr="00952DCE" w:rsidRDefault="000D320A" w:rsidP="00952DCE">
      <w:pPr>
        <w:pStyle w:val="IEEEParagraph"/>
        <w:ind w:firstLine="720"/>
        <w:rPr>
          <w:rFonts w:ascii="Book Antiqua" w:hAnsi="Book Antiqua"/>
          <w:b/>
          <w:bCs/>
          <w:lang w:val="en-US"/>
        </w:rPr>
      </w:pPr>
    </w:p>
    <w:p w14:paraId="35AD9B14" w14:textId="02590F25" w:rsidR="003278F8" w:rsidRDefault="003278F8" w:rsidP="003278F8">
      <w:pPr>
        <w:jc w:val="center"/>
        <w:rPr>
          <w:rFonts w:asciiTheme="majorBidi" w:hAnsiTheme="majorBidi" w:cstheme="majorBidi"/>
          <w:lang w:val="id-ID" w:eastAsia="en-US"/>
        </w:rPr>
      </w:pPr>
      <m:oMath>
        <m:r>
          <w:rPr>
            <w:rFonts w:ascii="Cambria Math" w:hAnsiTheme="majorBidi" w:cstheme="majorBidi"/>
            <w:lang w:val="id-ID" w:eastAsia="en-US"/>
          </w:rPr>
          <m:t xml:space="preserve">ROA= </m:t>
        </m:r>
        <m:f>
          <m:fPr>
            <m:ctrlPr>
              <w:rPr>
                <w:rFonts w:ascii="Cambria Math" w:hAnsiTheme="majorBidi" w:cstheme="majorBidi"/>
                <w:i/>
                <w:lang w:val="id-ID" w:eastAsia="en-US"/>
              </w:rPr>
            </m:ctrlPr>
          </m:fPr>
          <m:num>
            <m:r>
              <w:rPr>
                <w:rFonts w:ascii="Cambria Math" w:hAnsi="Cambria Math" w:cstheme="majorBidi"/>
              </w:rPr>
              <m:t>Profit before tax</m:t>
            </m:r>
          </m:num>
          <m:den>
            <m:r>
              <w:rPr>
                <w:rFonts w:ascii="Cambria Math" w:hAnsi="Cambria Math" w:cstheme="majorBidi"/>
              </w:rPr>
              <m:t>Total Assets</m:t>
            </m:r>
          </m:den>
        </m:f>
        <m:r>
          <w:rPr>
            <w:rFonts w:ascii="Cambria Math" w:eastAsiaTheme="minorEastAsia" w:hAnsi="Cambria Math" w:cstheme="majorBidi"/>
            <w:lang w:val="id-ID" w:eastAsia="en-US"/>
          </w:rPr>
          <m:t xml:space="preserve"> </m:t>
        </m:r>
        <m:r>
          <m:rPr>
            <m:sty m:val="p"/>
          </m:rPr>
          <w:rPr>
            <w:rFonts w:ascii="Cambria Math" w:eastAsiaTheme="minorEastAsia" w:hAnsi="Cambria Math" w:cstheme="majorBidi"/>
          </w:rPr>
          <m:t>x 100 %</m:t>
        </m:r>
      </m:oMath>
      <w:r>
        <w:rPr>
          <w:rFonts w:asciiTheme="majorBidi" w:eastAsiaTheme="minorEastAsia" w:hAnsiTheme="majorBidi" w:cstheme="majorBidi"/>
        </w:rPr>
        <w:t xml:space="preserve">  </w:t>
      </w:r>
    </w:p>
    <w:p w14:paraId="7829E3A8" w14:textId="3B622BD8" w:rsidR="00037CCF" w:rsidRDefault="00037CCF" w:rsidP="00177ED7">
      <w:pPr>
        <w:pStyle w:val="IEEEParagraph"/>
        <w:ind w:firstLine="720"/>
        <w:rPr>
          <w:rFonts w:ascii="Book Antiqua" w:hAnsi="Book Antiqua"/>
        </w:rPr>
      </w:pPr>
    </w:p>
    <w:p w14:paraId="01CC0087" w14:textId="51CCBA3F" w:rsidR="00D53E89" w:rsidRDefault="000D320A" w:rsidP="00D53E89">
      <w:pPr>
        <w:pStyle w:val="IEEEParagraph"/>
        <w:ind w:firstLine="720"/>
        <w:jc w:val="center"/>
        <w:rPr>
          <w:rFonts w:ascii="Book Antiqua" w:hAnsi="Book Antiqua"/>
        </w:rPr>
      </w:pPr>
      <w:r w:rsidRPr="000D320A">
        <w:rPr>
          <w:rFonts w:ascii="Book Antiqua" w:hAnsi="Book Antiqua"/>
          <w:b/>
          <w:bCs/>
        </w:rPr>
        <w:t>Table 3. Operational Definition</w:t>
      </w:r>
    </w:p>
    <w:tbl>
      <w:tblPr>
        <w:tblStyle w:val="TableGrid"/>
        <w:tblW w:w="0" w:type="auto"/>
        <w:tblLook w:val="04A0" w:firstRow="1" w:lastRow="0" w:firstColumn="1" w:lastColumn="0" w:noHBand="0" w:noVBand="1"/>
      </w:tblPr>
      <w:tblGrid>
        <w:gridCol w:w="542"/>
        <w:gridCol w:w="1701"/>
        <w:gridCol w:w="3879"/>
        <w:gridCol w:w="2039"/>
      </w:tblGrid>
      <w:tr w:rsidR="00D53E89" w:rsidRPr="00D53E89" w14:paraId="40EBE482" w14:textId="77777777" w:rsidTr="00D53E89">
        <w:tc>
          <w:tcPr>
            <w:tcW w:w="534" w:type="dxa"/>
            <w:tcBorders>
              <w:top w:val="single" w:sz="4" w:space="0" w:color="auto"/>
              <w:left w:val="single" w:sz="4" w:space="0" w:color="auto"/>
              <w:bottom w:val="single" w:sz="4" w:space="0" w:color="auto"/>
              <w:right w:val="single" w:sz="4" w:space="0" w:color="auto"/>
            </w:tcBorders>
            <w:hideMark/>
          </w:tcPr>
          <w:p w14:paraId="22CE0DC5" w14:textId="77777777" w:rsidR="00D53E89" w:rsidRPr="00D53E89" w:rsidRDefault="00D53E89">
            <w:pPr>
              <w:jc w:val="center"/>
              <w:rPr>
                <w:rFonts w:ascii="Book Antiqua" w:hAnsi="Book Antiqua" w:cstheme="majorBidi"/>
                <w:sz w:val="20"/>
                <w:szCs w:val="20"/>
                <w:lang w:val="en-US" w:eastAsia="en-US"/>
              </w:rPr>
            </w:pPr>
            <w:r w:rsidRPr="00D53E89">
              <w:rPr>
                <w:rFonts w:ascii="Book Antiqua" w:hAnsi="Book Antiqua" w:cstheme="majorBidi"/>
                <w:sz w:val="20"/>
                <w:szCs w:val="20"/>
              </w:rPr>
              <w:t>No.</w:t>
            </w:r>
          </w:p>
        </w:tc>
        <w:tc>
          <w:tcPr>
            <w:tcW w:w="1701" w:type="dxa"/>
            <w:tcBorders>
              <w:top w:val="single" w:sz="4" w:space="0" w:color="auto"/>
              <w:left w:val="single" w:sz="4" w:space="0" w:color="auto"/>
              <w:bottom w:val="single" w:sz="4" w:space="0" w:color="auto"/>
              <w:right w:val="single" w:sz="4" w:space="0" w:color="auto"/>
            </w:tcBorders>
            <w:hideMark/>
          </w:tcPr>
          <w:p w14:paraId="55F2F484" w14:textId="77777777" w:rsidR="00D53E89" w:rsidRPr="00D53E89" w:rsidRDefault="00D53E89">
            <w:pPr>
              <w:jc w:val="center"/>
              <w:rPr>
                <w:rFonts w:ascii="Book Antiqua" w:hAnsi="Book Antiqua" w:cstheme="majorBidi"/>
                <w:sz w:val="20"/>
                <w:szCs w:val="20"/>
              </w:rPr>
            </w:pPr>
            <w:proofErr w:type="spellStart"/>
            <w:r w:rsidRPr="00D53E89">
              <w:rPr>
                <w:rFonts w:ascii="Book Antiqua" w:hAnsi="Book Antiqua" w:cstheme="majorBidi"/>
                <w:sz w:val="20"/>
                <w:szCs w:val="20"/>
              </w:rPr>
              <w:t>Variabel</w:t>
            </w:r>
            <w:proofErr w:type="spellEnd"/>
          </w:p>
        </w:tc>
        <w:tc>
          <w:tcPr>
            <w:tcW w:w="3879" w:type="dxa"/>
            <w:tcBorders>
              <w:top w:val="single" w:sz="4" w:space="0" w:color="auto"/>
              <w:left w:val="single" w:sz="4" w:space="0" w:color="auto"/>
              <w:bottom w:val="single" w:sz="4" w:space="0" w:color="auto"/>
              <w:right w:val="single" w:sz="4" w:space="0" w:color="auto"/>
            </w:tcBorders>
            <w:hideMark/>
          </w:tcPr>
          <w:p w14:paraId="649B3D66" w14:textId="77777777" w:rsidR="00D53E89" w:rsidRPr="00D53E89" w:rsidRDefault="00D53E89">
            <w:pPr>
              <w:jc w:val="center"/>
              <w:rPr>
                <w:rFonts w:ascii="Book Antiqua" w:hAnsi="Book Antiqua" w:cstheme="majorBidi"/>
                <w:sz w:val="20"/>
                <w:szCs w:val="20"/>
              </w:rPr>
            </w:pPr>
            <w:proofErr w:type="spellStart"/>
            <w:r w:rsidRPr="00D53E89">
              <w:rPr>
                <w:rFonts w:ascii="Book Antiqua" w:hAnsi="Book Antiqua" w:cstheme="majorBidi"/>
                <w:sz w:val="20"/>
                <w:szCs w:val="20"/>
              </w:rPr>
              <w:t>Pengukuran</w:t>
            </w:r>
            <w:proofErr w:type="spellEnd"/>
          </w:p>
        </w:tc>
        <w:tc>
          <w:tcPr>
            <w:tcW w:w="2039" w:type="dxa"/>
            <w:tcBorders>
              <w:top w:val="single" w:sz="4" w:space="0" w:color="auto"/>
              <w:left w:val="single" w:sz="4" w:space="0" w:color="auto"/>
              <w:bottom w:val="single" w:sz="4" w:space="0" w:color="auto"/>
              <w:right w:val="single" w:sz="4" w:space="0" w:color="auto"/>
            </w:tcBorders>
            <w:hideMark/>
          </w:tcPr>
          <w:p w14:paraId="328F5CE7" w14:textId="77777777" w:rsidR="00D53E89" w:rsidRPr="00D53E89" w:rsidRDefault="00D53E89">
            <w:pPr>
              <w:jc w:val="center"/>
              <w:rPr>
                <w:rFonts w:ascii="Book Antiqua" w:hAnsi="Book Antiqua" w:cstheme="majorBidi"/>
                <w:sz w:val="20"/>
                <w:szCs w:val="20"/>
              </w:rPr>
            </w:pPr>
            <w:proofErr w:type="spellStart"/>
            <w:r w:rsidRPr="00D53E89">
              <w:rPr>
                <w:rFonts w:ascii="Book Antiqua" w:hAnsi="Book Antiqua" w:cstheme="majorBidi"/>
                <w:sz w:val="20"/>
                <w:szCs w:val="20"/>
              </w:rPr>
              <w:t>Sumber</w:t>
            </w:r>
            <w:proofErr w:type="spellEnd"/>
          </w:p>
        </w:tc>
      </w:tr>
      <w:tr w:rsidR="00D53E89" w:rsidRPr="00D53E89" w14:paraId="16E0A46A" w14:textId="77777777" w:rsidTr="00D53E89">
        <w:tc>
          <w:tcPr>
            <w:tcW w:w="534" w:type="dxa"/>
            <w:tcBorders>
              <w:top w:val="single" w:sz="4" w:space="0" w:color="auto"/>
              <w:left w:val="single" w:sz="4" w:space="0" w:color="auto"/>
              <w:bottom w:val="single" w:sz="4" w:space="0" w:color="auto"/>
              <w:right w:val="single" w:sz="4" w:space="0" w:color="auto"/>
            </w:tcBorders>
            <w:hideMark/>
          </w:tcPr>
          <w:p w14:paraId="34AA19DB" w14:textId="77777777" w:rsidR="00D53E89" w:rsidRPr="00D53E89" w:rsidRDefault="00D53E89">
            <w:pPr>
              <w:rPr>
                <w:rFonts w:ascii="Book Antiqua" w:hAnsi="Book Antiqua" w:cstheme="majorBidi"/>
                <w:sz w:val="20"/>
                <w:szCs w:val="20"/>
              </w:rPr>
            </w:pPr>
            <w:r w:rsidRPr="00D53E89">
              <w:rPr>
                <w:rFonts w:ascii="Book Antiqua" w:hAnsi="Book Antiqua" w:cstheme="majorBidi"/>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14:paraId="7CAEBD19" w14:textId="77777777" w:rsidR="00D53E89" w:rsidRPr="00D53E89" w:rsidRDefault="00D53E89">
            <w:pPr>
              <w:rPr>
                <w:rFonts w:ascii="Book Antiqua" w:hAnsi="Book Antiqua" w:cstheme="majorBidi"/>
                <w:sz w:val="20"/>
                <w:szCs w:val="20"/>
              </w:rPr>
            </w:pPr>
            <w:r w:rsidRPr="00D53E89">
              <w:rPr>
                <w:rFonts w:ascii="Book Antiqua" w:hAnsi="Book Antiqua" w:cstheme="majorBidi"/>
                <w:i/>
                <w:iCs/>
                <w:sz w:val="20"/>
                <w:szCs w:val="20"/>
              </w:rPr>
              <w:t xml:space="preserve">Intellectual Capital </w:t>
            </w:r>
            <w:r w:rsidRPr="00D53E89">
              <w:rPr>
                <w:rFonts w:ascii="Book Antiqua" w:hAnsi="Book Antiqua" w:cstheme="majorBidi"/>
                <w:sz w:val="20"/>
                <w:szCs w:val="20"/>
              </w:rPr>
              <w:t>(IC) (X1)</w:t>
            </w:r>
          </w:p>
        </w:tc>
        <w:tc>
          <w:tcPr>
            <w:tcW w:w="3879" w:type="dxa"/>
            <w:tcBorders>
              <w:top w:val="single" w:sz="4" w:space="0" w:color="auto"/>
              <w:left w:val="single" w:sz="4" w:space="0" w:color="auto"/>
              <w:bottom w:val="single" w:sz="4" w:space="0" w:color="auto"/>
              <w:right w:val="single" w:sz="4" w:space="0" w:color="auto"/>
            </w:tcBorders>
            <w:hideMark/>
          </w:tcPr>
          <w:p w14:paraId="5699606A" w14:textId="77777777" w:rsidR="00D53E89" w:rsidRPr="00D53E89" w:rsidRDefault="00D53E89">
            <w:pPr>
              <w:rPr>
                <w:rFonts w:ascii="Book Antiqua" w:hAnsi="Book Antiqua" w:cstheme="majorBidi"/>
                <w:sz w:val="20"/>
                <w:szCs w:val="20"/>
              </w:rPr>
            </w:pPr>
            <w:proofErr w:type="spellStart"/>
            <w:r w:rsidRPr="00D53E89">
              <w:rPr>
                <w:rFonts w:ascii="Book Antiqua" w:hAnsi="Book Antiqua" w:cstheme="majorBidi"/>
                <w:sz w:val="20"/>
                <w:szCs w:val="20"/>
              </w:rPr>
              <w:t>iB</w:t>
            </w:r>
            <w:proofErr w:type="spellEnd"/>
            <w:r w:rsidRPr="00D53E89">
              <w:rPr>
                <w:rFonts w:ascii="Book Antiqua" w:hAnsi="Book Antiqua" w:cstheme="majorBidi"/>
                <w:sz w:val="20"/>
                <w:szCs w:val="20"/>
              </w:rPr>
              <w:t xml:space="preserve">-VAIC = </w:t>
            </w:r>
            <w:proofErr w:type="spellStart"/>
            <w:r w:rsidRPr="00D53E89">
              <w:rPr>
                <w:rFonts w:ascii="Book Antiqua" w:hAnsi="Book Antiqua" w:cstheme="majorBidi"/>
                <w:sz w:val="20"/>
                <w:szCs w:val="20"/>
              </w:rPr>
              <w:t>iB</w:t>
            </w:r>
            <w:proofErr w:type="spellEnd"/>
            <w:r w:rsidRPr="00D53E89">
              <w:rPr>
                <w:rFonts w:ascii="Book Antiqua" w:hAnsi="Book Antiqua" w:cstheme="majorBidi"/>
                <w:sz w:val="20"/>
                <w:szCs w:val="20"/>
              </w:rPr>
              <w:t xml:space="preserve">-VACA + </w:t>
            </w:r>
            <w:proofErr w:type="spellStart"/>
            <w:r w:rsidRPr="00D53E89">
              <w:rPr>
                <w:rFonts w:ascii="Book Antiqua" w:hAnsi="Book Antiqua" w:cstheme="majorBidi"/>
                <w:sz w:val="20"/>
                <w:szCs w:val="20"/>
              </w:rPr>
              <w:t>iB</w:t>
            </w:r>
            <w:proofErr w:type="spellEnd"/>
            <w:r w:rsidRPr="00D53E89">
              <w:rPr>
                <w:rFonts w:ascii="Book Antiqua" w:hAnsi="Book Antiqua" w:cstheme="majorBidi"/>
                <w:sz w:val="20"/>
                <w:szCs w:val="20"/>
              </w:rPr>
              <w:t xml:space="preserve">-VAHU + </w:t>
            </w:r>
            <w:proofErr w:type="spellStart"/>
            <w:r w:rsidRPr="00D53E89">
              <w:rPr>
                <w:rFonts w:ascii="Book Antiqua" w:hAnsi="Book Antiqua" w:cstheme="majorBidi"/>
                <w:sz w:val="20"/>
                <w:szCs w:val="20"/>
              </w:rPr>
              <w:t>iB</w:t>
            </w:r>
            <w:proofErr w:type="spellEnd"/>
            <w:r w:rsidRPr="00D53E89">
              <w:rPr>
                <w:rFonts w:ascii="Book Antiqua" w:hAnsi="Book Antiqua" w:cstheme="majorBidi"/>
                <w:sz w:val="20"/>
                <w:szCs w:val="20"/>
              </w:rPr>
              <w:t>-STVA</w:t>
            </w:r>
          </w:p>
        </w:tc>
        <w:bookmarkStart w:id="10" w:name="_Hlk110841535"/>
        <w:tc>
          <w:tcPr>
            <w:tcW w:w="2039" w:type="dxa"/>
            <w:tcBorders>
              <w:top w:val="single" w:sz="4" w:space="0" w:color="auto"/>
              <w:left w:val="single" w:sz="4" w:space="0" w:color="auto"/>
              <w:bottom w:val="single" w:sz="4" w:space="0" w:color="auto"/>
              <w:right w:val="single" w:sz="4" w:space="0" w:color="auto"/>
            </w:tcBorders>
            <w:hideMark/>
          </w:tcPr>
          <w:p w14:paraId="5514B7EB" w14:textId="165E895A" w:rsidR="00D53E89" w:rsidRPr="00D53E89" w:rsidRDefault="00D53E89">
            <w:pPr>
              <w:rPr>
                <w:rFonts w:ascii="Book Antiqua" w:hAnsi="Book Antiqua" w:cstheme="majorBidi"/>
                <w:sz w:val="20"/>
                <w:szCs w:val="20"/>
              </w:rPr>
            </w:pPr>
            <w:r w:rsidRPr="00D53E89">
              <w:rPr>
                <w:rFonts w:ascii="Book Antiqua" w:hAnsi="Book Antiqua"/>
                <w:sz w:val="20"/>
                <w:szCs w:val="20"/>
              </w:rPr>
              <w:fldChar w:fldCharType="begin" w:fldLock="1"/>
            </w:r>
            <w:r w:rsidR="00154795">
              <w:rPr>
                <w:rFonts w:ascii="Book Antiqua" w:hAnsi="Book Antiqua" w:cstheme="majorBidi"/>
                <w:sz w:val="20"/>
                <w:szCs w:val="20"/>
                <w:lang w:val="en-US"/>
              </w:rPr>
              <w:instrText>ADDIN CSL_CITATION {"citationItems":[{"id":"ITEM-1","itemData":{"DOI":"10.18326/infsl3.v7i1.185-206","ISSN":"1978-7332","abstract":"The aim of this study is to develop a measurement of intellectual capital performance of Indonesian syariah banking by modifying the Pulic’s model that popular with the name of VAIC (value added intellectual coefficient). This study was done by documentation and focus group discussion with some financial accounting experts and public accountants. The result show that the main formula to measure IC performance of syariah banking is not too different with Pulic model, it was: iB-VAIC™ = iB-VACA + IB-VAHU + iB-STVA. The different one is the accounts to develop VA. VA in Pulic model was constructed by total revenue, while in iB-VAIC, VA was constructed from syariah activities.","author":[{"dropping-particle":"","family":"Ulum","given":"Ihyaul","non-dropping-particle":"","parse-names":false,"suffix":""}],"container-title":"Inferensi","id":"ITEM-1","issue":"1","issued":{"date-parts":[["2013"]]},"page":"185","title":"Model Pengukuran Kinerja Intellectual Capital Dengan Ib-Vaic Di Perbankan Syariah","type":"article-journal","volume":"7"},"uris":["http://www.mendeley.com/documents/?uuid=7fa7886f-bac0-46c3-8743-9aa70ef9f0f1","http://www.mendeley.com/documents/?uuid=1d96cbd1-f4b5-4899-b739-3ac4354b8cb6"]}],"mendeley":{"formattedCitation":"(Ulum, 2013)","manualFormatting":"Ulum, 2013","plainTextFormattedCitation":"(Ulum, 2013)","previouslyFormattedCitation":"(Ulum, 2013)"},"properties":{"noteIndex":0},"schema":"https://github.com/citation-style-language/schema/raw/master/csl-citation.json"}</w:instrText>
            </w:r>
            <w:r w:rsidRPr="00D53E89">
              <w:rPr>
                <w:rFonts w:ascii="Book Antiqua" w:hAnsi="Book Antiqua"/>
                <w:sz w:val="20"/>
                <w:szCs w:val="20"/>
              </w:rPr>
              <w:fldChar w:fldCharType="separate"/>
            </w:r>
            <w:r w:rsidRPr="00D53E89">
              <w:rPr>
                <w:rFonts w:ascii="Book Antiqua" w:hAnsi="Book Antiqua" w:cstheme="majorBidi"/>
                <w:noProof/>
                <w:sz w:val="20"/>
                <w:szCs w:val="20"/>
                <w:lang w:val="en-US"/>
              </w:rPr>
              <w:t>Ulum, 2013</w:t>
            </w:r>
            <w:r w:rsidRPr="00D53E89">
              <w:rPr>
                <w:rFonts w:ascii="Book Antiqua" w:hAnsi="Book Antiqua"/>
                <w:sz w:val="20"/>
                <w:szCs w:val="20"/>
              </w:rPr>
              <w:fldChar w:fldCharType="end"/>
            </w:r>
            <w:bookmarkEnd w:id="10"/>
          </w:p>
        </w:tc>
      </w:tr>
      <w:tr w:rsidR="00D53E89" w:rsidRPr="00D53E89" w14:paraId="4DEFD5ED" w14:textId="77777777" w:rsidTr="00D53E89">
        <w:tc>
          <w:tcPr>
            <w:tcW w:w="534" w:type="dxa"/>
            <w:tcBorders>
              <w:top w:val="single" w:sz="4" w:space="0" w:color="auto"/>
              <w:left w:val="single" w:sz="4" w:space="0" w:color="auto"/>
              <w:bottom w:val="single" w:sz="4" w:space="0" w:color="auto"/>
              <w:right w:val="single" w:sz="4" w:space="0" w:color="auto"/>
            </w:tcBorders>
            <w:hideMark/>
          </w:tcPr>
          <w:p w14:paraId="43103B84" w14:textId="77777777" w:rsidR="00D53E89" w:rsidRPr="00D53E89" w:rsidRDefault="00D53E89">
            <w:pPr>
              <w:rPr>
                <w:rFonts w:ascii="Book Antiqua" w:hAnsi="Book Antiqua" w:cstheme="majorBidi"/>
                <w:sz w:val="20"/>
                <w:szCs w:val="20"/>
              </w:rPr>
            </w:pPr>
            <w:r w:rsidRPr="00D53E89">
              <w:rPr>
                <w:rFonts w:ascii="Book Antiqua" w:hAnsi="Book Antiqua" w:cstheme="majorBidi"/>
                <w:sz w:val="20"/>
                <w:szCs w:val="20"/>
              </w:rPr>
              <w:t>2</w:t>
            </w:r>
          </w:p>
        </w:tc>
        <w:tc>
          <w:tcPr>
            <w:tcW w:w="1701" w:type="dxa"/>
            <w:tcBorders>
              <w:top w:val="single" w:sz="4" w:space="0" w:color="auto"/>
              <w:left w:val="single" w:sz="4" w:space="0" w:color="auto"/>
              <w:bottom w:val="single" w:sz="4" w:space="0" w:color="auto"/>
              <w:right w:val="single" w:sz="4" w:space="0" w:color="auto"/>
            </w:tcBorders>
            <w:hideMark/>
          </w:tcPr>
          <w:p w14:paraId="60C81BF4" w14:textId="77777777" w:rsidR="00D53E89" w:rsidRPr="00D53E89" w:rsidRDefault="00D53E89">
            <w:pPr>
              <w:rPr>
                <w:rFonts w:ascii="Book Antiqua" w:hAnsi="Book Antiqua" w:cstheme="majorBidi"/>
                <w:sz w:val="20"/>
                <w:szCs w:val="20"/>
              </w:rPr>
            </w:pPr>
            <w:r w:rsidRPr="00D53E89">
              <w:rPr>
                <w:rFonts w:ascii="Book Antiqua" w:hAnsi="Book Antiqua" w:cstheme="majorBidi"/>
                <w:i/>
                <w:iCs/>
                <w:sz w:val="20"/>
                <w:szCs w:val="20"/>
              </w:rPr>
              <w:t xml:space="preserve">Good Corporate Governance </w:t>
            </w:r>
            <w:r w:rsidRPr="00D53E89">
              <w:rPr>
                <w:rFonts w:ascii="Book Antiqua" w:hAnsi="Book Antiqua" w:cstheme="majorBidi"/>
                <w:sz w:val="20"/>
                <w:szCs w:val="20"/>
              </w:rPr>
              <w:t>(GCG) (X2)</w:t>
            </w:r>
          </w:p>
        </w:tc>
        <w:tc>
          <w:tcPr>
            <w:tcW w:w="3879" w:type="dxa"/>
            <w:tcBorders>
              <w:top w:val="single" w:sz="4" w:space="0" w:color="auto"/>
              <w:left w:val="single" w:sz="4" w:space="0" w:color="auto"/>
              <w:bottom w:val="single" w:sz="4" w:space="0" w:color="auto"/>
              <w:right w:val="single" w:sz="4" w:space="0" w:color="auto"/>
            </w:tcBorders>
            <w:hideMark/>
          </w:tcPr>
          <w:p w14:paraId="77E55A25" w14:textId="693A6283" w:rsidR="00D53E89" w:rsidRPr="00D53E89" w:rsidRDefault="000D320A" w:rsidP="000D320A">
            <w:pPr>
              <w:jc w:val="both"/>
              <w:rPr>
                <w:rFonts w:ascii="Book Antiqua" w:hAnsi="Book Antiqua" w:cstheme="majorBidi"/>
                <w:sz w:val="20"/>
                <w:szCs w:val="20"/>
              </w:rPr>
            </w:pPr>
            <w:r w:rsidRPr="000D320A">
              <w:rPr>
                <w:rFonts w:ascii="Book Antiqua" w:hAnsi="Book Antiqua" w:cstheme="majorBidi"/>
                <w:sz w:val="20"/>
                <w:szCs w:val="20"/>
              </w:rPr>
              <w:t>Measured using the ranking of the implementation of Good Corporate Governance (GCG) obtained from the annual Good Corporate Governance (GCG) report of each Islamic Commercial Bank</w:t>
            </w:r>
          </w:p>
        </w:tc>
        <w:tc>
          <w:tcPr>
            <w:tcW w:w="2039" w:type="dxa"/>
            <w:tcBorders>
              <w:top w:val="single" w:sz="4" w:space="0" w:color="auto"/>
              <w:left w:val="single" w:sz="4" w:space="0" w:color="auto"/>
              <w:bottom w:val="single" w:sz="4" w:space="0" w:color="auto"/>
              <w:right w:val="single" w:sz="4" w:space="0" w:color="auto"/>
            </w:tcBorders>
            <w:hideMark/>
          </w:tcPr>
          <w:p w14:paraId="34C03CF8" w14:textId="008ACD98" w:rsidR="00D53E89" w:rsidRPr="00D53E89" w:rsidRDefault="00004409">
            <w:pPr>
              <w:rPr>
                <w:rFonts w:ascii="Book Antiqua" w:hAnsi="Book Antiqua" w:cstheme="majorBidi"/>
                <w:sz w:val="20"/>
                <w:szCs w:val="20"/>
              </w:rPr>
            </w:pPr>
            <w:r w:rsidRPr="00004409">
              <w:rPr>
                <w:rFonts w:ascii="Book Antiqua" w:hAnsi="Book Antiqua" w:cstheme="majorBidi"/>
                <w:sz w:val="20"/>
                <w:szCs w:val="20"/>
              </w:rPr>
              <w:t>Bank Indonesia Circular No. 12/13/</w:t>
            </w:r>
            <w:proofErr w:type="spellStart"/>
            <w:r w:rsidRPr="00004409">
              <w:rPr>
                <w:rFonts w:ascii="Book Antiqua" w:hAnsi="Book Antiqua" w:cstheme="majorBidi"/>
                <w:sz w:val="20"/>
                <w:szCs w:val="20"/>
              </w:rPr>
              <w:t>DPbs</w:t>
            </w:r>
            <w:proofErr w:type="spellEnd"/>
          </w:p>
        </w:tc>
      </w:tr>
      <w:tr w:rsidR="00D53E89" w:rsidRPr="00D53E89" w14:paraId="12D792F2" w14:textId="77777777" w:rsidTr="00D53E89">
        <w:tc>
          <w:tcPr>
            <w:tcW w:w="534" w:type="dxa"/>
            <w:tcBorders>
              <w:top w:val="single" w:sz="4" w:space="0" w:color="auto"/>
              <w:left w:val="single" w:sz="4" w:space="0" w:color="auto"/>
              <w:bottom w:val="single" w:sz="4" w:space="0" w:color="auto"/>
              <w:right w:val="single" w:sz="4" w:space="0" w:color="auto"/>
            </w:tcBorders>
            <w:hideMark/>
          </w:tcPr>
          <w:p w14:paraId="04EECB27" w14:textId="77777777" w:rsidR="00D53E89" w:rsidRPr="00D53E89" w:rsidRDefault="00D53E89">
            <w:pPr>
              <w:rPr>
                <w:rFonts w:ascii="Book Antiqua" w:hAnsi="Book Antiqua" w:cstheme="majorBidi"/>
                <w:sz w:val="20"/>
                <w:szCs w:val="20"/>
              </w:rPr>
            </w:pPr>
            <w:r w:rsidRPr="00D53E89">
              <w:rPr>
                <w:rFonts w:ascii="Book Antiqua" w:hAnsi="Book Antiqua" w:cstheme="majorBidi"/>
                <w:sz w:val="20"/>
                <w:szCs w:val="20"/>
              </w:rPr>
              <w:t>3</w:t>
            </w:r>
          </w:p>
        </w:tc>
        <w:tc>
          <w:tcPr>
            <w:tcW w:w="1701" w:type="dxa"/>
            <w:tcBorders>
              <w:top w:val="single" w:sz="4" w:space="0" w:color="auto"/>
              <w:left w:val="single" w:sz="4" w:space="0" w:color="auto"/>
              <w:bottom w:val="single" w:sz="4" w:space="0" w:color="auto"/>
              <w:right w:val="single" w:sz="4" w:space="0" w:color="auto"/>
            </w:tcBorders>
            <w:hideMark/>
          </w:tcPr>
          <w:p w14:paraId="57F459C7" w14:textId="7D56AD68" w:rsidR="00D53E89" w:rsidRPr="00D53E89" w:rsidRDefault="00004409">
            <w:pPr>
              <w:rPr>
                <w:rFonts w:ascii="Book Antiqua" w:hAnsi="Book Antiqua" w:cstheme="majorBidi"/>
                <w:sz w:val="20"/>
                <w:szCs w:val="20"/>
              </w:rPr>
            </w:pPr>
            <w:r w:rsidRPr="00004409">
              <w:rPr>
                <w:rFonts w:ascii="Book Antiqua" w:hAnsi="Book Antiqua" w:cstheme="majorBidi"/>
                <w:sz w:val="20"/>
                <w:szCs w:val="20"/>
              </w:rPr>
              <w:t xml:space="preserve">Financial performance </w:t>
            </w:r>
            <w:r w:rsidR="00D53E89" w:rsidRPr="00D53E89">
              <w:rPr>
                <w:rFonts w:ascii="Book Antiqua" w:hAnsi="Book Antiqua" w:cstheme="majorBidi"/>
                <w:sz w:val="20"/>
                <w:szCs w:val="20"/>
              </w:rPr>
              <w:t>(Y)</w:t>
            </w:r>
          </w:p>
        </w:tc>
        <w:tc>
          <w:tcPr>
            <w:tcW w:w="3879" w:type="dxa"/>
            <w:tcBorders>
              <w:top w:val="single" w:sz="4" w:space="0" w:color="auto"/>
              <w:left w:val="single" w:sz="4" w:space="0" w:color="auto"/>
              <w:bottom w:val="single" w:sz="4" w:space="0" w:color="auto"/>
              <w:right w:val="single" w:sz="4" w:space="0" w:color="auto"/>
            </w:tcBorders>
          </w:tcPr>
          <w:p w14:paraId="5425137D" w14:textId="0B2B50B7" w:rsidR="00D53E89" w:rsidRPr="00D53E89" w:rsidRDefault="00D53E89">
            <w:pPr>
              <w:rPr>
                <w:rFonts w:ascii="Book Antiqua" w:hAnsi="Book Antiqua" w:cstheme="majorBidi"/>
                <w:sz w:val="20"/>
                <w:szCs w:val="20"/>
              </w:rPr>
            </w:pPr>
            <w:r w:rsidRPr="00D53E89">
              <w:rPr>
                <w:rFonts w:ascii="Book Antiqua" w:hAnsi="Book Antiqua" w:cstheme="majorBidi"/>
                <w:sz w:val="20"/>
                <w:szCs w:val="20"/>
              </w:rPr>
              <w:t xml:space="preserve">ROA = </w:t>
            </w:r>
            <m:oMath>
              <m:f>
                <m:fPr>
                  <m:ctrlPr>
                    <w:rPr>
                      <w:rFonts w:ascii="Cambria Math" w:hAnsi="Cambria Math" w:cstheme="majorBidi"/>
                      <w:i/>
                      <w:sz w:val="20"/>
                      <w:szCs w:val="20"/>
                      <w:lang w:val="id-ID" w:eastAsia="en-US"/>
                    </w:rPr>
                  </m:ctrlPr>
                </m:fPr>
                <m:num>
                  <m:r>
                    <w:rPr>
                      <w:rFonts w:ascii="Cambria Math" w:hAnsi="Cambria Math" w:cstheme="majorBidi"/>
                      <w:sz w:val="20"/>
                      <w:szCs w:val="20"/>
                    </w:rPr>
                    <m:t>Profit befor Tax</m:t>
                  </m:r>
                </m:num>
                <m:den>
                  <m:r>
                    <w:rPr>
                      <w:rFonts w:ascii="Cambria Math" w:hAnsi="Cambria Math" w:cstheme="majorBidi"/>
                      <w:sz w:val="20"/>
                      <w:szCs w:val="20"/>
                    </w:rPr>
                    <m:t>Total Aset</m:t>
                  </m:r>
                </m:den>
              </m:f>
            </m:oMath>
            <w:r w:rsidRPr="00D53E89">
              <w:rPr>
                <w:rFonts w:ascii="Book Antiqua" w:eastAsiaTheme="minorEastAsia" w:hAnsi="Book Antiqua" w:cstheme="majorBidi"/>
                <w:sz w:val="20"/>
                <w:szCs w:val="20"/>
              </w:rPr>
              <w:t xml:space="preserve">  x 100 %</w:t>
            </w:r>
          </w:p>
          <w:p w14:paraId="2D698757" w14:textId="77777777" w:rsidR="00D53E89" w:rsidRPr="00D53E89" w:rsidRDefault="00D53E89">
            <w:pPr>
              <w:rPr>
                <w:rFonts w:ascii="Book Antiqua" w:hAnsi="Book Antiqua" w:cstheme="majorBidi"/>
                <w:sz w:val="20"/>
                <w:szCs w:val="20"/>
              </w:rPr>
            </w:pPr>
          </w:p>
        </w:tc>
        <w:tc>
          <w:tcPr>
            <w:tcW w:w="2039" w:type="dxa"/>
            <w:tcBorders>
              <w:top w:val="single" w:sz="4" w:space="0" w:color="auto"/>
              <w:left w:val="single" w:sz="4" w:space="0" w:color="auto"/>
              <w:bottom w:val="single" w:sz="4" w:space="0" w:color="auto"/>
              <w:right w:val="single" w:sz="4" w:space="0" w:color="auto"/>
            </w:tcBorders>
            <w:hideMark/>
          </w:tcPr>
          <w:p w14:paraId="4479E1C8" w14:textId="59370ECC" w:rsidR="00D53E89" w:rsidRPr="00D53E89" w:rsidRDefault="00E97FE7">
            <w:pPr>
              <w:rPr>
                <w:rFonts w:ascii="Book Antiqua" w:hAnsi="Book Antiqua" w:cstheme="majorBidi"/>
                <w:sz w:val="20"/>
                <w:szCs w:val="20"/>
              </w:rPr>
            </w:pPr>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{"citationItems":[{"id":"ITEM-1","itemData":{"author":[{"dropping-particle":"","family":"Nimtrakoon","given":"Sirinuch","non-dropping-particle":"","parse-names":false,"suffix":""}],"container-title":"Journal of Intellectual Capital","id":"ITEM-1","issue":"3","issued":{"date-parts":[["2015"]]},"page":"587-618","title":"The Relationship Between Intellectual Capital, Firms’ market value and Financial Performance: Empirical evidence from the ASEAN","type":"article-journal","volume":"16"},"uris":["http://www.mendeley.com/documents/?uuid=333a76a3-df1b-41f4-9a16-4c2bdf3e17f0","http://www.mendeley.com/documents/?uuid=b7460441-7ed1-42ce-9092-864d9aa7f764"]}],"mendeley":{"formattedCitation":"(Nimtrakoon, 2015)","plainTextFormattedCitation":"(Nimtrakoon, 2015)","previouslyFormattedCitation":"(Nimtrakoon, 2015)"},"properties":{"noteIndex":0},"schema":"https://github.com/citation-style-language/schema/raw/master/csl-citation.json"}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(Nimtrakoon, 2015)</w:t>
            </w:r>
            <w:r w:rsidRPr="00E97FE7">
              <w:rPr>
                <w:rFonts w:ascii="Book Antiqua" w:hAnsi="Book Antiqua" w:cstheme="majorBidi"/>
                <w:sz w:val="20"/>
                <w:szCs w:val="20"/>
                <w:lang w:val="id-ID"/>
              </w:rPr>
              <w:fldChar w:fldCharType="end"/>
            </w:r>
            <w:r w:rsidRPr="00E97FE7">
              <w:rPr>
                <w:rFonts w:ascii="Book Antiqua" w:hAnsi="Book Antiqua" w:cstheme="majorBidi"/>
                <w:sz w:val="20"/>
                <w:szCs w:val="20"/>
              </w:rPr>
              <w:t xml:space="preserve">; </w:t>
            </w:r>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{"citationItems":[{"id":"ITEM-1","itemData":{"DOI":"10.1108/JIC-07-2015-0068","ISSN":"17587468","abstract":"Purpose – The purpose of this paper is to examine whether intellectual capital (IC) creates value in the Serbian information communication technology (ICT) sector. More specifically, it examines the degree to which IC and its key components affect the financial performance of selected ICT companies compared to effects on physical and financial capital. Design/methodology/approach – The analysis included 13,989 Serbian ICT companies during 2009-2013. Value-added intellectual coefficient (VAIC) was used to measure the level of IC contribution to value creation. Measures of financial performance used in the study were return on equity, return on assets, return on invested capital, profitability, and asset turnover. Findings – Results indicate that, when using firm size and leverage as control variables, only capital-employed efficiency has significant effect on financial performance. Finally, the research confirms that there were no significant differences in financial performance among different ICT subsectors. Research limitations/implications – Main research limitation is related to the disadvantages of VAIC as the measure of IC’s contribution to value creation. Practical implications – Owners and managers of Serbian ICT companies must recognize the importance of managing both the physical capital and the intangible resources embedded in their employees and processes. Originality/value – This is the first paper to examine comprehensively the impact of IC on financial performance in the ICT sector in a transitional economy. This study differs from prior studies in that the authors analyzed every company that operated in Serbian ICT sector.","author":[{"dropping-particle":"","family":"Dženopoljac","given":"Vladimir","non-dropping-particle":"","parse-names":false,"suffix":""},{"dropping-particle":"","family":"Janoševic","given":"Stevo","non-dropping-particle":"","parse-names":false,"suffix":""},{"dropping-particle":"","family":"Bontis","given":"Nick","non-dropping-particle":"","parse-names":false,"suffix":""}],"container-title":"Journal of Intellectual Capital","id":"ITEM-1","issue":"2","issued":{"date-parts":[["2016"]]},"page":"373-396","title":"Intellectual capital and financial performance in the Serbian ICT industry","type":"article-journal","volume":"17"},"uris":["http://www.mendeley.com/documents/?uuid=7d838fda-f105-482e-8b1e-c3029c969d69","http://www.mendeley.com/documents/?uuid=a80ae825-7896-474e-864a-b10d929776fc"]}],"mendeley":{"formattedCitation":"(Dženopoljac et al., 2016)","manualFormatting":"Dženopoljac et al., 2016","plainTextFormattedCitation":"(Dženopoljac et al., 2016)","previouslyFormattedCitation":"(Dženopoljac et al., 2016)"},"properties":{"noteIndex":0},"schema":"https://github.com/citation-style-language/schema/raw/master/csl-citation.json"}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Dženopoljac et al., 2016</w:t>
            </w:r>
            <w:r w:rsidRPr="00E97FE7">
              <w:rPr>
                <w:rFonts w:ascii="Book Antiqua" w:hAnsi="Book Antiqua" w:cstheme="majorBidi"/>
                <w:sz w:val="20"/>
                <w:szCs w:val="20"/>
                <w:lang w:val="id-ID"/>
              </w:rPr>
              <w:fldChar w:fldCharType="end"/>
            </w:r>
            <w:r w:rsidRPr="00E97FE7">
              <w:rPr>
                <w:rFonts w:ascii="Book Antiqua" w:hAnsi="Book Antiqua" w:cstheme="majorBidi"/>
                <w:sz w:val="20"/>
                <w:szCs w:val="20"/>
              </w:rPr>
              <w:t xml:space="preserve">; </w:t>
            </w:r>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2017)","manualFormatting":"Nawaz &amp; Haniffa, 2017","plainTextFormattedCitation":"(Nawaz &amp; Haniffa, 2017)","previouslyFormattedCitation":"(Nawaz &amp; Haniffa, 2017)"},"properties":{"noteIndex":0},"schema":"https://github.com/citation-style-language/schema/raw/master/csl-citation.json"}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Nawaz &amp; Haniffa, 2017</w:t>
            </w:r>
            <w:r w:rsidRPr="00E97FE7">
              <w:rPr>
                <w:rFonts w:ascii="Book Antiqua" w:hAnsi="Book Antiqua" w:cstheme="majorBidi"/>
                <w:sz w:val="20"/>
                <w:szCs w:val="20"/>
                <w:lang w:val="id-ID"/>
              </w:rPr>
              <w:fldChar w:fldCharType="end"/>
            </w:r>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{"citationItems":[{"id":"ITEM-1","itemData":{"DOI":"10.1108/EJMBE-07-2017-005","ISSN":"24448451","abstract":"Purpose – The purpose of this paper is to examine if certain board characteristics have an impact on the financial performance of manufacturing firms in India. Design/methodology/approach – The study draws on data from 275 firms listed in NSE during from 2011 to 2015, using a multiple regression model. The present study examines the effect of board characteristics such as board size, CEO duality, independence and board activity devoted to the effectiveness of firms performance regarding market and accounting based financial performance measures. Findings – The finding supports an inverse association between the extent of board characteristics and the firms’ performance indicators. The study also finds a statistically significant negative relationship between board size and Tobins Q, ROA and ROE. The evidence also shows that the board independence and meeting frequency moderate the relationship between return on equity and return on assets by enhancing these measures among corporate governance mechanisms. Research limitations/implications – The present study does not include all possible board characteristics, i.e., large shareholders dominance on the board and promoter’s and institutional shareholding, to support firm’s performance. Further research might include the ownership structure of the board to improve firm’s performance. Originality/value – The study focuses on the corporate governance issues such as size, duality, independence and activity of the boards and their influence on firm performance. The subject analyzes the possible impact of board characteristics and firm-related features that have received much attention from academic research, which has largely focused on studying the publications of corporate governance in India and Asian context.","author":[{"dropping-particle":"","family":"Palaniappan","given":"G.","non-dropping-particle":"","parse-names":false,"suffix":""}],"container-title":"European Journal of Management and Business Economics","id":"ITEM-1","issue":"1","issued":{"date-parts":[["2017"]]},"page":"67-85","title":"Determinants of corporate financial performance relating to board characteristics of corporate governance in Indian manufacturing industry: An empirical study","type":"article-journal","volume":"26"},"uris":["http://www.mendeley.com/documents/?uuid=267bfcc8-8bd2-4768-a2be-63c75beff8fe","http://www.mendeley.com/documents/?uuid=df28454f-ab5d-44db-8026-71a708623581"]}],"mendeley":{"formattedCitation":"(Palaniappan, 2017)","manualFormatting":";Palaniappan, 2017","plainTextFormattedCitation":"(Palaniappan, 2017)","previouslyFormattedCitation":"(Palaniappan, 2017)"},"properties":{"noteIndex":0},"schema":"https://github.com/citation-style-language/schema/raw/master/csl-citation.json"}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;Palaniappan, 2017</w:t>
            </w:r>
            <w:r w:rsidRPr="00E97FE7">
              <w:rPr>
                <w:rFonts w:ascii="Book Antiqua" w:hAnsi="Book Antiqua" w:cstheme="majorBidi"/>
                <w:sz w:val="20"/>
                <w:szCs w:val="20"/>
                <w:lang w:val="id-ID"/>
              </w:rPr>
              <w:fldChar w:fldCharType="end"/>
            </w:r>
            <w:r w:rsidRPr="00E97FE7">
              <w:rPr>
                <w:rFonts w:ascii="Book Antiqua" w:hAnsi="Book Antiqua" w:cstheme="majorBidi"/>
                <w:sz w:val="20"/>
                <w:szCs w:val="20"/>
              </w:rPr>
              <w:t>;</w:t>
            </w:r>
            <w:proofErr w:type="spellStart"/>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{"citationItems":[{"id":"ITEM-1","itemData":{"author":[{"dropping-particle":"","family":"Ofoeda","given":"Isaac","non-dropping-particle":"","parse-names":false,"suffix":""}],"id":"ITEM-1","issued":{"date-parts":[["2016"]]},"title":"and non-bank financial institutions profitability Corporate Governance International Journal of Law and Management","type":"article-journal"},"uris":["http://www.mendeley.com/documents/?uuid=4511e5ba-1121-4803-906a-b951a01179cc","http://www.mendeley.com/documents/?uuid=00818e7e-b8da-476f-8195-8a940bdc7c6d"]}],"mendeley":{"formattedCitation":"(Ofoeda, 2016)","manualFormatting":"Ofoeda, 2016","plainTextFormattedCitation":"(Ofoeda, 2016)","previouslyFormattedCitation":"(Ofoeda, 2016)"},"properties":{"noteIndex":0},"schema":"https://github.com/citation-style-language/schema/raw/master/csl-citation.json"}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Ofoeda</w:t>
            </w:r>
            <w:proofErr w:type="spellEnd"/>
            <w:r w:rsidRPr="00E97FE7">
              <w:rPr>
                <w:rFonts w:ascii="Book Antiqua" w:hAnsi="Book Antiqua" w:cstheme="majorBidi"/>
                <w:noProof/>
                <w:sz w:val="20"/>
                <w:szCs w:val="20"/>
              </w:rPr>
              <w:t>, 2016</w:t>
            </w:r>
            <w:r w:rsidRPr="00E97FE7">
              <w:rPr>
                <w:rFonts w:ascii="Book Antiqua" w:hAnsi="Book Antiqua" w:cstheme="majorBidi"/>
                <w:sz w:val="20"/>
                <w:szCs w:val="20"/>
                <w:lang w:val="id-ID"/>
              </w:rPr>
              <w:fldChar w:fldCharType="end"/>
            </w:r>
            <w:r w:rsidRPr="00E97FE7">
              <w:rPr>
                <w:rFonts w:ascii="Book Antiqua" w:hAnsi="Book Antiqua" w:cstheme="majorBidi"/>
                <w:sz w:val="20"/>
                <w:szCs w:val="20"/>
              </w:rPr>
              <w:t xml:space="preserve">; </w:t>
            </w:r>
            <w:r w:rsidRPr="00E97FE7">
              <w:rPr>
                <w:rFonts w:ascii="Book Antiqua" w:hAnsi="Book Antiqua" w:cstheme="majorBidi"/>
                <w:sz w:val="20"/>
                <w:szCs w:val="20"/>
              </w:rPr>
              <w:fldChar w:fldCharType="begin" w:fldLock="1"/>
            </w:r>
            <w:r w:rsidR="00154795">
              <w:rPr>
                <w:rFonts w:ascii="Book Antiqua" w:hAnsi="Book Antiqua" w:cstheme="majorBidi"/>
                <w:sz w:val="20"/>
                <w:szCs w:val="20"/>
              </w:rPr>
              <w:instrText>ADDIN CSL_CITATION {"citationItems":[{"id":"ITEM-1","itemData":{"DOI":"10.1108/JAOC-11-2017-0109","ISBN":"1120170109","ISSN":"18325912","abstract":"Purpose: The purpose of this paper is to investigate the influence of intellectual capital (IC) on financial performance and, in turn, to provide insights into its impact on emerging economies. Design/methodology/approach: Data were collected from 34 textile firms in Bangladesh between 2013 and 2017. The IC efficiency, through value-added intellectual coefficient (VAIC) model, and its impact on financial performance, through return on assets (ROA), return on equity and asset turnover (ATO), was examined using descriptive statistics and multiple regression techniques. The analysis is based on secondary data obtained from annual reports. Findings: The results indicate the impact of VAIC components on financial performance and also demonstrate diverse relationships with changes in financial indicators. The VAIC components significantly influenced productivity outcomes, with tangible capital playing a major role in both productivity and profitability. Moreover, it was found that structural capital had a considerable effect on ATO and ROA with human capital indicating an insignificant impact on all financial performance indicators. Research limitations/implications: The research outcome is specific to the textile industry in emerging economies. The study may guide future research on IC performance in textile firms and cross-industry comparisons. Practical implications: Managers, firm owners and regulators need to align IC to performance management to sustain the competitive advantage in globalised competitive settings. Originality/value: The study provides an empirical evidence and extends knowledge of IC utilisation for enhancing the financial performance of the textile firms in emerging economies.","author":[{"dropping-particle":"","family":"Chowdhury","given":"Leena Afroz Mostofa","non-dropping-particle":"","parse-names":false,"suffix":""},{"dropping-particle":"","family":"Rana","given":"Tarek","non-dropping-particle":"","parse-names":false,"suffix":""},{"dropping-particle":"","family":"Akter","given":"Mahmuda","non-dropping-particle":"","parse-names":false,"suffix":""},{"dropping-particle":"","family":"Hoque","given":"Mahfuzul","non-dropping-particle":"","parse-names":false,"suffix":""}],"container-title":"Journal of Accounting and Organizational Change","id":"ITEM-1","issue":"4","issued":{"date-parts":[["2018"]]},"page":"429-454","title":"Impact of intellectual capital on financial performance: evidence from the Bangladeshi textile sector","type":"article-journal","volume":"14"},"uris":["http://www.mendeley.com/documents/?uuid=16d2a555-b3f8-4ced-bb7c-d99a64a71fe0","http://www.mendeley.com/documents/?uuid=c5ad931f-32e8-4846-bae5-28d1900ea98b"]}],"mendeley":{"formattedCitation":"(Chowdhury et al., 2018)","manualFormatting":"Chowdhury et al., 2018)","plainTextFormattedCitation":"(Chowdhury et al., 2018)","previouslyFormattedCitation":"(Chowdhury et al., 2018)"},"properties":{"noteIndex":0},"schema":"https://github.com/citation-style-language/schema/raw/master/csl-citation.json"}</w:instrText>
            </w:r>
            <w:r w:rsidRPr="00E97FE7">
              <w:rPr>
                <w:rFonts w:ascii="Book Antiqua" w:hAnsi="Book Antiqua" w:cstheme="majorBidi"/>
                <w:sz w:val="20"/>
                <w:szCs w:val="20"/>
              </w:rPr>
              <w:fldChar w:fldCharType="separate"/>
            </w:r>
            <w:r w:rsidRPr="00E97FE7">
              <w:rPr>
                <w:rFonts w:ascii="Book Antiqua" w:hAnsi="Book Antiqua" w:cstheme="majorBidi"/>
                <w:noProof/>
                <w:sz w:val="20"/>
                <w:szCs w:val="20"/>
              </w:rPr>
              <w:t>Chowdhury et al., 2018)</w:t>
            </w:r>
            <w:r w:rsidRPr="00E97FE7">
              <w:rPr>
                <w:rFonts w:ascii="Book Antiqua" w:hAnsi="Book Antiqua" w:cstheme="majorBidi"/>
                <w:sz w:val="20"/>
                <w:szCs w:val="20"/>
                <w:lang w:val="id-ID"/>
              </w:rPr>
              <w:fldChar w:fldCharType="end"/>
            </w:r>
          </w:p>
        </w:tc>
      </w:tr>
    </w:tbl>
    <w:p w14:paraId="5CD261B5" w14:textId="0DFB4E46" w:rsidR="00D53E89" w:rsidRDefault="00D53E89" w:rsidP="00177ED7">
      <w:pPr>
        <w:pStyle w:val="IEEEParagraph"/>
        <w:ind w:firstLine="720"/>
        <w:rPr>
          <w:rFonts w:ascii="Book Antiqua" w:hAnsi="Book Antiqua"/>
        </w:rPr>
      </w:pPr>
    </w:p>
    <w:p w14:paraId="42BDDEC2" w14:textId="11201082" w:rsidR="00037CCF" w:rsidRDefault="00004409" w:rsidP="00004409">
      <w:pPr>
        <w:pStyle w:val="IEEEParagraph"/>
        <w:ind w:firstLine="720"/>
        <w:rPr>
          <w:rFonts w:ascii="Book Antiqua" w:hAnsi="Book Antiqua"/>
        </w:rPr>
      </w:pPr>
      <w:r w:rsidRPr="00004409">
        <w:rPr>
          <w:rFonts w:ascii="Book Antiqua" w:hAnsi="Book Antiqua"/>
        </w:rPr>
        <w:t xml:space="preserve">To </w:t>
      </w:r>
      <w:proofErr w:type="spellStart"/>
      <w:r w:rsidRPr="00004409">
        <w:rPr>
          <w:rFonts w:ascii="Book Antiqua" w:hAnsi="Book Antiqua"/>
        </w:rPr>
        <w:t>analyze</w:t>
      </w:r>
      <w:proofErr w:type="spellEnd"/>
      <w:r w:rsidRPr="00004409">
        <w:rPr>
          <w:rFonts w:ascii="Book Antiqua" w:hAnsi="Book Antiqua"/>
        </w:rPr>
        <w:t xml:space="preserve"> the relationship between variables we use panel data regression analysis by transforming it to logarithmic form. Changing the logarithmic form provides stability to the variance of the model we construct. Writing a mathematical model can be written as follows</w:t>
      </w:r>
      <w:r w:rsidR="001177F2">
        <w:rPr>
          <w:rFonts w:ascii="Book Antiqua" w:hAnsi="Book Antiqua"/>
        </w:rPr>
        <w:t>:</w:t>
      </w:r>
    </w:p>
    <w:p w14:paraId="4E0EF433" w14:textId="77777777" w:rsidR="00004409" w:rsidRDefault="00004409" w:rsidP="00177ED7">
      <w:pPr>
        <w:pStyle w:val="IEEEParagraph"/>
        <w:ind w:firstLine="720"/>
        <w:rPr>
          <w:rFonts w:ascii="Book Antiqua" w:hAnsi="Book Antiqua"/>
        </w:rPr>
      </w:pPr>
    </w:p>
    <w:p w14:paraId="1C151581" w14:textId="6039121A" w:rsidR="001177F2" w:rsidRDefault="001D431B" w:rsidP="001177F2">
      <w:pPr>
        <w:pStyle w:val="ListParagraph"/>
        <w:spacing w:line="360" w:lineRule="auto"/>
        <w:ind w:left="284"/>
        <w:jc w:val="center"/>
        <w:rPr>
          <w:rFonts w:asciiTheme="majorBidi" w:hAnsiTheme="majorBidi" w:cstheme="majorBidi"/>
          <w:bCs/>
          <w:sz w:val="22"/>
          <w:szCs w:val="22"/>
          <w:lang w:val="id-ID" w:eastAsia="en-US"/>
        </w:rPr>
      </w:pPr>
      <m:oMath>
        <m:sSub>
          <m:sSubPr>
            <m:ctrlPr>
              <w:rPr>
                <w:rFonts w:ascii="Cambria Math" w:hAnsiTheme="majorBidi" w:cstheme="majorBidi"/>
                <w:bCs/>
                <w:i/>
                <w:sz w:val="22"/>
                <w:szCs w:val="22"/>
                <w:lang w:val="id-ID" w:eastAsia="en-US"/>
              </w:rPr>
            </m:ctrlPr>
          </m:sSubPr>
          <m:e>
            <m:r>
              <w:rPr>
                <w:rFonts w:ascii="Cambria Math" w:hAnsi="Cambria Math" w:cstheme="majorBidi"/>
              </w:rPr>
              <m:t>ROA</m:t>
            </m:r>
          </m:e>
          <m:sub>
            <m:r>
              <w:rPr>
                <w:rFonts w:ascii="Cambria Math" w:hAnsi="Cambria Math" w:cstheme="majorBidi"/>
              </w:rPr>
              <m:t>it</m:t>
            </m:r>
          </m:sub>
        </m:sSub>
      </m:oMath>
      <w:r w:rsidR="001177F2">
        <w:rPr>
          <w:rFonts w:asciiTheme="majorBidi" w:hAnsiTheme="majorBidi" w:cstheme="majorBidi"/>
          <w:bCs/>
        </w:rPr>
        <w:t xml:space="preserve"> = </w:t>
      </w:r>
      <m:oMath>
        <m:r>
          <w:rPr>
            <w:rFonts w:ascii="Cambria Math" w:hAnsi="Cambria Math" w:cstheme="majorBidi"/>
          </w:rPr>
          <m:t>∝</m:t>
        </m:r>
        <m:r>
          <w:rPr>
            <w:rFonts w:ascii="Cambria Math" w:hAnsiTheme="majorBidi" w:cstheme="majorBidi"/>
          </w:rPr>
          <m:t xml:space="preserve"> + </m:t>
        </m:r>
        <m:sSub>
          <m:sSubPr>
            <m:ctrlPr>
              <w:rPr>
                <w:rFonts w:ascii="Cambria Math" w:hAnsiTheme="majorBidi" w:cstheme="majorBidi"/>
                <w:bCs/>
                <w:i/>
                <w:sz w:val="22"/>
                <w:szCs w:val="22"/>
                <w:lang w:val="id-ID" w:eastAsia="en-US"/>
              </w:rPr>
            </m:ctrlPr>
          </m:sSubPr>
          <m:e>
            <m:r>
              <w:rPr>
                <w:rFonts w:ascii="Cambria Math" w:hAnsi="Cambria Math" w:cstheme="majorBidi"/>
              </w:rPr>
              <m:t>β</m:t>
            </m:r>
          </m:e>
          <m:sub>
            <m:r>
              <w:rPr>
                <w:rFonts w:ascii="Cambria Math" w:hAnsiTheme="majorBidi" w:cstheme="majorBidi"/>
              </w:rPr>
              <m:t xml:space="preserve">1 </m:t>
            </m:r>
          </m:sub>
        </m:sSub>
        <m:sSub>
          <m:sSubPr>
            <m:ctrlPr>
              <w:rPr>
                <w:rFonts w:ascii="Cambria Math" w:hAnsiTheme="majorBidi" w:cstheme="majorBidi"/>
                <w:bCs/>
                <w:i/>
                <w:sz w:val="22"/>
                <w:szCs w:val="22"/>
                <w:lang w:val="id-ID" w:eastAsia="en-US"/>
              </w:rPr>
            </m:ctrlPr>
          </m:sSubPr>
          <m:e>
            <m:r>
              <w:rPr>
                <w:rFonts w:ascii="Cambria Math" w:hAnsi="Cambria Math" w:cstheme="majorBidi"/>
              </w:rPr>
              <m:t>iB_VAIC</m:t>
            </m:r>
          </m:e>
          <m:sub>
            <m:r>
              <w:rPr>
                <w:rFonts w:ascii="Cambria Math" w:hAnsi="Cambria Math" w:cstheme="majorBidi"/>
              </w:rPr>
              <m:t>it</m:t>
            </m:r>
          </m:sub>
        </m:sSub>
        <m:r>
          <w:rPr>
            <w:rFonts w:ascii="Cambria Math" w:hAnsiTheme="majorBidi" w:cstheme="majorBidi"/>
          </w:rPr>
          <m:t>+</m:t>
        </m:r>
        <m:sSub>
          <m:sSubPr>
            <m:ctrlPr>
              <w:rPr>
                <w:rFonts w:ascii="Cambria Math" w:hAnsiTheme="majorBidi" w:cstheme="majorBidi"/>
                <w:bCs/>
                <w:i/>
                <w:sz w:val="22"/>
                <w:szCs w:val="22"/>
                <w:lang w:val="id-ID" w:eastAsia="en-US"/>
              </w:rPr>
            </m:ctrlPr>
          </m:sSubPr>
          <m:e>
            <m:r>
              <w:rPr>
                <w:rFonts w:ascii="Cambria Math" w:hAnsi="Cambria Math" w:cstheme="majorBidi"/>
              </w:rPr>
              <m:t>β</m:t>
            </m:r>
          </m:e>
          <m:sub>
            <m:r>
              <w:rPr>
                <w:rFonts w:ascii="Cambria Math" w:hAnsiTheme="majorBidi" w:cstheme="majorBidi"/>
              </w:rPr>
              <m:t>2</m:t>
            </m:r>
          </m:sub>
        </m:sSub>
        <m:sSub>
          <m:sSubPr>
            <m:ctrlPr>
              <w:rPr>
                <w:rFonts w:ascii="Cambria Math" w:hAnsiTheme="majorBidi" w:cstheme="majorBidi"/>
                <w:bCs/>
                <w:i/>
                <w:sz w:val="22"/>
                <w:szCs w:val="22"/>
                <w:lang w:val="id-ID" w:eastAsia="en-US"/>
              </w:rPr>
            </m:ctrlPr>
          </m:sSubPr>
          <m:e>
            <m:r>
              <w:rPr>
                <w:rFonts w:ascii="Cambria Math" w:hAnsi="Cambria Math" w:cstheme="majorBidi"/>
              </w:rPr>
              <m:t>GCG</m:t>
            </m:r>
          </m:e>
          <m:sub>
            <m:r>
              <w:rPr>
                <w:rFonts w:ascii="Cambria Math" w:hAnsi="Cambria Math" w:cstheme="majorBidi"/>
              </w:rPr>
              <m:t>it</m:t>
            </m:r>
          </m:sub>
        </m:sSub>
        <m:r>
          <w:rPr>
            <w:rFonts w:ascii="Cambria Math" w:hAnsiTheme="majorBidi" w:cstheme="majorBidi"/>
          </w:rPr>
          <m:t xml:space="preserve">+ </m:t>
        </m:r>
        <m:sSub>
          <m:sSubPr>
            <m:ctrlPr>
              <w:rPr>
                <w:rFonts w:ascii="Cambria Math" w:hAnsiTheme="majorBidi" w:cstheme="majorBidi"/>
                <w:bCs/>
                <w:i/>
                <w:sz w:val="22"/>
                <w:szCs w:val="22"/>
                <w:lang w:val="id-ID" w:eastAsia="en-US"/>
              </w:rPr>
            </m:ctrlPr>
          </m:sSubPr>
          <m:e>
            <m:r>
              <w:rPr>
                <w:rFonts w:ascii="Cambria Math" w:hAnsi="Cambria Math" w:cstheme="majorBidi"/>
              </w:rPr>
              <m:t>ε</m:t>
            </m:r>
          </m:e>
          <m:sub>
            <m:r>
              <w:rPr>
                <w:rFonts w:ascii="Cambria Math" w:hAnsi="Cambria Math" w:cstheme="majorBidi"/>
              </w:rPr>
              <m:t>it</m:t>
            </m:r>
          </m:sub>
        </m:sSub>
      </m:oMath>
    </w:p>
    <w:p w14:paraId="08785115" w14:textId="77777777" w:rsidR="00004409" w:rsidRDefault="00004409" w:rsidP="001177F2">
      <w:pPr>
        <w:pStyle w:val="ListParagraph"/>
        <w:spacing w:line="360" w:lineRule="auto"/>
        <w:ind w:left="284"/>
        <w:jc w:val="center"/>
        <w:rPr>
          <w:rFonts w:asciiTheme="majorBidi" w:hAnsiTheme="majorBidi" w:cstheme="majorBidi"/>
          <w:bCs/>
          <w:sz w:val="22"/>
          <w:szCs w:val="22"/>
          <w:lang w:val="id-ID" w:eastAsia="en-US"/>
        </w:rPr>
      </w:pPr>
    </w:p>
    <w:p w14:paraId="3487FEC1" w14:textId="33655786" w:rsidR="001177F2" w:rsidRDefault="00004409" w:rsidP="001177F2">
      <w:pPr>
        <w:pStyle w:val="IEEEParagraph"/>
        <w:ind w:firstLine="0"/>
        <w:rPr>
          <w:rFonts w:ascii="Book Antiqua" w:hAnsi="Book Antiqua"/>
        </w:rPr>
      </w:pPr>
      <w:r w:rsidRPr="00004409">
        <w:rPr>
          <w:rFonts w:ascii="Book Antiqua" w:hAnsi="Book Antiqua"/>
        </w:rPr>
        <w:t xml:space="preserve">Where, </w:t>
      </w:r>
      <w:proofErr w:type="spellStart"/>
      <w:r w:rsidRPr="00004409">
        <w:rPr>
          <w:rFonts w:ascii="Book Antiqua" w:hAnsi="Book Antiqua"/>
        </w:rPr>
        <w:t>ROAit</w:t>
      </w:r>
      <w:proofErr w:type="spellEnd"/>
      <w:r w:rsidRPr="00004409">
        <w:rPr>
          <w:rFonts w:ascii="Book Antiqua" w:hAnsi="Book Antiqua"/>
        </w:rPr>
        <w:t xml:space="preserve"> is a level of profitability that shows financial performance in each period and place; </w:t>
      </w:r>
      <w:proofErr w:type="spellStart"/>
      <w:r w:rsidRPr="00004409">
        <w:rPr>
          <w:rFonts w:ascii="Book Antiqua" w:hAnsi="Book Antiqua"/>
        </w:rPr>
        <w:t>IB_VAICit</w:t>
      </w:r>
      <w:proofErr w:type="spellEnd"/>
      <w:r w:rsidRPr="00004409">
        <w:rPr>
          <w:rFonts w:ascii="Book Antiqua" w:hAnsi="Book Antiqua"/>
        </w:rPr>
        <w:t xml:space="preserve"> is the added value of intellectual capital in every period and place; and </w:t>
      </w:r>
      <w:proofErr w:type="spellStart"/>
      <w:r w:rsidRPr="00004409">
        <w:rPr>
          <w:rFonts w:ascii="Book Antiqua" w:hAnsi="Book Antiqua"/>
        </w:rPr>
        <w:t>GCGit</w:t>
      </w:r>
      <w:proofErr w:type="spellEnd"/>
      <w:r w:rsidRPr="00004409">
        <w:rPr>
          <w:rFonts w:ascii="Book Antiqua" w:hAnsi="Book Antiqua"/>
        </w:rPr>
        <w:t xml:space="preserve"> is the soundness level of management of Islamic banking companies in each period and place</w:t>
      </w:r>
      <w:r w:rsidR="00607743">
        <w:rPr>
          <w:rFonts w:ascii="Book Antiqua" w:hAnsi="Book Antiqua"/>
        </w:rPr>
        <w:t>.</w:t>
      </w:r>
    </w:p>
    <w:p w14:paraId="6F72949F" w14:textId="21127F38" w:rsidR="00912510" w:rsidRDefault="00912510" w:rsidP="001177F2">
      <w:pPr>
        <w:pStyle w:val="IEEEParagraph"/>
        <w:ind w:firstLine="0"/>
        <w:rPr>
          <w:rFonts w:ascii="Book Antiqua" w:hAnsi="Book Antiqua"/>
        </w:rPr>
      </w:pPr>
    </w:p>
    <w:p w14:paraId="5DA75DF6" w14:textId="78CC8ACE" w:rsidR="00004409" w:rsidRDefault="00004409" w:rsidP="001177F2">
      <w:pPr>
        <w:pStyle w:val="IEEEParagraph"/>
        <w:ind w:firstLine="0"/>
        <w:rPr>
          <w:rFonts w:ascii="Book Antiqua" w:hAnsi="Book Antiqua"/>
        </w:rPr>
      </w:pPr>
    </w:p>
    <w:p w14:paraId="59F600AA" w14:textId="77777777" w:rsidR="00004409" w:rsidRDefault="00004409" w:rsidP="001177F2">
      <w:pPr>
        <w:pStyle w:val="IEEEParagraph"/>
        <w:ind w:firstLine="0"/>
        <w:rPr>
          <w:rFonts w:ascii="Book Antiqua" w:hAnsi="Book Antiqua"/>
        </w:rPr>
      </w:pPr>
    </w:p>
    <w:p w14:paraId="43FB3815" w14:textId="38A965B5" w:rsidR="006362EF" w:rsidRDefault="00244B70" w:rsidP="00B22C63">
      <w:pPr>
        <w:pStyle w:val="IEEEParagraph"/>
        <w:numPr>
          <w:ilvl w:val="0"/>
          <w:numId w:val="11"/>
        </w:numPr>
        <w:ind w:left="270" w:hanging="270"/>
        <w:rPr>
          <w:rFonts w:ascii="Book Antiqua" w:eastAsia="Times New Roman" w:hAnsi="Book Antiqua" w:cs="Angsana New"/>
          <w:b/>
          <w:bCs/>
          <w:color w:val="FF0000"/>
          <w:kern w:val="32"/>
          <w:lang w:eastAsia="en-US"/>
        </w:rPr>
      </w:pPr>
      <w:r w:rsidRPr="00244B70">
        <w:rPr>
          <w:rFonts w:ascii="Book Antiqua" w:hAnsi="Book Antiqua"/>
          <w:b/>
          <w:bCs/>
        </w:rPr>
        <w:lastRenderedPageBreak/>
        <w:t xml:space="preserve">Finding </w:t>
      </w:r>
      <w:r w:rsidR="006362EF" w:rsidRPr="00244B70">
        <w:rPr>
          <w:rFonts w:ascii="Book Antiqua" w:eastAsia="Times New Roman" w:hAnsi="Book Antiqua"/>
          <w:b/>
          <w:bCs/>
          <w:kern w:val="32"/>
          <w:lang w:val="id-ID" w:eastAsia="en-US"/>
        </w:rPr>
        <w:t>and Discussion</w:t>
      </w:r>
    </w:p>
    <w:p w14:paraId="0B3BFBA7" w14:textId="77777777" w:rsidR="00004409" w:rsidRDefault="00004409" w:rsidP="00004409">
      <w:pPr>
        <w:jc w:val="both"/>
        <w:rPr>
          <w:rFonts w:ascii="Book Antiqua" w:hAnsi="Book Antiqua"/>
        </w:rPr>
      </w:pPr>
      <w:bookmarkStart w:id="11" w:name="OLE_LINK45"/>
      <w:bookmarkStart w:id="12" w:name="OLE_LINK46"/>
      <w:bookmarkStart w:id="13" w:name="OLE_LINK31"/>
    </w:p>
    <w:p w14:paraId="78995121" w14:textId="39404867" w:rsidR="00004409" w:rsidRDefault="00004409" w:rsidP="00004409">
      <w:pPr>
        <w:jc w:val="both"/>
        <w:rPr>
          <w:rFonts w:ascii="Book Antiqua" w:hAnsi="Book Antiqua"/>
          <w:i/>
          <w:iCs/>
        </w:rPr>
      </w:pPr>
      <w:r w:rsidRPr="00004409">
        <w:rPr>
          <w:rFonts w:ascii="Book Antiqua" w:hAnsi="Book Antiqua"/>
          <w:i/>
          <w:iCs/>
        </w:rPr>
        <w:t>Classic Assumption</w:t>
      </w:r>
    </w:p>
    <w:p w14:paraId="40874030" w14:textId="1A73D6C4" w:rsidR="008D6842" w:rsidRDefault="00004409" w:rsidP="00004409">
      <w:pPr>
        <w:jc w:val="both"/>
        <w:rPr>
          <w:rFonts w:ascii="Book Antiqua" w:hAnsi="Book Antiqua"/>
        </w:rPr>
      </w:pPr>
      <w:r w:rsidRPr="00004409">
        <w:rPr>
          <w:rFonts w:ascii="Book Antiqua" w:hAnsi="Book Antiqua"/>
        </w:rPr>
        <w:t>The classical assumption test is an important test error in the OLS-based regression analysis. To get a good estimator, a model must pass at each stage of the classical assumption test. The results of the classical assumption test can be seen in the table below</w:t>
      </w:r>
      <w:r w:rsidR="00533188">
        <w:rPr>
          <w:rFonts w:ascii="Book Antiqua" w:hAnsi="Book Antiqua"/>
        </w:rPr>
        <w:t>:</w:t>
      </w:r>
    </w:p>
    <w:p w14:paraId="6902ED73" w14:textId="77777777" w:rsidR="00004409" w:rsidRDefault="00004409" w:rsidP="00004409">
      <w:pPr>
        <w:jc w:val="both"/>
        <w:rPr>
          <w:rFonts w:ascii="Book Antiqua" w:hAnsi="Book Antiqua"/>
        </w:rPr>
      </w:pPr>
    </w:p>
    <w:p w14:paraId="6B477326" w14:textId="6535223B" w:rsidR="00C9428F" w:rsidRPr="00FF5A9F" w:rsidRDefault="00004409" w:rsidP="00004409">
      <w:pPr>
        <w:ind w:firstLine="720"/>
        <w:jc w:val="center"/>
        <w:rPr>
          <w:rFonts w:ascii="Book Antiqua" w:hAnsi="Book Antiqua"/>
        </w:rPr>
      </w:pPr>
      <w:r w:rsidRPr="00004409">
        <w:rPr>
          <w:rFonts w:ascii="Book Antiqua" w:hAnsi="Book Antiqua"/>
          <w:b/>
          <w:bCs/>
        </w:rPr>
        <w:t>Table 4. Classical Assumption Test Results, Normality, Heteroscedasticity and Autocorrelation:</w:t>
      </w:r>
    </w:p>
    <w:tbl>
      <w:tblPr>
        <w:tblStyle w:val="TableGrid"/>
        <w:tblW w:w="5000" w:type="pct"/>
        <w:tblLook w:val="04A0" w:firstRow="1" w:lastRow="0" w:firstColumn="1" w:lastColumn="0" w:noHBand="0" w:noVBand="1"/>
      </w:tblPr>
      <w:tblGrid>
        <w:gridCol w:w="2947"/>
        <w:gridCol w:w="2795"/>
        <w:gridCol w:w="2752"/>
      </w:tblGrid>
      <w:tr w:rsidR="00C06EFB" w:rsidRPr="00FF5A9F" w14:paraId="2283C7DB" w14:textId="77777777" w:rsidTr="00004409">
        <w:tc>
          <w:tcPr>
            <w:tcW w:w="1735" w:type="pct"/>
            <w:tcBorders>
              <w:top w:val="single" w:sz="4" w:space="0" w:color="auto"/>
              <w:left w:val="single" w:sz="4" w:space="0" w:color="auto"/>
              <w:bottom w:val="single" w:sz="4" w:space="0" w:color="auto"/>
              <w:right w:val="single" w:sz="4" w:space="0" w:color="auto"/>
            </w:tcBorders>
            <w:hideMark/>
          </w:tcPr>
          <w:p w14:paraId="61A8DB73" w14:textId="192BD835" w:rsidR="00C06EFB" w:rsidRPr="00FF5A9F" w:rsidRDefault="00004409" w:rsidP="007768DC">
            <w:pPr>
              <w:pStyle w:val="ListParagraph"/>
              <w:ind w:left="0"/>
              <w:jc w:val="center"/>
              <w:rPr>
                <w:rFonts w:ascii="Book Antiqua" w:hAnsi="Book Antiqua" w:cstheme="majorBidi"/>
                <w:b/>
                <w:bCs/>
                <w:sz w:val="20"/>
                <w:szCs w:val="20"/>
                <w:lang w:val="en-US" w:eastAsia="en-US"/>
              </w:rPr>
            </w:pPr>
            <w:r w:rsidRPr="00004409">
              <w:rPr>
                <w:rFonts w:ascii="Book Antiqua" w:hAnsi="Book Antiqua" w:cstheme="majorBidi"/>
                <w:b/>
                <w:bCs/>
                <w:sz w:val="20"/>
                <w:szCs w:val="20"/>
              </w:rPr>
              <w:t>Test type</w:t>
            </w:r>
          </w:p>
        </w:tc>
        <w:tc>
          <w:tcPr>
            <w:tcW w:w="1645" w:type="pct"/>
            <w:tcBorders>
              <w:top w:val="single" w:sz="4" w:space="0" w:color="auto"/>
              <w:left w:val="single" w:sz="4" w:space="0" w:color="auto"/>
              <w:bottom w:val="single" w:sz="4" w:space="0" w:color="auto"/>
              <w:right w:val="single" w:sz="4" w:space="0" w:color="auto"/>
            </w:tcBorders>
            <w:hideMark/>
          </w:tcPr>
          <w:p w14:paraId="25F7AAD6" w14:textId="669366D4" w:rsidR="00C06EFB" w:rsidRPr="00FF5A9F" w:rsidRDefault="00C06EFB" w:rsidP="007768DC">
            <w:pPr>
              <w:pStyle w:val="ListParagraph"/>
              <w:ind w:left="0"/>
              <w:jc w:val="center"/>
              <w:rPr>
                <w:rFonts w:ascii="Book Antiqua" w:hAnsi="Book Antiqua" w:cstheme="majorBidi"/>
                <w:b/>
                <w:bCs/>
                <w:sz w:val="20"/>
                <w:szCs w:val="20"/>
              </w:rPr>
            </w:pPr>
            <w:r w:rsidRPr="00FF5A9F">
              <w:rPr>
                <w:rFonts w:ascii="Book Antiqua" w:hAnsi="Book Antiqua" w:cstheme="majorBidi"/>
                <w:b/>
                <w:bCs/>
                <w:sz w:val="20"/>
                <w:szCs w:val="20"/>
              </w:rPr>
              <w:t xml:space="preserve">Probability </w:t>
            </w:r>
          </w:p>
        </w:tc>
        <w:tc>
          <w:tcPr>
            <w:tcW w:w="1621" w:type="pct"/>
            <w:tcBorders>
              <w:top w:val="single" w:sz="4" w:space="0" w:color="auto"/>
              <w:left w:val="single" w:sz="4" w:space="0" w:color="auto"/>
              <w:bottom w:val="single" w:sz="4" w:space="0" w:color="auto"/>
              <w:right w:val="single" w:sz="4" w:space="0" w:color="auto"/>
            </w:tcBorders>
            <w:hideMark/>
          </w:tcPr>
          <w:p w14:paraId="2961A857" w14:textId="44C2B1A0" w:rsidR="00C06EFB" w:rsidRPr="00FF5A9F" w:rsidRDefault="00004409" w:rsidP="007768DC">
            <w:pPr>
              <w:pStyle w:val="ListParagraph"/>
              <w:ind w:left="0"/>
              <w:jc w:val="center"/>
              <w:rPr>
                <w:rFonts w:ascii="Book Antiqua" w:hAnsi="Book Antiqua" w:cstheme="majorBidi"/>
                <w:b/>
                <w:bCs/>
                <w:sz w:val="20"/>
                <w:szCs w:val="20"/>
              </w:rPr>
            </w:pPr>
            <w:r w:rsidRPr="00004409">
              <w:rPr>
                <w:rFonts w:ascii="Book Antiqua" w:hAnsi="Book Antiqua" w:cstheme="majorBidi"/>
                <w:b/>
                <w:bCs/>
                <w:sz w:val="20"/>
                <w:szCs w:val="20"/>
              </w:rPr>
              <w:t>Information</w:t>
            </w:r>
          </w:p>
        </w:tc>
      </w:tr>
      <w:tr w:rsidR="00C06EFB" w:rsidRPr="00FF5A9F" w14:paraId="6C92C87E" w14:textId="77777777" w:rsidTr="00004409">
        <w:tc>
          <w:tcPr>
            <w:tcW w:w="1735" w:type="pct"/>
            <w:tcBorders>
              <w:top w:val="single" w:sz="4" w:space="0" w:color="auto"/>
              <w:left w:val="single" w:sz="4" w:space="0" w:color="auto"/>
              <w:bottom w:val="single" w:sz="4" w:space="0" w:color="auto"/>
              <w:right w:val="single" w:sz="4" w:space="0" w:color="auto"/>
            </w:tcBorders>
            <w:vAlign w:val="bottom"/>
            <w:hideMark/>
          </w:tcPr>
          <w:p w14:paraId="3496E384" w14:textId="6D0C46DF" w:rsidR="00C06EFB" w:rsidRPr="00FF5A9F" w:rsidRDefault="00004409" w:rsidP="007768DC">
            <w:pPr>
              <w:autoSpaceDE w:val="0"/>
              <w:autoSpaceDN w:val="0"/>
              <w:adjustRightInd w:val="0"/>
              <w:rPr>
                <w:rFonts w:ascii="Book Antiqua" w:hAnsi="Book Antiqua" w:cstheme="majorBidi"/>
                <w:color w:val="000000"/>
                <w:sz w:val="20"/>
                <w:szCs w:val="20"/>
              </w:rPr>
            </w:pPr>
            <w:r w:rsidRPr="00004409">
              <w:rPr>
                <w:rFonts w:ascii="Book Antiqua" w:hAnsi="Book Antiqua" w:cstheme="majorBidi"/>
                <w:color w:val="000000"/>
                <w:sz w:val="20"/>
                <w:szCs w:val="20"/>
              </w:rPr>
              <w:t>Normality</w:t>
            </w:r>
          </w:p>
        </w:tc>
        <w:tc>
          <w:tcPr>
            <w:tcW w:w="1645" w:type="pct"/>
            <w:tcBorders>
              <w:top w:val="single" w:sz="4" w:space="0" w:color="auto"/>
              <w:left w:val="single" w:sz="4" w:space="0" w:color="auto"/>
              <w:bottom w:val="single" w:sz="4" w:space="0" w:color="auto"/>
              <w:right w:val="single" w:sz="4" w:space="0" w:color="auto"/>
            </w:tcBorders>
            <w:vAlign w:val="bottom"/>
          </w:tcPr>
          <w:p w14:paraId="1BA31952" w14:textId="7AB22808" w:rsidR="00C06EFB" w:rsidRPr="00FF5A9F" w:rsidRDefault="00C9428F" w:rsidP="00C94F25">
            <w:pPr>
              <w:autoSpaceDE w:val="0"/>
              <w:autoSpaceDN w:val="0"/>
              <w:adjustRightInd w:val="0"/>
              <w:ind w:right="10"/>
              <w:jc w:val="center"/>
              <w:rPr>
                <w:rFonts w:ascii="Book Antiqua" w:hAnsi="Book Antiqua" w:cstheme="majorBidi"/>
                <w:color w:val="000000"/>
                <w:sz w:val="20"/>
                <w:szCs w:val="20"/>
              </w:rPr>
            </w:pPr>
            <w:r w:rsidRPr="00FF5A9F">
              <w:rPr>
                <w:rFonts w:ascii="Book Antiqua" w:hAnsi="Book Antiqua" w:cstheme="majorBidi"/>
                <w:sz w:val="20"/>
                <w:szCs w:val="20"/>
                <w:lang w:val="id-ID"/>
              </w:rPr>
              <w:t>0,383464</w:t>
            </w:r>
          </w:p>
        </w:tc>
        <w:tc>
          <w:tcPr>
            <w:tcW w:w="1621" w:type="pct"/>
            <w:tcBorders>
              <w:top w:val="single" w:sz="4" w:space="0" w:color="auto"/>
              <w:left w:val="single" w:sz="4" w:space="0" w:color="auto"/>
              <w:bottom w:val="single" w:sz="4" w:space="0" w:color="auto"/>
              <w:right w:val="single" w:sz="4" w:space="0" w:color="auto"/>
            </w:tcBorders>
            <w:vAlign w:val="bottom"/>
          </w:tcPr>
          <w:p w14:paraId="5B0F1483" w14:textId="769BE24E" w:rsidR="00C06EFB" w:rsidRPr="00FF5A9F" w:rsidRDefault="00004409" w:rsidP="00C94F25">
            <w:pPr>
              <w:autoSpaceDE w:val="0"/>
              <w:autoSpaceDN w:val="0"/>
              <w:adjustRightInd w:val="0"/>
              <w:ind w:right="10"/>
              <w:jc w:val="center"/>
              <w:rPr>
                <w:rFonts w:ascii="Book Antiqua" w:hAnsi="Book Antiqua" w:cstheme="majorBidi"/>
                <w:color w:val="000000"/>
                <w:sz w:val="20"/>
                <w:szCs w:val="20"/>
              </w:rPr>
            </w:pPr>
            <w:bookmarkStart w:id="14" w:name="OLE_LINK1"/>
            <w:r w:rsidRPr="00004409">
              <w:rPr>
                <w:rFonts w:ascii="Book Antiqua" w:hAnsi="Book Antiqua" w:cstheme="majorBidi"/>
                <w:color w:val="000000"/>
                <w:sz w:val="20"/>
                <w:szCs w:val="20"/>
              </w:rPr>
              <w:t>Get away</w:t>
            </w:r>
            <w:bookmarkEnd w:id="14"/>
          </w:p>
        </w:tc>
      </w:tr>
      <w:tr w:rsidR="00C06EFB" w:rsidRPr="00FF5A9F" w14:paraId="54340F0A" w14:textId="77777777" w:rsidTr="00004409">
        <w:tc>
          <w:tcPr>
            <w:tcW w:w="1735" w:type="pct"/>
            <w:tcBorders>
              <w:top w:val="single" w:sz="4" w:space="0" w:color="auto"/>
              <w:left w:val="single" w:sz="4" w:space="0" w:color="auto"/>
              <w:bottom w:val="single" w:sz="4" w:space="0" w:color="auto"/>
              <w:right w:val="single" w:sz="4" w:space="0" w:color="auto"/>
            </w:tcBorders>
            <w:vAlign w:val="bottom"/>
            <w:hideMark/>
          </w:tcPr>
          <w:p w14:paraId="562280FC" w14:textId="79776D60" w:rsidR="00C06EFB" w:rsidRPr="00FF5A9F" w:rsidRDefault="00004409" w:rsidP="007768DC">
            <w:pPr>
              <w:autoSpaceDE w:val="0"/>
              <w:autoSpaceDN w:val="0"/>
              <w:adjustRightInd w:val="0"/>
              <w:rPr>
                <w:rFonts w:ascii="Book Antiqua" w:hAnsi="Book Antiqua" w:cstheme="majorBidi"/>
                <w:color w:val="000000"/>
                <w:sz w:val="20"/>
                <w:szCs w:val="20"/>
              </w:rPr>
            </w:pPr>
            <w:r w:rsidRPr="00004409">
              <w:rPr>
                <w:rFonts w:ascii="Book Antiqua" w:hAnsi="Book Antiqua" w:cstheme="majorBidi"/>
                <w:color w:val="000000"/>
                <w:sz w:val="20"/>
                <w:szCs w:val="20"/>
              </w:rPr>
              <w:t>Heteroscedasticity</w:t>
            </w:r>
          </w:p>
        </w:tc>
        <w:tc>
          <w:tcPr>
            <w:tcW w:w="1645" w:type="pct"/>
            <w:tcBorders>
              <w:top w:val="single" w:sz="4" w:space="0" w:color="auto"/>
              <w:left w:val="single" w:sz="4" w:space="0" w:color="auto"/>
              <w:bottom w:val="single" w:sz="4" w:space="0" w:color="auto"/>
              <w:right w:val="single" w:sz="4" w:space="0" w:color="auto"/>
            </w:tcBorders>
            <w:vAlign w:val="bottom"/>
          </w:tcPr>
          <w:p w14:paraId="04BB1D17" w14:textId="162AE933" w:rsidR="00C06EFB" w:rsidRPr="00FF5A9F" w:rsidRDefault="00C9428F" w:rsidP="00C94F25">
            <w:pPr>
              <w:autoSpaceDE w:val="0"/>
              <w:autoSpaceDN w:val="0"/>
              <w:adjustRightInd w:val="0"/>
              <w:ind w:right="10"/>
              <w:jc w:val="center"/>
              <w:rPr>
                <w:rFonts w:ascii="Book Antiqua" w:hAnsi="Book Antiqua" w:cstheme="majorBidi"/>
                <w:color w:val="000000"/>
                <w:sz w:val="20"/>
                <w:szCs w:val="20"/>
              </w:rPr>
            </w:pPr>
            <w:r w:rsidRPr="00FF5A9F">
              <w:rPr>
                <w:rFonts w:ascii="Book Antiqua" w:hAnsi="Book Antiqua" w:cstheme="majorBidi"/>
                <w:color w:val="000000"/>
                <w:sz w:val="20"/>
                <w:szCs w:val="20"/>
              </w:rPr>
              <w:t>0.4022</w:t>
            </w:r>
          </w:p>
        </w:tc>
        <w:tc>
          <w:tcPr>
            <w:tcW w:w="1621" w:type="pct"/>
            <w:tcBorders>
              <w:top w:val="single" w:sz="4" w:space="0" w:color="auto"/>
              <w:left w:val="single" w:sz="4" w:space="0" w:color="auto"/>
              <w:bottom w:val="single" w:sz="4" w:space="0" w:color="auto"/>
              <w:right w:val="single" w:sz="4" w:space="0" w:color="auto"/>
            </w:tcBorders>
            <w:vAlign w:val="bottom"/>
          </w:tcPr>
          <w:p w14:paraId="1957B128" w14:textId="65988B8B" w:rsidR="00C06EFB" w:rsidRPr="00FF5A9F" w:rsidRDefault="00004409" w:rsidP="00C94F25">
            <w:pPr>
              <w:autoSpaceDE w:val="0"/>
              <w:autoSpaceDN w:val="0"/>
              <w:adjustRightInd w:val="0"/>
              <w:ind w:right="10"/>
              <w:jc w:val="center"/>
              <w:rPr>
                <w:rFonts w:ascii="Book Antiqua" w:hAnsi="Book Antiqua" w:cstheme="majorBidi"/>
                <w:color w:val="000000"/>
                <w:sz w:val="20"/>
                <w:szCs w:val="20"/>
              </w:rPr>
            </w:pPr>
            <w:r>
              <w:rPr>
                <w:rFonts w:ascii="Book Antiqua" w:hAnsi="Book Antiqua" w:cstheme="majorBidi"/>
                <w:color w:val="000000"/>
                <w:sz w:val="20"/>
                <w:szCs w:val="20"/>
              </w:rPr>
              <w:t>Get away</w:t>
            </w:r>
          </w:p>
        </w:tc>
      </w:tr>
      <w:tr w:rsidR="00C06EFB" w:rsidRPr="00FF5A9F" w14:paraId="25B5BF93" w14:textId="77777777" w:rsidTr="00004409">
        <w:tc>
          <w:tcPr>
            <w:tcW w:w="1735" w:type="pct"/>
            <w:tcBorders>
              <w:top w:val="single" w:sz="4" w:space="0" w:color="auto"/>
              <w:left w:val="single" w:sz="4" w:space="0" w:color="auto"/>
              <w:bottom w:val="single" w:sz="4" w:space="0" w:color="auto"/>
              <w:right w:val="single" w:sz="4" w:space="0" w:color="auto"/>
            </w:tcBorders>
            <w:vAlign w:val="bottom"/>
          </w:tcPr>
          <w:p w14:paraId="02AFC76A" w14:textId="223B8111" w:rsidR="00C06EFB" w:rsidRPr="00FF5A9F" w:rsidRDefault="00004409" w:rsidP="007768DC">
            <w:pPr>
              <w:autoSpaceDE w:val="0"/>
              <w:autoSpaceDN w:val="0"/>
              <w:adjustRightInd w:val="0"/>
              <w:rPr>
                <w:rFonts w:ascii="Book Antiqua" w:hAnsi="Book Antiqua" w:cstheme="majorBidi"/>
                <w:color w:val="000000"/>
                <w:sz w:val="20"/>
                <w:szCs w:val="20"/>
              </w:rPr>
            </w:pPr>
            <w:r w:rsidRPr="00004409">
              <w:rPr>
                <w:rFonts w:ascii="Book Antiqua" w:hAnsi="Book Antiqua" w:cstheme="majorBidi"/>
                <w:color w:val="000000"/>
                <w:sz w:val="20"/>
                <w:szCs w:val="20"/>
              </w:rPr>
              <w:t>Autocorrelation</w:t>
            </w:r>
          </w:p>
        </w:tc>
        <w:tc>
          <w:tcPr>
            <w:tcW w:w="1645" w:type="pct"/>
            <w:tcBorders>
              <w:top w:val="single" w:sz="4" w:space="0" w:color="auto"/>
              <w:left w:val="single" w:sz="4" w:space="0" w:color="auto"/>
              <w:bottom w:val="single" w:sz="4" w:space="0" w:color="auto"/>
              <w:right w:val="single" w:sz="4" w:space="0" w:color="auto"/>
            </w:tcBorders>
            <w:vAlign w:val="bottom"/>
          </w:tcPr>
          <w:p w14:paraId="2C81F18B" w14:textId="4369A748" w:rsidR="00C06EFB" w:rsidRPr="00FF5A9F" w:rsidRDefault="00C9428F" w:rsidP="00C94F25">
            <w:pPr>
              <w:autoSpaceDE w:val="0"/>
              <w:autoSpaceDN w:val="0"/>
              <w:adjustRightInd w:val="0"/>
              <w:ind w:right="10"/>
              <w:jc w:val="center"/>
              <w:rPr>
                <w:rFonts w:ascii="Book Antiqua" w:hAnsi="Book Antiqua" w:cstheme="majorBidi"/>
                <w:color w:val="000000"/>
                <w:sz w:val="20"/>
                <w:szCs w:val="20"/>
              </w:rPr>
            </w:pPr>
            <w:r w:rsidRPr="00FF5A9F">
              <w:rPr>
                <w:rFonts w:ascii="Book Antiqua" w:hAnsi="Book Antiqua" w:cstheme="majorBidi"/>
                <w:color w:val="000000"/>
                <w:sz w:val="20"/>
                <w:szCs w:val="20"/>
              </w:rPr>
              <w:t>0.0514</w:t>
            </w:r>
          </w:p>
        </w:tc>
        <w:tc>
          <w:tcPr>
            <w:tcW w:w="1621" w:type="pct"/>
            <w:tcBorders>
              <w:top w:val="single" w:sz="4" w:space="0" w:color="auto"/>
              <w:left w:val="single" w:sz="4" w:space="0" w:color="auto"/>
              <w:bottom w:val="single" w:sz="4" w:space="0" w:color="auto"/>
              <w:right w:val="single" w:sz="4" w:space="0" w:color="auto"/>
            </w:tcBorders>
            <w:vAlign w:val="bottom"/>
          </w:tcPr>
          <w:p w14:paraId="101C38A5" w14:textId="779A08EC" w:rsidR="00C06EFB" w:rsidRPr="00FF5A9F" w:rsidRDefault="00004409" w:rsidP="00C94F25">
            <w:pPr>
              <w:autoSpaceDE w:val="0"/>
              <w:autoSpaceDN w:val="0"/>
              <w:adjustRightInd w:val="0"/>
              <w:ind w:right="10"/>
              <w:jc w:val="center"/>
              <w:rPr>
                <w:rFonts w:ascii="Book Antiqua" w:hAnsi="Book Antiqua" w:cstheme="majorBidi"/>
                <w:color w:val="000000"/>
                <w:sz w:val="20"/>
                <w:szCs w:val="20"/>
              </w:rPr>
            </w:pPr>
            <w:r>
              <w:rPr>
                <w:rFonts w:ascii="Book Antiqua" w:hAnsi="Book Antiqua" w:cstheme="majorBidi"/>
                <w:color w:val="000000"/>
                <w:sz w:val="20"/>
                <w:szCs w:val="20"/>
              </w:rPr>
              <w:t>Get away</w:t>
            </w:r>
          </w:p>
        </w:tc>
      </w:tr>
    </w:tbl>
    <w:p w14:paraId="168C2819" w14:textId="77777777" w:rsidR="00B81803" w:rsidRPr="00FF5A9F" w:rsidRDefault="00B81803" w:rsidP="00177ED7">
      <w:pPr>
        <w:ind w:firstLine="720"/>
        <w:jc w:val="both"/>
        <w:rPr>
          <w:rFonts w:ascii="Book Antiqua" w:hAnsi="Book Antiqua"/>
        </w:rPr>
      </w:pPr>
    </w:p>
    <w:p w14:paraId="6CF214EB" w14:textId="224AD09A" w:rsidR="00533188" w:rsidRDefault="00004409" w:rsidP="00CE7686">
      <w:pPr>
        <w:ind w:firstLine="720"/>
        <w:jc w:val="both"/>
        <w:rPr>
          <w:rFonts w:ascii="Book Antiqua" w:hAnsi="Book Antiqua"/>
        </w:rPr>
      </w:pPr>
      <w:r w:rsidRPr="00004409">
        <w:rPr>
          <w:rFonts w:ascii="Book Antiqua" w:hAnsi="Book Antiqua"/>
        </w:rPr>
        <w:t xml:space="preserve">Based on table 5 above, it is known that the model in this study has passed the normality, heteroscedasticity and autocorrelation tests. These three tests are instruments that will test error </w:t>
      </w:r>
      <w:proofErr w:type="spellStart"/>
      <w:r w:rsidRPr="00004409">
        <w:rPr>
          <w:rFonts w:ascii="Book Antiqua" w:hAnsi="Book Antiqua"/>
        </w:rPr>
        <w:t>behavior</w:t>
      </w:r>
      <w:proofErr w:type="spellEnd"/>
      <w:r w:rsidRPr="00004409">
        <w:rPr>
          <w:rFonts w:ascii="Book Antiqua" w:hAnsi="Book Antiqua"/>
        </w:rPr>
        <w:t xml:space="preserve"> in the research model. We expect that the error </w:t>
      </w:r>
      <w:proofErr w:type="spellStart"/>
      <w:r w:rsidRPr="00004409">
        <w:rPr>
          <w:rFonts w:ascii="Book Antiqua" w:hAnsi="Book Antiqua"/>
        </w:rPr>
        <w:t>behavior</w:t>
      </w:r>
      <w:proofErr w:type="spellEnd"/>
      <w:r w:rsidRPr="00004409">
        <w:rPr>
          <w:rFonts w:ascii="Book Antiqua" w:hAnsi="Book Antiqua"/>
        </w:rPr>
        <w:t xml:space="preserve"> in this study is normal, has different variances and there is no serial correlation. In other words, the error in the model formed by the researcher is said to be normal, the error variance is not homogeneous and the error in each period is not related to each other.</w:t>
      </w:r>
    </w:p>
    <w:p w14:paraId="443DE075" w14:textId="52EBB85E" w:rsidR="00554682" w:rsidRDefault="00004409" w:rsidP="00CE7686">
      <w:pPr>
        <w:ind w:firstLine="720"/>
        <w:jc w:val="both"/>
        <w:rPr>
          <w:rFonts w:ascii="Book Antiqua" w:hAnsi="Book Antiqua"/>
        </w:rPr>
      </w:pPr>
      <w:r w:rsidRPr="00004409">
        <w:rPr>
          <w:rFonts w:ascii="Book Antiqua" w:hAnsi="Book Antiqua"/>
        </w:rPr>
        <w:t>Meanwhile, the results of the last classic assumption test, namely the multicollinearity test, can be explained in the table below</w:t>
      </w:r>
      <w:r w:rsidR="00BE343F">
        <w:rPr>
          <w:rFonts w:ascii="Book Antiqua" w:hAnsi="Book Antiqua"/>
        </w:rPr>
        <w:t>:</w:t>
      </w:r>
    </w:p>
    <w:p w14:paraId="20BCBE59" w14:textId="77777777" w:rsidR="00004409" w:rsidRDefault="00004409" w:rsidP="00CE7686">
      <w:pPr>
        <w:ind w:firstLine="720"/>
        <w:jc w:val="both"/>
        <w:rPr>
          <w:rFonts w:ascii="Book Antiqua" w:hAnsi="Book Antiqua"/>
        </w:rPr>
      </w:pPr>
    </w:p>
    <w:p w14:paraId="44E8CC91" w14:textId="5D18C614" w:rsidR="00BE343F" w:rsidRPr="00713095" w:rsidRDefault="00004409" w:rsidP="00864F77">
      <w:pPr>
        <w:ind w:firstLine="720"/>
        <w:jc w:val="center"/>
        <w:rPr>
          <w:rFonts w:ascii="Book Antiqua" w:hAnsi="Book Antiqua"/>
          <w:sz w:val="20"/>
          <w:szCs w:val="20"/>
        </w:rPr>
      </w:pPr>
      <w:r w:rsidRPr="00004409">
        <w:rPr>
          <w:rFonts w:ascii="Book Antiqua" w:hAnsi="Book Antiqua"/>
          <w:b/>
          <w:bCs/>
        </w:rPr>
        <w:t>Table 5. The results of the classic multicollinearity assumption test</w:t>
      </w:r>
      <w:r w:rsidR="00DB4DFB" w:rsidRPr="00713095">
        <w:rPr>
          <w:rFonts w:ascii="Book Antiqua" w:hAnsi="Book Antiqua"/>
          <w:sz w:val="20"/>
          <w:szCs w:val="20"/>
        </w:rPr>
        <w:t>.</w:t>
      </w:r>
    </w:p>
    <w:tbl>
      <w:tblPr>
        <w:tblStyle w:val="TableGrid"/>
        <w:tblW w:w="5000" w:type="pct"/>
        <w:tblLook w:val="04A0" w:firstRow="1" w:lastRow="0" w:firstColumn="1" w:lastColumn="0" w:noHBand="0" w:noVBand="1"/>
      </w:tblPr>
      <w:tblGrid>
        <w:gridCol w:w="2214"/>
        <w:gridCol w:w="3141"/>
        <w:gridCol w:w="3139"/>
      </w:tblGrid>
      <w:tr w:rsidR="00C94F25" w:rsidRPr="00713095" w14:paraId="6B5A10BB" w14:textId="52211F22" w:rsidTr="00004409">
        <w:tc>
          <w:tcPr>
            <w:tcW w:w="1303" w:type="pct"/>
          </w:tcPr>
          <w:p w14:paraId="0B3B2370" w14:textId="20BED70D" w:rsidR="00C94F25" w:rsidRPr="00713095" w:rsidRDefault="00004409" w:rsidP="007768DC">
            <w:pPr>
              <w:pStyle w:val="ListParagraph"/>
              <w:ind w:left="0"/>
              <w:jc w:val="center"/>
              <w:rPr>
                <w:rFonts w:ascii="Book Antiqua" w:hAnsi="Book Antiqua" w:cstheme="majorBidi"/>
                <w:b/>
                <w:bCs/>
                <w:sz w:val="20"/>
                <w:szCs w:val="20"/>
              </w:rPr>
            </w:pPr>
            <w:r w:rsidRPr="00713095">
              <w:rPr>
                <w:rFonts w:ascii="Book Antiqua" w:hAnsi="Book Antiqua" w:cstheme="majorBidi"/>
                <w:b/>
                <w:bCs/>
                <w:sz w:val="20"/>
                <w:szCs w:val="20"/>
              </w:rPr>
              <w:t>Variable</w:t>
            </w:r>
          </w:p>
        </w:tc>
        <w:tc>
          <w:tcPr>
            <w:tcW w:w="1849" w:type="pct"/>
          </w:tcPr>
          <w:p w14:paraId="76CB2BBE" w14:textId="77777777" w:rsidR="00C94F25" w:rsidRPr="00713095" w:rsidRDefault="00C94F25" w:rsidP="007768DC">
            <w:pPr>
              <w:pStyle w:val="ListParagraph"/>
              <w:ind w:left="0"/>
              <w:jc w:val="center"/>
              <w:rPr>
                <w:rFonts w:ascii="Book Antiqua" w:hAnsi="Book Antiqua" w:cstheme="majorBidi"/>
                <w:b/>
                <w:bCs/>
                <w:sz w:val="20"/>
                <w:szCs w:val="20"/>
              </w:rPr>
            </w:pPr>
            <w:r w:rsidRPr="00713095">
              <w:rPr>
                <w:rFonts w:ascii="Book Antiqua" w:hAnsi="Book Antiqua" w:cstheme="majorBidi"/>
                <w:b/>
                <w:bCs/>
                <w:sz w:val="20"/>
                <w:szCs w:val="20"/>
              </w:rPr>
              <w:t>VIF</w:t>
            </w:r>
          </w:p>
        </w:tc>
        <w:tc>
          <w:tcPr>
            <w:tcW w:w="1848" w:type="pct"/>
          </w:tcPr>
          <w:p w14:paraId="5BB44A65" w14:textId="4B0EB879" w:rsidR="00C94F25" w:rsidRPr="00713095" w:rsidRDefault="00004409" w:rsidP="007768DC">
            <w:pPr>
              <w:pStyle w:val="ListParagraph"/>
              <w:ind w:left="0"/>
              <w:jc w:val="center"/>
              <w:rPr>
                <w:rFonts w:ascii="Book Antiqua" w:hAnsi="Book Antiqua" w:cstheme="majorBidi"/>
                <w:b/>
                <w:bCs/>
                <w:sz w:val="20"/>
                <w:szCs w:val="20"/>
              </w:rPr>
            </w:pPr>
            <w:r w:rsidRPr="00004409">
              <w:rPr>
                <w:rFonts w:ascii="Book Antiqua" w:hAnsi="Book Antiqua" w:cstheme="majorBidi"/>
                <w:b/>
                <w:bCs/>
                <w:sz w:val="20"/>
                <w:szCs w:val="20"/>
              </w:rPr>
              <w:t>Information</w:t>
            </w:r>
            <w:r w:rsidR="00C94F25">
              <w:rPr>
                <w:rFonts w:ascii="Book Antiqua" w:hAnsi="Book Antiqua" w:cstheme="majorBidi"/>
                <w:b/>
                <w:bCs/>
                <w:sz w:val="20"/>
                <w:szCs w:val="20"/>
              </w:rPr>
              <w:t xml:space="preserve"> </w:t>
            </w:r>
          </w:p>
        </w:tc>
      </w:tr>
      <w:tr w:rsidR="00004409" w:rsidRPr="00713095" w14:paraId="2624FA4B" w14:textId="2E96E5E0" w:rsidTr="00004409">
        <w:tc>
          <w:tcPr>
            <w:tcW w:w="1303" w:type="pct"/>
          </w:tcPr>
          <w:p w14:paraId="7940C7BF" w14:textId="77777777" w:rsidR="00004409" w:rsidRPr="00713095" w:rsidRDefault="00004409" w:rsidP="00004409">
            <w:pPr>
              <w:pStyle w:val="ListParagraph"/>
              <w:ind w:left="0"/>
              <w:rPr>
                <w:rFonts w:ascii="Book Antiqua" w:hAnsi="Book Antiqua" w:cstheme="majorBidi"/>
                <w:sz w:val="20"/>
                <w:szCs w:val="20"/>
              </w:rPr>
            </w:pPr>
            <w:r w:rsidRPr="00713095">
              <w:rPr>
                <w:rFonts w:ascii="Book Antiqua" w:hAnsi="Book Antiqua" w:cstheme="majorBidi"/>
                <w:sz w:val="20"/>
                <w:szCs w:val="20"/>
              </w:rPr>
              <w:t>IC</w:t>
            </w:r>
          </w:p>
        </w:tc>
        <w:tc>
          <w:tcPr>
            <w:tcW w:w="1849" w:type="pct"/>
            <w:vAlign w:val="bottom"/>
          </w:tcPr>
          <w:p w14:paraId="453BE74B" w14:textId="77777777" w:rsidR="00004409" w:rsidRPr="00713095" w:rsidRDefault="00004409" w:rsidP="00004409">
            <w:pPr>
              <w:autoSpaceDE w:val="0"/>
              <w:autoSpaceDN w:val="0"/>
              <w:adjustRightInd w:val="0"/>
              <w:jc w:val="center"/>
              <w:rPr>
                <w:rFonts w:ascii="Book Antiqua" w:hAnsi="Book Antiqua" w:cstheme="majorBidi"/>
                <w:color w:val="000000"/>
                <w:sz w:val="20"/>
                <w:szCs w:val="20"/>
              </w:rPr>
            </w:pPr>
            <w:r w:rsidRPr="00713095">
              <w:rPr>
                <w:rFonts w:ascii="Book Antiqua" w:hAnsi="Book Antiqua" w:cstheme="majorBidi"/>
                <w:color w:val="000000"/>
                <w:sz w:val="20"/>
                <w:szCs w:val="20"/>
              </w:rPr>
              <w:t> 1.067762</w:t>
            </w:r>
          </w:p>
        </w:tc>
        <w:tc>
          <w:tcPr>
            <w:tcW w:w="1848" w:type="pct"/>
          </w:tcPr>
          <w:p w14:paraId="6DFD8C67" w14:textId="44F9BE8A" w:rsidR="00004409" w:rsidRPr="00713095" w:rsidRDefault="00004409" w:rsidP="00004409">
            <w:pPr>
              <w:autoSpaceDE w:val="0"/>
              <w:autoSpaceDN w:val="0"/>
              <w:adjustRightInd w:val="0"/>
              <w:jc w:val="center"/>
              <w:rPr>
                <w:rFonts w:ascii="Book Antiqua" w:hAnsi="Book Antiqua" w:cstheme="majorBidi"/>
                <w:color w:val="000000"/>
                <w:sz w:val="20"/>
                <w:szCs w:val="20"/>
              </w:rPr>
            </w:pPr>
            <w:r w:rsidRPr="00467383">
              <w:rPr>
                <w:rFonts w:ascii="Book Antiqua" w:hAnsi="Book Antiqua" w:cstheme="majorBidi"/>
                <w:color w:val="000000"/>
                <w:sz w:val="20"/>
                <w:szCs w:val="20"/>
              </w:rPr>
              <w:t>Get away</w:t>
            </w:r>
          </w:p>
        </w:tc>
      </w:tr>
      <w:tr w:rsidR="00004409" w:rsidRPr="00713095" w14:paraId="67A8E104" w14:textId="330036F1" w:rsidTr="00004409">
        <w:tc>
          <w:tcPr>
            <w:tcW w:w="1303" w:type="pct"/>
          </w:tcPr>
          <w:p w14:paraId="73A2E51C" w14:textId="77777777" w:rsidR="00004409" w:rsidRPr="00713095" w:rsidRDefault="00004409" w:rsidP="00004409">
            <w:pPr>
              <w:pStyle w:val="ListParagraph"/>
              <w:ind w:left="0"/>
              <w:rPr>
                <w:rFonts w:ascii="Book Antiqua" w:hAnsi="Book Antiqua" w:cstheme="majorBidi"/>
                <w:sz w:val="20"/>
                <w:szCs w:val="20"/>
              </w:rPr>
            </w:pPr>
            <w:r w:rsidRPr="00713095">
              <w:rPr>
                <w:rFonts w:ascii="Book Antiqua" w:hAnsi="Book Antiqua" w:cstheme="majorBidi"/>
                <w:sz w:val="20"/>
                <w:szCs w:val="20"/>
              </w:rPr>
              <w:t>GCG</w:t>
            </w:r>
          </w:p>
        </w:tc>
        <w:tc>
          <w:tcPr>
            <w:tcW w:w="1849" w:type="pct"/>
            <w:vAlign w:val="bottom"/>
          </w:tcPr>
          <w:p w14:paraId="4B3C6985" w14:textId="77777777" w:rsidR="00004409" w:rsidRPr="00713095" w:rsidRDefault="00004409" w:rsidP="00004409">
            <w:pPr>
              <w:autoSpaceDE w:val="0"/>
              <w:autoSpaceDN w:val="0"/>
              <w:adjustRightInd w:val="0"/>
              <w:jc w:val="center"/>
              <w:rPr>
                <w:rFonts w:ascii="Book Antiqua" w:hAnsi="Book Antiqua" w:cstheme="majorBidi"/>
                <w:color w:val="000000"/>
                <w:sz w:val="20"/>
                <w:szCs w:val="20"/>
              </w:rPr>
            </w:pPr>
            <w:r w:rsidRPr="00713095">
              <w:rPr>
                <w:rFonts w:ascii="Book Antiqua" w:hAnsi="Book Antiqua" w:cstheme="majorBidi"/>
                <w:color w:val="000000"/>
                <w:sz w:val="20"/>
                <w:szCs w:val="20"/>
              </w:rPr>
              <w:t> 1.067762</w:t>
            </w:r>
          </w:p>
        </w:tc>
        <w:tc>
          <w:tcPr>
            <w:tcW w:w="1848" w:type="pct"/>
          </w:tcPr>
          <w:p w14:paraId="2A488834" w14:textId="3CAC50C9" w:rsidR="00004409" w:rsidRPr="00713095" w:rsidRDefault="00004409" w:rsidP="00004409">
            <w:pPr>
              <w:autoSpaceDE w:val="0"/>
              <w:autoSpaceDN w:val="0"/>
              <w:adjustRightInd w:val="0"/>
              <w:jc w:val="center"/>
              <w:rPr>
                <w:rFonts w:ascii="Book Antiqua" w:hAnsi="Book Antiqua" w:cstheme="majorBidi"/>
                <w:color w:val="000000"/>
                <w:sz w:val="20"/>
                <w:szCs w:val="20"/>
              </w:rPr>
            </w:pPr>
            <w:r w:rsidRPr="00467383">
              <w:rPr>
                <w:rFonts w:ascii="Book Antiqua" w:hAnsi="Book Antiqua" w:cstheme="majorBidi"/>
                <w:color w:val="000000"/>
                <w:sz w:val="20"/>
                <w:szCs w:val="20"/>
              </w:rPr>
              <w:t>Get away</w:t>
            </w:r>
          </w:p>
        </w:tc>
      </w:tr>
    </w:tbl>
    <w:p w14:paraId="57C8E032" w14:textId="77777777" w:rsidR="00336244" w:rsidRDefault="00336244" w:rsidP="00CE7686">
      <w:pPr>
        <w:jc w:val="both"/>
        <w:rPr>
          <w:rFonts w:ascii="Book Antiqua" w:hAnsi="Book Antiqua"/>
          <w:lang w:val="id-ID"/>
        </w:rPr>
      </w:pPr>
    </w:p>
    <w:p w14:paraId="3DAB16BD" w14:textId="6C509415" w:rsidR="00CE7686" w:rsidRPr="00CE7686" w:rsidRDefault="00004409" w:rsidP="00CE7686">
      <w:pPr>
        <w:jc w:val="both"/>
        <w:rPr>
          <w:rFonts w:ascii="Book Antiqua" w:hAnsi="Book Antiqua"/>
          <w:lang w:val="id-ID"/>
        </w:rPr>
      </w:pPr>
      <w:r w:rsidRPr="00004409">
        <w:rPr>
          <w:rFonts w:ascii="Book Antiqua" w:hAnsi="Book Antiqua"/>
          <w:lang w:val="id-ID"/>
        </w:rPr>
        <w:t>Multicollinearity test is a test used to determine the relationship between independent variables by looking at the VIF value, if the VIF value is &lt;10, then the model is declared to have no symptoms of multicollinearity. Based on the test results in table 4.8, it shows that the VIF value is 1.068 &lt;10 so that in this study there is no multicollinearity because the VIF value of each independent variable is less than 10</w:t>
      </w:r>
      <w:r w:rsidR="00CE7686" w:rsidRPr="00CE7686">
        <w:rPr>
          <w:rFonts w:ascii="Book Antiqua" w:hAnsi="Book Antiqua"/>
          <w:lang w:val="id-ID"/>
        </w:rPr>
        <w:t xml:space="preserve">. </w:t>
      </w:r>
    </w:p>
    <w:p w14:paraId="12A93322" w14:textId="1D02B506" w:rsidR="005F537B" w:rsidRDefault="00004409" w:rsidP="00177ED7">
      <w:pPr>
        <w:ind w:firstLine="720"/>
        <w:jc w:val="both"/>
        <w:rPr>
          <w:rFonts w:ascii="Book Antiqua" w:hAnsi="Book Antiqua"/>
        </w:rPr>
      </w:pPr>
      <w:r w:rsidRPr="00004409">
        <w:rPr>
          <w:rFonts w:ascii="Book Antiqua" w:hAnsi="Book Antiqua"/>
        </w:rPr>
        <w:t>If the classical assumption test stage has been fulfilled then the results of the research model regression can be accounted for. Based on the search results using the panel data regression method, we found results that can be explained in the following table:</w:t>
      </w:r>
    </w:p>
    <w:p w14:paraId="0BE77077" w14:textId="77777777" w:rsidR="00004409" w:rsidRDefault="00004409" w:rsidP="00177ED7">
      <w:pPr>
        <w:ind w:firstLine="720"/>
        <w:jc w:val="both"/>
        <w:rPr>
          <w:rFonts w:ascii="Book Antiqua" w:hAnsi="Book Antiqua"/>
        </w:rPr>
      </w:pPr>
    </w:p>
    <w:p w14:paraId="03D10C26" w14:textId="47B605CF" w:rsidR="00BD72DD" w:rsidRPr="00713095" w:rsidRDefault="00004409" w:rsidP="00BD72DD">
      <w:pPr>
        <w:ind w:firstLine="720"/>
        <w:jc w:val="center"/>
        <w:rPr>
          <w:rFonts w:ascii="Book Antiqua" w:hAnsi="Book Antiqua"/>
        </w:rPr>
      </w:pPr>
      <w:r w:rsidRPr="00004409">
        <w:rPr>
          <w:rFonts w:ascii="Book Antiqua" w:hAnsi="Book Antiqua"/>
          <w:b/>
          <w:bCs/>
        </w:rPr>
        <w:t>Table 6. Panel data regression results</w:t>
      </w:r>
    </w:p>
    <w:tbl>
      <w:tblPr>
        <w:tblStyle w:val="TableGrid"/>
        <w:tblW w:w="5000" w:type="pct"/>
        <w:tblLook w:val="04A0" w:firstRow="1" w:lastRow="0" w:firstColumn="1" w:lastColumn="0" w:noHBand="0" w:noVBand="1"/>
      </w:tblPr>
      <w:tblGrid>
        <w:gridCol w:w="2947"/>
        <w:gridCol w:w="2795"/>
        <w:gridCol w:w="2752"/>
      </w:tblGrid>
      <w:tr w:rsidR="00BD72DD" w:rsidRPr="00C94F25" w14:paraId="7BDC5C9F" w14:textId="77777777" w:rsidTr="00004409">
        <w:tc>
          <w:tcPr>
            <w:tcW w:w="1735" w:type="pct"/>
            <w:tcBorders>
              <w:top w:val="single" w:sz="4" w:space="0" w:color="auto"/>
              <w:left w:val="single" w:sz="4" w:space="0" w:color="auto"/>
              <w:bottom w:val="single" w:sz="4" w:space="0" w:color="auto"/>
              <w:right w:val="single" w:sz="4" w:space="0" w:color="auto"/>
            </w:tcBorders>
            <w:hideMark/>
          </w:tcPr>
          <w:p w14:paraId="63D0A013" w14:textId="69FAC70D" w:rsidR="00BD72DD" w:rsidRPr="00C94F25" w:rsidRDefault="00004409">
            <w:pPr>
              <w:pStyle w:val="ListParagraph"/>
              <w:ind w:left="0"/>
              <w:jc w:val="center"/>
              <w:rPr>
                <w:rFonts w:ascii="Book Antiqua" w:hAnsi="Book Antiqua" w:cstheme="majorBidi"/>
                <w:b/>
                <w:bCs/>
                <w:sz w:val="20"/>
                <w:szCs w:val="20"/>
                <w:lang w:val="en-US" w:eastAsia="en-US"/>
              </w:rPr>
            </w:pPr>
            <w:r w:rsidRPr="00C94F25">
              <w:rPr>
                <w:rFonts w:ascii="Book Antiqua" w:hAnsi="Book Antiqua" w:cstheme="majorBidi"/>
                <w:b/>
                <w:bCs/>
                <w:sz w:val="20"/>
                <w:szCs w:val="20"/>
              </w:rPr>
              <w:t>Variable</w:t>
            </w:r>
          </w:p>
        </w:tc>
        <w:tc>
          <w:tcPr>
            <w:tcW w:w="1645" w:type="pct"/>
            <w:tcBorders>
              <w:top w:val="single" w:sz="4" w:space="0" w:color="auto"/>
              <w:left w:val="single" w:sz="4" w:space="0" w:color="auto"/>
              <w:bottom w:val="single" w:sz="4" w:space="0" w:color="auto"/>
              <w:right w:val="single" w:sz="4" w:space="0" w:color="auto"/>
            </w:tcBorders>
            <w:hideMark/>
          </w:tcPr>
          <w:p w14:paraId="5599E16D" w14:textId="467E546B" w:rsidR="00BD72DD" w:rsidRPr="00C94F25" w:rsidRDefault="00004409">
            <w:pPr>
              <w:pStyle w:val="ListParagraph"/>
              <w:ind w:left="0"/>
              <w:jc w:val="center"/>
              <w:rPr>
                <w:rFonts w:ascii="Book Antiqua" w:hAnsi="Book Antiqua" w:cstheme="majorBidi"/>
                <w:b/>
                <w:bCs/>
                <w:sz w:val="20"/>
                <w:szCs w:val="20"/>
              </w:rPr>
            </w:pPr>
            <w:r w:rsidRPr="00C94F25">
              <w:rPr>
                <w:rFonts w:ascii="Book Antiqua" w:hAnsi="Book Antiqua" w:cstheme="majorBidi"/>
                <w:b/>
                <w:bCs/>
                <w:sz w:val="20"/>
                <w:szCs w:val="20"/>
              </w:rPr>
              <w:t>Coefficient</w:t>
            </w:r>
            <w:r w:rsidR="00C94F25" w:rsidRPr="00C94F25">
              <w:rPr>
                <w:rFonts w:ascii="Book Antiqua" w:hAnsi="Book Antiqua" w:cstheme="majorBidi"/>
                <w:b/>
                <w:bCs/>
                <w:sz w:val="20"/>
                <w:szCs w:val="20"/>
              </w:rPr>
              <w:t xml:space="preserve"> </w:t>
            </w:r>
          </w:p>
        </w:tc>
        <w:tc>
          <w:tcPr>
            <w:tcW w:w="1621" w:type="pct"/>
            <w:tcBorders>
              <w:top w:val="single" w:sz="4" w:space="0" w:color="auto"/>
              <w:left w:val="single" w:sz="4" w:space="0" w:color="auto"/>
              <w:bottom w:val="single" w:sz="4" w:space="0" w:color="auto"/>
              <w:right w:val="single" w:sz="4" w:space="0" w:color="auto"/>
            </w:tcBorders>
            <w:hideMark/>
          </w:tcPr>
          <w:p w14:paraId="0B69FB5A" w14:textId="77777777" w:rsidR="00BD72DD" w:rsidRPr="00C94F25" w:rsidRDefault="00BD72DD">
            <w:pPr>
              <w:pStyle w:val="ListParagraph"/>
              <w:ind w:left="0"/>
              <w:jc w:val="center"/>
              <w:rPr>
                <w:rFonts w:ascii="Book Antiqua" w:hAnsi="Book Antiqua" w:cstheme="majorBidi"/>
                <w:b/>
                <w:bCs/>
                <w:sz w:val="20"/>
                <w:szCs w:val="20"/>
              </w:rPr>
            </w:pPr>
            <w:r w:rsidRPr="00C94F25">
              <w:rPr>
                <w:rFonts w:ascii="Book Antiqua" w:hAnsi="Book Antiqua" w:cstheme="majorBidi"/>
                <w:b/>
                <w:bCs/>
                <w:sz w:val="20"/>
                <w:szCs w:val="20"/>
              </w:rPr>
              <w:t>Prob.</w:t>
            </w:r>
          </w:p>
        </w:tc>
      </w:tr>
      <w:tr w:rsidR="00BD72DD" w:rsidRPr="00713095" w14:paraId="7119C979" w14:textId="77777777" w:rsidTr="00004409">
        <w:tc>
          <w:tcPr>
            <w:tcW w:w="1735" w:type="pct"/>
            <w:tcBorders>
              <w:top w:val="single" w:sz="4" w:space="0" w:color="auto"/>
              <w:left w:val="single" w:sz="4" w:space="0" w:color="auto"/>
              <w:bottom w:val="single" w:sz="4" w:space="0" w:color="auto"/>
              <w:right w:val="single" w:sz="4" w:space="0" w:color="auto"/>
            </w:tcBorders>
            <w:vAlign w:val="bottom"/>
            <w:hideMark/>
          </w:tcPr>
          <w:p w14:paraId="1C978989" w14:textId="2CC572BF" w:rsidR="00BD72DD" w:rsidRPr="00713095" w:rsidRDefault="00BD72DD">
            <w:pPr>
              <w:autoSpaceDE w:val="0"/>
              <w:autoSpaceDN w:val="0"/>
              <w:adjustRightInd w:val="0"/>
              <w:rPr>
                <w:rFonts w:ascii="Book Antiqua" w:hAnsi="Book Antiqua" w:cstheme="majorBidi"/>
                <w:color w:val="000000"/>
                <w:sz w:val="20"/>
                <w:szCs w:val="20"/>
              </w:rPr>
            </w:pPr>
            <w:r w:rsidRPr="00713095">
              <w:rPr>
                <w:rFonts w:ascii="Book Antiqua" w:hAnsi="Book Antiqua" w:cstheme="majorBidi"/>
                <w:color w:val="000000"/>
                <w:sz w:val="20"/>
                <w:szCs w:val="20"/>
              </w:rPr>
              <w:t>LOG_IC</w:t>
            </w:r>
          </w:p>
        </w:tc>
        <w:tc>
          <w:tcPr>
            <w:tcW w:w="1645" w:type="pct"/>
            <w:tcBorders>
              <w:top w:val="single" w:sz="4" w:space="0" w:color="auto"/>
              <w:left w:val="single" w:sz="4" w:space="0" w:color="auto"/>
              <w:bottom w:val="single" w:sz="4" w:space="0" w:color="auto"/>
              <w:right w:val="single" w:sz="4" w:space="0" w:color="auto"/>
            </w:tcBorders>
            <w:vAlign w:val="bottom"/>
            <w:hideMark/>
          </w:tcPr>
          <w:p w14:paraId="7C841A3E" w14:textId="77777777" w:rsidR="00BD72DD" w:rsidRPr="00713095" w:rsidRDefault="00BD72DD" w:rsidP="00C94F25">
            <w:pPr>
              <w:autoSpaceDE w:val="0"/>
              <w:autoSpaceDN w:val="0"/>
              <w:adjustRightInd w:val="0"/>
              <w:ind w:right="10"/>
              <w:jc w:val="center"/>
              <w:rPr>
                <w:rFonts w:ascii="Book Antiqua" w:hAnsi="Book Antiqua" w:cstheme="majorBidi"/>
                <w:color w:val="000000"/>
                <w:sz w:val="20"/>
                <w:szCs w:val="20"/>
              </w:rPr>
            </w:pPr>
            <w:r w:rsidRPr="00713095">
              <w:rPr>
                <w:rFonts w:ascii="Book Antiqua" w:hAnsi="Book Antiqua" w:cstheme="majorBidi"/>
                <w:color w:val="000000"/>
                <w:sz w:val="20"/>
                <w:szCs w:val="20"/>
              </w:rPr>
              <w:t>0.327456</w:t>
            </w:r>
          </w:p>
        </w:tc>
        <w:tc>
          <w:tcPr>
            <w:tcW w:w="1621" w:type="pct"/>
            <w:tcBorders>
              <w:top w:val="single" w:sz="4" w:space="0" w:color="auto"/>
              <w:left w:val="single" w:sz="4" w:space="0" w:color="auto"/>
              <w:bottom w:val="single" w:sz="4" w:space="0" w:color="auto"/>
              <w:right w:val="single" w:sz="4" w:space="0" w:color="auto"/>
            </w:tcBorders>
            <w:vAlign w:val="bottom"/>
            <w:hideMark/>
          </w:tcPr>
          <w:p w14:paraId="72EFB5AE" w14:textId="77777777" w:rsidR="00BD72DD" w:rsidRPr="00713095" w:rsidRDefault="00BD72DD" w:rsidP="00C94F25">
            <w:pPr>
              <w:autoSpaceDE w:val="0"/>
              <w:autoSpaceDN w:val="0"/>
              <w:adjustRightInd w:val="0"/>
              <w:ind w:right="10"/>
              <w:jc w:val="center"/>
              <w:rPr>
                <w:rFonts w:ascii="Book Antiqua" w:hAnsi="Book Antiqua" w:cstheme="majorBidi"/>
                <w:color w:val="000000"/>
                <w:sz w:val="20"/>
                <w:szCs w:val="20"/>
              </w:rPr>
            </w:pPr>
            <w:r w:rsidRPr="00713095">
              <w:rPr>
                <w:rFonts w:ascii="Book Antiqua" w:hAnsi="Book Antiqua" w:cstheme="majorBidi"/>
                <w:color w:val="000000"/>
                <w:sz w:val="20"/>
                <w:szCs w:val="20"/>
              </w:rPr>
              <w:t>0.0027</w:t>
            </w:r>
          </w:p>
        </w:tc>
      </w:tr>
      <w:tr w:rsidR="00BD72DD" w:rsidRPr="00713095" w14:paraId="36F94575" w14:textId="77777777" w:rsidTr="00004409">
        <w:tc>
          <w:tcPr>
            <w:tcW w:w="1735" w:type="pct"/>
            <w:tcBorders>
              <w:top w:val="single" w:sz="4" w:space="0" w:color="auto"/>
              <w:left w:val="single" w:sz="4" w:space="0" w:color="auto"/>
              <w:bottom w:val="single" w:sz="4" w:space="0" w:color="auto"/>
              <w:right w:val="single" w:sz="4" w:space="0" w:color="auto"/>
            </w:tcBorders>
            <w:vAlign w:val="bottom"/>
            <w:hideMark/>
          </w:tcPr>
          <w:p w14:paraId="05530B24" w14:textId="6F14AF5B" w:rsidR="00BD72DD" w:rsidRPr="00713095" w:rsidRDefault="00BD72DD">
            <w:pPr>
              <w:autoSpaceDE w:val="0"/>
              <w:autoSpaceDN w:val="0"/>
              <w:adjustRightInd w:val="0"/>
              <w:rPr>
                <w:rFonts w:ascii="Book Antiqua" w:hAnsi="Book Antiqua" w:cstheme="majorBidi"/>
                <w:color w:val="000000"/>
                <w:sz w:val="20"/>
                <w:szCs w:val="20"/>
              </w:rPr>
            </w:pPr>
            <w:r w:rsidRPr="00713095">
              <w:rPr>
                <w:rFonts w:ascii="Book Antiqua" w:hAnsi="Book Antiqua" w:cstheme="majorBidi"/>
                <w:color w:val="000000"/>
                <w:sz w:val="20"/>
                <w:szCs w:val="20"/>
              </w:rPr>
              <w:lastRenderedPageBreak/>
              <w:t>LOG</w:t>
            </w:r>
            <w:r w:rsidR="0092265A" w:rsidRPr="00713095">
              <w:rPr>
                <w:rFonts w:ascii="Book Antiqua" w:hAnsi="Book Antiqua" w:cstheme="majorBidi"/>
                <w:color w:val="000000"/>
                <w:sz w:val="20"/>
                <w:szCs w:val="20"/>
              </w:rPr>
              <w:t>_</w:t>
            </w:r>
            <w:r w:rsidRPr="00713095">
              <w:rPr>
                <w:rFonts w:ascii="Book Antiqua" w:hAnsi="Book Antiqua" w:cstheme="majorBidi"/>
                <w:color w:val="000000"/>
                <w:sz w:val="20"/>
                <w:szCs w:val="20"/>
              </w:rPr>
              <w:t>GCG</w:t>
            </w:r>
          </w:p>
        </w:tc>
        <w:tc>
          <w:tcPr>
            <w:tcW w:w="1645" w:type="pct"/>
            <w:tcBorders>
              <w:top w:val="single" w:sz="4" w:space="0" w:color="auto"/>
              <w:left w:val="single" w:sz="4" w:space="0" w:color="auto"/>
              <w:bottom w:val="single" w:sz="4" w:space="0" w:color="auto"/>
              <w:right w:val="single" w:sz="4" w:space="0" w:color="auto"/>
            </w:tcBorders>
            <w:vAlign w:val="bottom"/>
            <w:hideMark/>
          </w:tcPr>
          <w:p w14:paraId="5DDF1202" w14:textId="77777777" w:rsidR="00BD72DD" w:rsidRPr="00713095" w:rsidRDefault="00BD72DD" w:rsidP="00C94F25">
            <w:pPr>
              <w:autoSpaceDE w:val="0"/>
              <w:autoSpaceDN w:val="0"/>
              <w:adjustRightInd w:val="0"/>
              <w:ind w:right="10"/>
              <w:jc w:val="center"/>
              <w:rPr>
                <w:rFonts w:ascii="Book Antiqua" w:hAnsi="Book Antiqua" w:cstheme="majorBidi"/>
                <w:color w:val="000000"/>
                <w:sz w:val="20"/>
                <w:szCs w:val="20"/>
              </w:rPr>
            </w:pPr>
            <w:r w:rsidRPr="00713095">
              <w:rPr>
                <w:rFonts w:ascii="Book Antiqua" w:hAnsi="Book Antiqua" w:cstheme="majorBidi"/>
                <w:color w:val="000000"/>
                <w:sz w:val="20"/>
                <w:szCs w:val="20"/>
              </w:rPr>
              <w:t>-1.067629</w:t>
            </w:r>
          </w:p>
        </w:tc>
        <w:tc>
          <w:tcPr>
            <w:tcW w:w="1621" w:type="pct"/>
            <w:tcBorders>
              <w:top w:val="single" w:sz="4" w:space="0" w:color="auto"/>
              <w:left w:val="single" w:sz="4" w:space="0" w:color="auto"/>
              <w:bottom w:val="single" w:sz="4" w:space="0" w:color="auto"/>
              <w:right w:val="single" w:sz="4" w:space="0" w:color="auto"/>
            </w:tcBorders>
            <w:vAlign w:val="bottom"/>
            <w:hideMark/>
          </w:tcPr>
          <w:p w14:paraId="51C2BDD4" w14:textId="77777777" w:rsidR="00BD72DD" w:rsidRPr="00713095" w:rsidRDefault="00BD72DD" w:rsidP="00C94F25">
            <w:pPr>
              <w:autoSpaceDE w:val="0"/>
              <w:autoSpaceDN w:val="0"/>
              <w:adjustRightInd w:val="0"/>
              <w:ind w:right="10"/>
              <w:jc w:val="center"/>
              <w:rPr>
                <w:rFonts w:ascii="Book Antiqua" w:hAnsi="Book Antiqua" w:cstheme="majorBidi"/>
                <w:color w:val="000000"/>
                <w:sz w:val="20"/>
                <w:szCs w:val="20"/>
              </w:rPr>
            </w:pPr>
            <w:r w:rsidRPr="00713095">
              <w:rPr>
                <w:rFonts w:ascii="Book Antiqua" w:hAnsi="Book Antiqua" w:cstheme="majorBidi"/>
                <w:color w:val="000000"/>
                <w:sz w:val="20"/>
                <w:szCs w:val="20"/>
              </w:rPr>
              <w:t>0.0061</w:t>
            </w:r>
          </w:p>
        </w:tc>
      </w:tr>
    </w:tbl>
    <w:p w14:paraId="0CC5E2FA" w14:textId="77777777" w:rsidR="005F537B" w:rsidRDefault="005F537B" w:rsidP="00177ED7">
      <w:pPr>
        <w:ind w:firstLine="720"/>
        <w:jc w:val="both"/>
        <w:rPr>
          <w:rFonts w:ascii="Book Antiqua" w:hAnsi="Book Antiqua"/>
        </w:rPr>
      </w:pPr>
    </w:p>
    <w:p w14:paraId="7E3E92EE" w14:textId="35F10528" w:rsidR="00D97C5D" w:rsidRDefault="00004409" w:rsidP="001E286D">
      <w:pPr>
        <w:ind w:firstLine="720"/>
        <w:jc w:val="both"/>
        <w:rPr>
          <w:rFonts w:ascii="Book Antiqua" w:hAnsi="Book Antiqua" w:cstheme="majorBidi"/>
          <w:color w:val="000000"/>
          <w:lang w:val="id-ID"/>
        </w:rPr>
      </w:pPr>
      <w:r w:rsidRPr="00004409">
        <w:rPr>
          <w:rFonts w:ascii="Book Antiqua" w:eastAsiaTheme="minorEastAsia" w:hAnsi="Book Antiqua" w:cstheme="majorBidi"/>
        </w:rPr>
        <w:t>From the panel data regression equation, it shows that the Intellectual Capital (IC) coefficient is 0.327456, so that it has a significant positive effect on Return on Assets (ROA). The implications of these findings indicate that increasing the value of Intellectual Capital (IC) in companies has an increasing impact on company profitability. Companies operating in the service sector and in a modern business environment tend to require intensive knowledge which is dimensioned in Intellectual Capital (IC). Therefore, these companies will tend to invest in increasing the capacity of human resources that can generate new knowledge. This knowledge is used to support innovations in the business processes of Islamic financial institutions in order to create competitive advantage and improve the performance of Islamic financial institutions</w:t>
      </w:r>
      <w:r>
        <w:rPr>
          <w:rFonts w:ascii="Book Antiqua" w:hAnsi="Book Antiqua" w:cstheme="majorBidi"/>
          <w:color w:val="000000"/>
          <w:lang w:val="en-GB"/>
        </w:rPr>
        <w:t xml:space="preserve"> </w:t>
      </w:r>
      <w:r w:rsidR="009E0D3B" w:rsidRPr="00D97C5D">
        <w:rPr>
          <w:rFonts w:ascii="Book Antiqua" w:hAnsi="Book Antiqua" w:cstheme="majorBidi"/>
          <w:color w:val="000000"/>
        </w:rPr>
        <w:fldChar w:fldCharType="begin" w:fldLock="1"/>
      </w:r>
      <w:r w:rsidR="00154795">
        <w:rPr>
          <w:rFonts w:ascii="Book Antiqua" w:hAnsi="Book Antiqua" w:cstheme="majorBidi"/>
          <w:color w:val="000000"/>
        </w:rPr>
        <w:instrText>ADDIN CSL_CITATION {"citationItems":[{"id":"ITEM-1","itemData":{"DOI":"10.1108/14691931311323896","ISSN":"14691930","abstract":"Purpose: Intellectual capital is widely acknowledged as the most critical resource of modern organizations. Nevertheless, empirical evidence on its actual contribution to the dynamics of the value creation process remains scarce, especially within certain sectors and geographic regions. The purpose of this paper is to address this gap by investigating the effects of intellectual capital and its components on business performance in banking institutions within Luxembourg and Belgium. Design/methodology/approach: This empirical research is conducted using a dedicated survey instrument administered to over 200 banks. Data analysis is achieved through structural equation modeling. Findings: Results indicate that human capital contributes both directly and indirectly to business performance in the banking sector. Structural and relational capital are positively related to business performance, though results are not statistically significant. Surprisingly, relational capital has been evidenced to negatively moderate the effect of structural capital on performance. Research limitations/implications: Traditional limitations of a cross-sectional study apply with respect to the attribution of causality and the time lag effects. Practical implications: A set of reliable items to capture intellectual capital has been identified and represents actionable knowledge for implementing an intellectual capital dashboard in banks. The dominant role of human capital also provides insight to managers with respect to business performance levers. Originality/value: Disentangling the effects of intellectual capital on business performance is of the utmost importance in service firms, as they are heavily reliant on intangible resources and capabilities. This research contributes to develop current understanding of these effects. Moreover, interaction effects between human, structural and relational capital have also been uncovered, thus extending prior knowledge on these complex relationships. © Emerald Group Publishing Limited.","author":[{"dropping-particle":"","family":"Mention","given":"Anne Laure","non-dropping-particle":"","parse-names":false,"suffix":""},{"dropping-particle":"","family":"Bontis","given":"Nick","non-dropping-particle":"","parse-names":false,"suffix":""}],"container-title":"Journal of Intellectual Capital","id":"ITEM-1","issue":"2","issued":{"date-parts":[["2013"]]},"page":"286-309","title":"Intellectual capital and performance within the banking sector of Luxembourg and Belgium","type":"article-journal","volume":"14"},"uris":["http://www.mendeley.com/documents/?uuid=1bcfd00d-8f33-410d-a83a-23a4ea3061b6","http://www.mendeley.com/documents/?uuid=1b8cdd12-2f3a-4fc3-986c-2d5c7f2dea68"]}],"mendeley":{"formattedCitation":"(Mention &amp; Bontis, 2013)","plainTextFormattedCitation":"(Mention &amp; Bontis, 2013)","previouslyFormattedCitation":"(Mention &amp; Bontis, 2013)"},"properties":{"noteIndex":0},"schema":"https://github.com/citation-style-language/schema/raw/master/csl-citation.json"}</w:instrText>
      </w:r>
      <w:r w:rsidR="009E0D3B" w:rsidRPr="00D97C5D">
        <w:rPr>
          <w:rFonts w:ascii="Book Antiqua" w:hAnsi="Book Antiqua" w:cstheme="majorBidi"/>
          <w:color w:val="000000"/>
        </w:rPr>
        <w:fldChar w:fldCharType="separate"/>
      </w:r>
      <w:r w:rsidR="009E0D3B" w:rsidRPr="00D97C5D">
        <w:rPr>
          <w:rFonts w:ascii="Book Antiqua" w:hAnsi="Book Antiqua" w:cstheme="majorBidi"/>
          <w:noProof/>
          <w:color w:val="000000"/>
        </w:rPr>
        <w:t>(Mention &amp; Bontis, 2013)</w:t>
      </w:r>
      <w:r w:rsidR="009E0D3B" w:rsidRPr="00D97C5D">
        <w:rPr>
          <w:rFonts w:ascii="Book Antiqua" w:hAnsi="Book Antiqua" w:cstheme="majorBidi"/>
          <w:color w:val="000000"/>
          <w:lang w:val="id-ID"/>
        </w:rPr>
        <w:fldChar w:fldCharType="end"/>
      </w:r>
      <w:r w:rsidR="009E0D3B" w:rsidRPr="00D97C5D">
        <w:rPr>
          <w:rFonts w:ascii="Book Antiqua" w:hAnsi="Book Antiqua" w:cstheme="majorBidi"/>
          <w:color w:val="000000"/>
          <w:lang w:val="en-US"/>
        </w:rPr>
        <w:t xml:space="preserve"> </w:t>
      </w:r>
      <w:r w:rsidR="00A57777" w:rsidRPr="00D97C5D">
        <w:rPr>
          <w:rFonts w:ascii="Book Antiqua" w:hAnsi="Book Antiqua" w:cstheme="majorBidi"/>
        </w:rPr>
        <w:fldChar w:fldCharType="begin" w:fldLock="1"/>
      </w:r>
      <w:r w:rsidR="00154795">
        <w:rPr>
          <w:rFonts w:ascii="Book Antiqua" w:hAnsi="Book Antiqua" w:cstheme="majorBidi"/>
        </w:rPr>
        <w:instrText>ADDIN CSL_CITATION {"citationItems":[{"id":"ITEM-1","itemData":{"author":[{"dropping-particle":"","family":"Nimtrakoon","given":"Sirinuch","non-dropping-particle":"","parse-names":false,"suffix":""}],"container-title":"Journal of Intellectual Capital","id":"ITEM-1","issue":"3","issued":{"date-parts":[["2015"]]},"page":"587-618","title":"The Relationship Between Intellectual Capital, Firms’ market value and Financial Performance: Empirical evidence from the ASEAN","type":"article-journal","volume":"16"},"uris":["http://www.mendeley.com/documents/?uuid=333a76a3-df1b-41f4-9a16-4c2bdf3e17f0","http://www.mendeley.com/documents/?uuid=b7460441-7ed1-42ce-9092-864d9aa7f764"]}],"mendeley":{"formattedCitation":"(Nimtrakoon, 2015)","plainTextFormattedCitation":"(Nimtrakoon, 2015)","previouslyFormattedCitation":"(Nimtrakoon, 2015)"},"properties":{"noteIndex":0},"schema":"https://github.com/citation-style-language/schema/raw/master/csl-citation.json"}</w:instrText>
      </w:r>
      <w:r w:rsidR="00A57777" w:rsidRPr="00D97C5D">
        <w:rPr>
          <w:rFonts w:ascii="Book Antiqua" w:hAnsi="Book Antiqua" w:cstheme="majorBidi"/>
        </w:rPr>
        <w:fldChar w:fldCharType="separate"/>
      </w:r>
      <w:r w:rsidR="00A57777" w:rsidRPr="00D97C5D">
        <w:rPr>
          <w:rFonts w:ascii="Book Antiqua" w:hAnsi="Book Antiqua" w:cstheme="majorBidi"/>
          <w:noProof/>
        </w:rPr>
        <w:t>(Nimtrakoon, 2015)</w:t>
      </w:r>
      <w:r w:rsidR="00A57777" w:rsidRPr="00D97C5D">
        <w:rPr>
          <w:rFonts w:ascii="Book Antiqua" w:hAnsi="Book Antiqua" w:cstheme="majorBidi"/>
        </w:rPr>
        <w:fldChar w:fldCharType="end"/>
      </w:r>
      <w:r w:rsidR="00D97C5D" w:rsidRPr="00D97C5D">
        <w:rPr>
          <w:rFonts w:ascii="Book Antiqua" w:hAnsi="Book Antiqua" w:cstheme="majorBidi"/>
          <w:color w:val="000000"/>
          <w:lang w:val="id-ID"/>
        </w:rPr>
        <w:t xml:space="preserve"> (</w:t>
      </w:r>
      <w:r w:rsidR="00D97C5D" w:rsidRPr="00D97C5D">
        <w:rPr>
          <w:rFonts w:ascii="Book Antiqua" w:hAnsi="Book Antiqua" w:cstheme="majorBidi"/>
          <w:color w:val="000000"/>
          <w:lang w:val="id-ID"/>
        </w:rPr>
        <w:fldChar w:fldCharType="begin" w:fldLock="1"/>
      </w:r>
      <w:r w:rsidR="00154795">
        <w:rPr>
          <w:rFonts w:ascii="Book Antiqua" w:hAnsi="Book Antiqua" w:cstheme="majorBidi"/>
          <w:color w:val="000000"/>
          <w:lang w:val="id-ID"/>
        </w:rPr>
        <w:instrText>ADDIN CSL_CITATION {"citationItems":[{"id":"ITEM-1","itemData":{"DOI":"10.1108/JIABR-06-2016-0071","ISBN":"0620160071","ISSN":"17590825","abstract":"Purpose: The purpose of this paper is to empirically examine the effect of intangible resources, i.e. intellectual capital (IC) on financial performance of 64 Islamic financial institutions (IFIs) operating in 18 different countries for the period 2007-2011, while controlling for firm-specific variables, namely, bank size, level of risk, listing status, and firm complexity. Design/methodology/approach: The required data to calculate different constituents of IC are derived from Bankscope database. Value Added Intellectual Coefficient (VAIC) methodology devised by Pulic is used to determine the impact of IC on financial performance of IFIs. Findings: Results indicate a significant positive relationship between VAIC and accounting performance based on return on assets (ROA). The results further indicate a significant positive relationship between accounting performance and capital employed efficiency (CEE) and human capital efficiency (HCE), but no significant relationship with regards to structural capital efficiency. Overall, the results suggest that value creation capability of IFIs is highly influenced by HCE and CEE. Research limitations/implications: The main limitation of the present study lies in its methodological tool, the VAIC methodology, which has been criticized by some researchers as not really measuring IC. Despite the inherent limitation of the VAIC methodology which relies on secondary data published in annual reports, it is still considered by some researchers as one of the best available tool to measure firms’ IC in the absence of access to detailed internal information on IC. Practical implications: The findings may serve as a useful input for Islamic bankers in managing their investments in IC within their institutions. Originality/value: The main contribution of this paper is to use a previously little-studied area, Islamic banking and finance, to identify the effect of intellectual capital on performance.","author":[{"dropping-particle":"","family":"Nawaz","given":"Tasawar","non-dropping-particle":"","parse-names":false,"suffix":""},{"dropping-particle":"","family":"Haniffa","given":"Roszaini","non-dropping-particle":"","parse-names":false,"suffix":""}],"container-title":"Journal of Islamic Accounting and Business Research","id":"ITEM-1","issue":"2","issued":{"date-parts":[["2017"]]},"page":"130-142","title":"Determinants of financial performance of Islamic banks: an intellectual capital perspective","type":"article-journal","volume":"8"},"uris":["http://www.mendeley.com/documents/?uuid=a482ecf6-95fe-40f4-b6b5-690566eaec7f","http://www.mendeley.com/documents/?uuid=332ae363-da95-47e1-877a-8450517b9f72"]}],"mendeley":{"formattedCitation":"(Nawaz &amp; Haniffa, 2017)","manualFormatting":"Nawaz &amp; Haniffa; 2017)","plainTextFormattedCitation":"(Nawaz &amp; Haniffa, 2017)","previouslyFormattedCitation":"(Nawaz &amp; Haniffa, 2017)"},"properties":{"noteIndex":0},"schema":"https://github.com/citation-style-language/schema/raw/master/csl-citation.json"}</w:instrText>
      </w:r>
      <w:r w:rsidR="00D97C5D" w:rsidRPr="00D97C5D">
        <w:rPr>
          <w:rFonts w:ascii="Book Antiqua" w:hAnsi="Book Antiqua" w:cstheme="majorBidi"/>
          <w:color w:val="000000"/>
          <w:lang w:val="id-ID"/>
        </w:rPr>
        <w:fldChar w:fldCharType="separate"/>
      </w:r>
      <w:r w:rsidR="00D97C5D" w:rsidRPr="00D97C5D">
        <w:rPr>
          <w:rFonts w:ascii="Book Antiqua" w:hAnsi="Book Antiqua" w:cstheme="majorBidi"/>
          <w:noProof/>
          <w:color w:val="000000"/>
          <w:lang w:val="id-ID"/>
        </w:rPr>
        <w:t>Nawaz &amp; Haniffa; 2017)</w:t>
      </w:r>
      <w:r w:rsidR="00D97C5D" w:rsidRPr="00D97C5D">
        <w:rPr>
          <w:rFonts w:ascii="Book Antiqua" w:hAnsi="Book Antiqua" w:cstheme="majorBidi"/>
          <w:color w:val="000000"/>
          <w:lang w:val="en-US"/>
        </w:rPr>
        <w:fldChar w:fldCharType="end"/>
      </w:r>
      <w:r w:rsidR="00D97C5D" w:rsidRPr="00D97C5D">
        <w:rPr>
          <w:rFonts w:ascii="Book Antiqua" w:hAnsi="Book Antiqua" w:cstheme="majorBidi"/>
          <w:color w:val="000000"/>
          <w:lang w:val="id-ID"/>
        </w:rPr>
        <w:t>.</w:t>
      </w:r>
    </w:p>
    <w:p w14:paraId="72D7418C" w14:textId="48E46B60" w:rsidR="0092265A" w:rsidRDefault="00004409" w:rsidP="00177ED7">
      <w:pPr>
        <w:ind w:firstLine="720"/>
        <w:jc w:val="both"/>
        <w:rPr>
          <w:rFonts w:ascii="Book Antiqua" w:hAnsi="Book Antiqua" w:cstheme="majorBidi"/>
          <w:color w:val="000000"/>
          <w:lang w:val="en-US"/>
        </w:rPr>
      </w:pPr>
      <w:r w:rsidRPr="00004409">
        <w:rPr>
          <w:rFonts w:ascii="Book Antiqua" w:hAnsi="Book Antiqua" w:cstheme="majorBidi"/>
          <w:color w:val="000000"/>
        </w:rPr>
        <w:t>Intellectual capital is defined as an intangible asset that creates an image of the company's values. That is, investing in these assets will provide a higher risk but will also provide a high return for the company</w:t>
      </w:r>
      <w:r w:rsidR="001F5065" w:rsidRPr="001F5065">
        <w:rPr>
          <w:rFonts w:ascii="Book Antiqua" w:hAnsi="Book Antiqua" w:cstheme="majorBidi"/>
          <w:color w:val="000000"/>
          <w:lang w:val="id-ID"/>
        </w:rPr>
        <w:t xml:space="preserve"> (</w:t>
      </w:r>
      <w:r w:rsidR="001F5065" w:rsidRPr="001F5065">
        <w:rPr>
          <w:rFonts w:ascii="Book Antiqua" w:hAnsi="Book Antiqua" w:cstheme="majorBidi"/>
          <w:color w:val="000000"/>
          <w:lang w:val="id-ID"/>
        </w:rPr>
        <w:fldChar w:fldCharType="begin" w:fldLock="1"/>
      </w:r>
      <w:r w:rsidR="00154795">
        <w:rPr>
          <w:rFonts w:ascii="Book Antiqua" w:hAnsi="Book Antiqua" w:cstheme="majorBidi"/>
          <w:color w:val="000000"/>
          <w:lang w:val="id-ID"/>
        </w:rPr>
        <w:instrText>ADDIN CSL_CITATION {"citationItems":[{"id":"ITEM-1","itemData":{"DOI":"10.1108/JIC-07-2017-0099","ISSN":"17587468","abstract":"Purpose: The purpose of this paper is twofold: first, to analyse the impact of intellectual capital (IC) and growth opportunities on firms’ financial performance as well as the moderating effect of IC on the relationship between growth opportunities and financial performance; and second, to analyse the impact of IC on growth opportunities. Design/methodology/approach: The current study uses a sample of non-financial listed firms consisting of 14 Western European countries for the period between 2004 and 2015. The estimation method used is specifically the Generalised Method of Moments system (1998) estimator, a dynamic panel estimator. Findings: The results reveal that the IC efficiency of the current period has a positive impact on the financial performance of high-, medium- and low-tech European firms. A non-linear relationship was found between growth opportunities and financial performance. Also, findings suggest that the positive relationship between growth opportunities and financial performance is enhanced with the efficient use of firms’ IC. Results indicate that the efficient use of IC in the current period has a greater impact on growth opportunities in high firms. Additionally, results reveal the presence of a non-linear relationship between ownership concentration and growth opportunities. Originality/value: The current study contributes to the current literature by exploring a sample of firms across Western European countries, which is divided among high-, medium- and low-tech firms. The econometric modelling enables the author to conduct a longitudinal study.","author":[{"dropping-particle":"","family":"Sardo","given":"Filipe","non-dropping-particle":"","parse-names":false,"suffix":""},{"dropping-particle":"","family":"Serrasqueiro","given":"Zélia","non-dropping-particle":"","parse-names":false,"suffix":""}],"container-title":"Journal of Intellectual Capital","id":"ITEM-1","issue":"4","issued":{"date-parts":[["2018"]]},"page":"747-767","title":"Intellectual capital, growth opportunities, and financial performance in European firms: Dynamic panel data analysis","type":"article-journal","volume":"19"},"uris":["http://www.mendeley.com/documents/?uuid=d152e740-eb5d-429e-8ac2-6814afe0397b","http://www.mendeley.com/documents/?uuid=a296cd44-34d5-4562-80ae-940840d2edd5"]}],"mendeley":{"formattedCitation":"(Sardo &amp; Serrasqueiro, 2018)","manualFormatting":"Sardo &amp; Serrasqueiro; 2018)","plainTextFormattedCitation":"(Sardo &amp; Serrasqueiro, 2018)","previouslyFormattedCitation":"(Sardo &amp; Serrasqueiro, 2018)"},"properties":{"noteIndex":0},"schema":"https://github.com/citation-style-language/schema/raw/master/csl-citation.json"}</w:instrText>
      </w:r>
      <w:r w:rsidR="001F5065" w:rsidRPr="001F5065">
        <w:rPr>
          <w:rFonts w:ascii="Book Antiqua" w:hAnsi="Book Antiqua" w:cstheme="majorBidi"/>
          <w:color w:val="000000"/>
          <w:lang w:val="id-ID"/>
        </w:rPr>
        <w:fldChar w:fldCharType="separate"/>
      </w:r>
      <w:r w:rsidR="001F5065" w:rsidRPr="001F5065">
        <w:rPr>
          <w:rFonts w:ascii="Book Antiqua" w:hAnsi="Book Antiqua" w:cstheme="majorBidi"/>
          <w:noProof/>
          <w:color w:val="000000"/>
          <w:lang w:val="id-ID"/>
        </w:rPr>
        <w:t>Sardo &amp; Serrasqueiro; 2018)</w:t>
      </w:r>
      <w:r w:rsidR="001F5065" w:rsidRPr="001F5065">
        <w:rPr>
          <w:rFonts w:ascii="Book Antiqua" w:hAnsi="Book Antiqua" w:cstheme="majorBidi"/>
          <w:color w:val="000000"/>
          <w:lang w:val="en-US"/>
        </w:rPr>
        <w:fldChar w:fldCharType="end"/>
      </w:r>
      <w:r w:rsidR="001F5065" w:rsidRPr="001F5065">
        <w:rPr>
          <w:rFonts w:ascii="Book Antiqua" w:hAnsi="Book Antiqua" w:cstheme="majorBidi"/>
          <w:color w:val="000000"/>
          <w:lang w:val="id-ID"/>
        </w:rPr>
        <w:t>.</w:t>
      </w:r>
      <w:r w:rsidR="00BC3D0F">
        <w:rPr>
          <w:rFonts w:ascii="Book Antiqua" w:hAnsi="Book Antiqua" w:cstheme="majorBidi"/>
          <w:color w:val="000000"/>
          <w:lang w:val="en-US"/>
        </w:rPr>
        <w:t xml:space="preserve"> </w:t>
      </w:r>
      <w:r w:rsidRPr="00004409">
        <w:rPr>
          <w:rFonts w:ascii="Book Antiqua" w:hAnsi="Book Antiqua" w:cstheme="majorBidi"/>
          <w:color w:val="000000"/>
          <w:lang w:val="en-US"/>
        </w:rPr>
        <w:t>This risk will arise only if the company is unable to manage the knowledge it has. Currently, information systems that manage knowledge in every institution including financial institutions are something that is very urgent to do</w:t>
      </w:r>
      <w:r w:rsidR="00713095">
        <w:rPr>
          <w:rFonts w:ascii="Book Antiqua" w:hAnsi="Book Antiqua" w:cstheme="majorBidi"/>
          <w:color w:val="000000"/>
          <w:lang w:val="en-US"/>
        </w:rPr>
        <w:t>.</w:t>
      </w:r>
    </w:p>
    <w:p w14:paraId="7ADC1366" w14:textId="2725F7A6" w:rsidR="000464B9" w:rsidRDefault="00004409" w:rsidP="000464B9">
      <w:pPr>
        <w:ind w:firstLine="720"/>
        <w:jc w:val="both"/>
        <w:rPr>
          <w:rFonts w:ascii="Book Antiqua" w:hAnsi="Book Antiqua"/>
          <w:lang w:val="id-ID"/>
        </w:rPr>
      </w:pPr>
      <w:r w:rsidRPr="00004409">
        <w:rPr>
          <w:rFonts w:ascii="Book Antiqua" w:hAnsi="Book Antiqua"/>
          <w:lang w:val="id-ID"/>
        </w:rPr>
        <w:t>Intellectual Capital (IC) refers to the amount of employee knowledge, competence, motivation, commitment and wisdom. Therefore the development of knowledge and skills possessed by employees, needs to be done to improve employee performance which will ultimately affect company performance. Increasing knowledge, skills and motivation of employees can be done through strategic planning through education and training programs for employee development</w:t>
      </w:r>
      <w:r w:rsidR="000464B9" w:rsidRPr="000464B9">
        <w:rPr>
          <w:rFonts w:ascii="Book Antiqua" w:hAnsi="Book Antiqua"/>
          <w:lang w:val="id-ID"/>
        </w:rPr>
        <w:t xml:space="preserve"> </w:t>
      </w:r>
      <w:r w:rsidR="000464B9" w:rsidRPr="000464B9">
        <w:rPr>
          <w:rFonts w:ascii="Book Antiqua" w:hAnsi="Book Antiqua"/>
          <w:lang w:val="id-ID"/>
        </w:rPr>
        <w:fldChar w:fldCharType="begin" w:fldLock="1"/>
      </w:r>
      <w:r w:rsidR="00154795">
        <w:rPr>
          <w:rFonts w:ascii="Book Antiqua" w:hAnsi="Book Antiqua"/>
          <w:lang w:val="id-ID"/>
        </w:rPr>
        <w:instrText>ADDIN CSL_CITATION {"citationItems":[{"id":"ITEM-1","itemData":{"DOI":"10.1108/02621711011039231","ISSN":"02621711","abstract":"Purpose: The purpose of this study is to test a model where human resource inputs (e.g. motivation, employee skill) and human resource processes/practices (e.g. training and development; profit sharing) are hypothesized to contribute uniquely and positively to organizational outputs, i.e. job performance and firm performance. Design/methodology/approach: The cross-sectional study consisted of 350 business professionals (91 percent managers; 9 percent consultants) from a midwestern US professional organization who took a battery of survey measures via the internet. Findings: After statistically controlling for the background variables (organizational type, size and status), the hierarchical regression analyses demonstrated that both the human resource inputs and process/practice variables explained statistically significant variance in each of the nine regression models. The effect size in each model was medium to large. Originality/value: The findings illustrate the considerable utility of researchers and managers examining the entire human resource system of an organization when searching for productive leverage points to improve organizational outputs like job and firm performance. The results suggest that human resource managers can have a positive influence on firm performance through implementing and supporting organizational policies and procedures that serve to positively motivate workers (e.g. reasonable incentive compensation and rewards, fair grievance procedures, and performance management), and learning and development activities that stimulate optimal task and contextual job performance. © Emerald Group Publishing Limited.","author":[{"dropping-particle":"","family":"Ferguson","given":"Karen L.","non-dropping-particle":"","parse-names":false,"suffix":""},{"dropping-particle":"","family":"Reio","given":"Thomas G.","non-dropping-particle":"","parse-names":false,"suffix":""}],"container-title":"Journal of Management Development","id":"ITEM-1","issue":"5","issued":{"date-parts":[["2010"]]},"page":"471-494","title":"Human resource management systems and firm performance","type":"article-journal","volume":"29"},"uris":["http://www.mendeley.com/documents/?uuid=8d39c85a-16a0-4f11-964e-ce6dd946caf3","http://www.mendeley.com/documents/?uuid=632a9657-5a8a-432a-b48c-70f831071cfc"]}],"mendeley":{"formattedCitation":"(Ferguson &amp; Reio, 2010)","plainTextFormattedCitation":"(Ferguson &amp; Reio, 2010)","previouslyFormattedCitation":"(Ferguson &amp; Reio, 2010)"},"properties":{"noteIndex":0},"schema":"https://github.com/citation-style-language/schema/raw/master/csl-citation.json"}</w:instrText>
      </w:r>
      <w:r w:rsidR="000464B9" w:rsidRPr="000464B9">
        <w:rPr>
          <w:rFonts w:ascii="Book Antiqua" w:hAnsi="Book Antiqua"/>
          <w:lang w:val="id-ID"/>
        </w:rPr>
        <w:fldChar w:fldCharType="separate"/>
      </w:r>
      <w:r w:rsidR="000464B9" w:rsidRPr="000464B9">
        <w:rPr>
          <w:rFonts w:ascii="Book Antiqua" w:hAnsi="Book Antiqua"/>
          <w:noProof/>
          <w:lang w:val="id-ID"/>
        </w:rPr>
        <w:t>(Ferguson &amp; Reio, 2010)</w:t>
      </w:r>
      <w:r w:rsidR="000464B9" w:rsidRPr="000464B9">
        <w:rPr>
          <w:rFonts w:ascii="Book Antiqua" w:hAnsi="Book Antiqua"/>
        </w:rPr>
        <w:fldChar w:fldCharType="end"/>
      </w:r>
      <w:r w:rsidR="000464B9" w:rsidRPr="000464B9">
        <w:rPr>
          <w:rFonts w:ascii="Book Antiqua" w:hAnsi="Book Antiqua"/>
          <w:lang w:val="id-ID"/>
        </w:rPr>
        <w:t xml:space="preserve">. </w:t>
      </w:r>
      <w:r w:rsidRPr="00004409">
        <w:rPr>
          <w:rFonts w:ascii="Book Antiqua" w:hAnsi="Book Antiqua"/>
          <w:lang w:val="id-ID"/>
        </w:rPr>
        <w:t>Education and training is a learning process that includes expertise, regulations, attitudes, or concepts to improve the skills and knowledge of employees, so that they are able to carry out responsibilities optimally which will improve their performance in a company</w:t>
      </w:r>
      <w:r w:rsidRPr="00004409">
        <w:rPr>
          <w:rFonts w:ascii="Book Antiqua" w:hAnsi="Book Antiqua"/>
          <w:highlight w:val="yellow"/>
          <w:lang w:val="id-ID"/>
        </w:rPr>
        <w:t xml:space="preserve"> </w:t>
      </w:r>
      <w:r w:rsidR="000464B9" w:rsidRPr="00004409">
        <w:rPr>
          <w:rFonts w:ascii="Book Antiqua" w:hAnsi="Book Antiqua"/>
          <w:lang w:val="id-ID"/>
        </w:rPr>
        <w:t>(Mamik Eko, dkk., 2012).</w:t>
      </w:r>
      <w:r w:rsidR="000464B9" w:rsidRPr="000464B9">
        <w:rPr>
          <w:rFonts w:ascii="Book Antiqua" w:hAnsi="Book Antiqua"/>
          <w:lang w:val="id-ID"/>
        </w:rPr>
        <w:t xml:space="preserve"> </w:t>
      </w:r>
      <w:r w:rsidRPr="00004409">
        <w:rPr>
          <w:rFonts w:ascii="Book Antiqua" w:hAnsi="Book Antiqua"/>
          <w:lang w:val="id-ID"/>
        </w:rPr>
        <w:t>Therefore, as an effort to improve Intellectual Capital (IC), especially in human resources owned, it can be done by providing education and training to increase employee skills and abilities that will increase work efficiency and effectiveness (Ningrum, et al., 2013). The quality of employee performance in a company will affect the process of obtaining income or the company's financial performance.</w:t>
      </w:r>
    </w:p>
    <w:p w14:paraId="1EDE2E27" w14:textId="0CF61AD8" w:rsidR="00FF46C4" w:rsidRDefault="00004409" w:rsidP="00FF46C4">
      <w:pPr>
        <w:ind w:firstLine="720"/>
        <w:jc w:val="both"/>
        <w:rPr>
          <w:rFonts w:ascii="Book Antiqua" w:hAnsi="Book Antiqua"/>
          <w:lang w:val="id-ID"/>
        </w:rPr>
      </w:pPr>
      <w:r w:rsidRPr="00004409">
        <w:rPr>
          <w:rFonts w:ascii="Book Antiqua" w:hAnsi="Book Antiqua"/>
          <w:lang w:val="en-US"/>
        </w:rPr>
        <w:t>On the other hand, the relationship between GCG and financial performance found a negative and significant relationship. The results of this study are consistent with several previous studies, namely, research conducted by</w:t>
      </w:r>
      <w:r w:rsidR="00CA14AF">
        <w:rPr>
          <w:rFonts w:ascii="Book Antiqua" w:hAnsi="Book Antiqua"/>
          <w:lang w:val="en-US"/>
        </w:rPr>
        <w:t xml:space="preserve"> </w:t>
      </w:r>
      <w:r w:rsidR="00CA14AF"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{"citationItems":[{"id":"ITEM-1","itemData":{"DOI":"10.1108/EJMBE-07-2017-005","ISSN":"24448451","abstract":"Purpose – The purpose of this paper is to examine if certain board characteristics have an impact on the financial performance of manufacturing firms in India. Design/methodology/approach – The study draws on data from 275 firms listed in NSE during from 2011 to 2015, using a multiple regression model. The present study examines the effect of board characteristics such as board size, CEO duality, independence and board activity devoted to the effectiveness of firms performance regarding market and accounting based financial performance measures. Findings – The finding supports an inverse association between the extent of board characteristics and the firms’ performance indicators. The study also finds a statistically significant negative relationship between board size and Tobins Q, ROA and ROE. The evidence also shows that the board independence and meeting frequency moderate the relationship between return on equity and return on assets by enhancing these measures among corporate governance mechanisms. Research limitations/implications – The present study does not include all possible board characteristics, i.e., large shareholders dominance on the board and promoter’s and institutional shareholding, to support firm’s performance. Further research might include the ownership structure of the board to improve firm’s performance. Originality/value – The study focuses on the corporate governance issues such as size, duality, independence and activity of the boards and their influence on firm performance. The subject analyzes the possible impact of board characteristics and firm-related features that have received much attention from academic research, which has largely focused on studying the publications of corporate governance in India and Asian context.","author":[{"dropping-particle":"","family":"Palaniappan","given":"G.","non-dropping-particle":"","parse-names":false,"suffix":""}],"container-title":"European Journal of Management and Business Economics","id":"ITEM-1","issue":"1","issued":{"date-parts":[["2017"]]},"page":"67-85","title":"Determinants of corporate financial performance relating to board characteristics of corporate governance in Indian manufacturing industry: An empirical study","type":"article-journal","volume":"26"},"uris":["http://www.mendeley.com/documents/?uuid=267bfcc8-8bd2-4768-a2be-63c75beff8fe","http://www.mendeley.com/documents/?uuid=df28454f-ab5d-44db-8026-71a708623581"]}],"mendeley":{"formattedCitation":"(Palaniappan, 2017)","manualFormatting":"Palaniappan (2017)","plainTextFormattedCitation":"(Palaniappan, 2017)","previouslyFormattedCitation":"(Palaniappan, 2017)"},"properties":{"noteIndex":0},"schema":"https://github.com/citation-style-language/schema/raw/master/csl-citation.json"}</w:instrText>
      </w:r>
      <w:r w:rsidR="00CA14AF" w:rsidRPr="00FD2B40">
        <w:rPr>
          <w:rFonts w:ascii="Book Antiqua" w:hAnsi="Book Antiqua"/>
          <w:color w:val="000000" w:themeColor="text1"/>
          <w:lang w:val="id-ID"/>
        </w:rPr>
        <w:fldChar w:fldCharType="separate"/>
      </w:r>
      <w:r w:rsidR="00CA14AF" w:rsidRPr="00FD2B40">
        <w:rPr>
          <w:rFonts w:ascii="Book Antiqua" w:hAnsi="Book Antiqua"/>
          <w:noProof/>
          <w:color w:val="000000" w:themeColor="text1"/>
          <w:lang w:val="id-ID"/>
        </w:rPr>
        <w:t>Palaniappan (2017)</w:t>
      </w:r>
      <w:r w:rsidR="00CA14AF" w:rsidRPr="00FD2B40">
        <w:rPr>
          <w:rFonts w:ascii="Book Antiqua" w:hAnsi="Book Antiqua"/>
          <w:color w:val="000000" w:themeColor="text1"/>
          <w:lang w:val="en-US"/>
        </w:rPr>
        <w:fldChar w:fldCharType="end"/>
      </w:r>
      <w:r>
        <w:rPr>
          <w:rFonts w:ascii="Book Antiqua" w:hAnsi="Book Antiqua"/>
          <w:lang w:val="en-GB"/>
        </w:rPr>
        <w:t xml:space="preserve">, </w:t>
      </w:r>
      <w:r w:rsidRPr="00004409">
        <w:rPr>
          <w:rFonts w:ascii="Book Antiqua" w:hAnsi="Book Antiqua"/>
          <w:lang w:val="id-ID"/>
        </w:rPr>
        <w:t xml:space="preserve">where the implementation of Good Corporate Governance (GCG) has a negative influence on the company's financial performance, which is seen from several components of corporate governance, namely the duality of the CEO. There should be a separation of the position of </w:t>
      </w:r>
      <w:r w:rsidRPr="00004409">
        <w:rPr>
          <w:rFonts w:ascii="Book Antiqua" w:hAnsi="Book Antiqua"/>
          <w:lang w:val="id-ID"/>
        </w:rPr>
        <w:lastRenderedPageBreak/>
        <w:t>CEO with the position of chairman of the board to reduce abuse of power within the company. That increases conflicts of interest, and agency costs when the CEO and chairman of the board are the same person. So it would be better if the two positions were run by two different people, to improve the company's performance. The next component is the board meeting, the meeting is an important attribute for the board. But there are some expenses associated with board meetings, such as travel expenses, directors' wages and so on. This means that the greater the number of meetings, the more costly it will be for the company. Therefore, a company must be efficient in regulating the frequency of board meetings held, so as not to interfere with the company's financial performance.</w:t>
      </w:r>
    </w:p>
    <w:p w14:paraId="18928243" w14:textId="3B422267" w:rsidR="00FF46C4" w:rsidRDefault="00004409" w:rsidP="00177ED7">
      <w:pPr>
        <w:ind w:firstLine="720"/>
        <w:jc w:val="both"/>
        <w:rPr>
          <w:rFonts w:ascii="Book Antiqua" w:hAnsi="Book Antiqua"/>
          <w:lang w:val="id-ID"/>
        </w:rPr>
      </w:pPr>
      <w:r w:rsidRPr="00004409">
        <w:rPr>
          <w:rFonts w:ascii="Book Antiqua" w:hAnsi="Book Antiqua"/>
          <w:lang w:val="en-US"/>
        </w:rPr>
        <w:t xml:space="preserve">In other forms of company, the implementation of corporate governance negatively affects the performance of family companies </w:t>
      </w:r>
      <w:r w:rsidR="0035286B" w:rsidRPr="00FD2B40">
        <w:rPr>
          <w:rFonts w:ascii="Book Antiqua" w:hAnsi="Book Antiqua"/>
          <w:color w:val="000000" w:themeColor="text1"/>
          <w:lang w:val="id-ID"/>
        </w:rPr>
        <w:fldChar w:fldCharType="begin" w:fldLock="1"/>
      </w:r>
      <w:r w:rsidR="00154795">
        <w:rPr>
          <w:rFonts w:ascii="Book Antiqua" w:hAnsi="Book Antiqua"/>
          <w:color w:val="000000" w:themeColor="text1"/>
          <w:lang w:val="id-ID"/>
        </w:rPr>
        <w:instrText>ADDIN CSL_CITATION {"citationItems":[{"id":"ITEM-1","itemData":{"DOI":"10.1108/JFBM-11-2017-0036","ISBN":"1120170036","ISSN":"20436246","abstract":"Purpose: The purpose of this paper is to attempt to fill a research gap in the relationship between corporate governance mechanisms and financial performance of family and non-family firms’ by using a sample of non-financial firms listed on Amman Stock Exchange (ASE) for the period 2009–2015. Design/methodology/approach: This research employs a quantitative method using data that include corporate governance mechanisms, firm characteristics and financial ratios of a sample of Jordanian listed firms in the ASE over the period 2009–2015. The sample covers all companies that have been part of the ASE during the period including both family and non-family firms, part of total of 228 companies listed on the ASE as of 31 December 2015. The study used accounting-based measures such as return on asset (ROA) and market-based measures such as Tobin’s Q as proxies for corporate financial performance. Findings: The study found that board size both in term of Tobin’s Q and ROA has a negative relationship with the performance of family firms. In non-family firms, there is no systematic relationship with corporate performance. There is a strong relationship between corporate performance and independent directors in non-family firms. In addition, the authors found some evidence for a relationship between performance and independent directors in family firms. Also, results indicated that ownership concentration has an insignificant correlation with corporate performance and in family firms has a negative and significant correlation with Tobin’s Q. There is a significant relationship between local investors’ ownership and corporate performance as measured by Tobin’s Q in family and non-family firms. Originality/value: Studies concerned with the effect of corporate governance on firm performance remains comparatively under-researched in Middle East countries and Jordan in particular (Najib, 2007; Omet, 2004; Marashdeh, 2014). Moreover, studies investigating whether the practice of corporate governance has the same impact on family firm performance are still relatively less well known than those when ownership is distributed widely (non-family firms) (Jaggi, Leung and Gul, 2009; Prencipe and Bar-Yosef, 2011). This research is seeking to fill this current gap in Jordan, which is one of the developing countries with an emerging economics that are very poorly represented in the literature.","author":[{"dropping-particle":"","family":"Saidat","given":"Zaid","non-dropping-particle":"","parse-names":false,"suffix":""},{"dropping-particle":"","family":"Silva","given":"Mauricio","non-dropping-particle":"","parse-names":false,"suffix":""},{"dropping-particle":"","family":"Seaman","given":"Claire","non-dropping-particle":"","parse-names":false,"suffix":""}],"container-title":"Journal of Family Business Management","id":"ITEM-1","issue":"1","issued":{"date-parts":[["2019"]]},"page":"54-78","title":"The relationship between corporate governance and financial performance: Evidence from Jordanian family and nonfamily firms","type":"article-journal","volume":"9"},"uris":["http://www.mendeley.com/documents/?uuid=5f506d45-9d19-4302-8353-dc6a28262a3e","http://www.mendeley.com/documents/?uuid=3bebaca2-c0b3-4a19-a9ab-d7c3158b4715"]}],"mendeley":{"formattedCitation":"(Saidat et al., 2019)","plainTextFormattedCitation":"(Saidat et al., 2019)","previouslyFormattedCitation":"(Saidat et al., 2019)"},"properties":{"noteIndex":0},"schema":"https://github.com/citation-style-language/schema/raw/master/csl-citation.json"}</w:instrText>
      </w:r>
      <w:r w:rsidR="0035286B" w:rsidRPr="00FD2B40">
        <w:rPr>
          <w:rFonts w:ascii="Book Antiqua" w:hAnsi="Book Antiqua"/>
          <w:color w:val="000000" w:themeColor="text1"/>
          <w:lang w:val="id-ID"/>
        </w:rPr>
        <w:fldChar w:fldCharType="separate"/>
      </w:r>
      <w:r w:rsidR="0035286B" w:rsidRPr="00FD2B40">
        <w:rPr>
          <w:rFonts w:ascii="Book Antiqua" w:hAnsi="Book Antiqua"/>
          <w:noProof/>
          <w:color w:val="000000" w:themeColor="text1"/>
          <w:lang w:val="id-ID"/>
        </w:rPr>
        <w:t>(Saidat et al., 2019)</w:t>
      </w:r>
      <w:r w:rsidR="0035286B" w:rsidRPr="00FD2B40">
        <w:rPr>
          <w:rFonts w:ascii="Book Antiqua" w:hAnsi="Book Antiqua"/>
          <w:color w:val="000000" w:themeColor="text1"/>
          <w:lang w:val="en-US"/>
        </w:rPr>
        <w:fldChar w:fldCharType="end"/>
      </w:r>
      <w:r w:rsidR="0035286B" w:rsidRPr="00FD2B40">
        <w:rPr>
          <w:rFonts w:ascii="Book Antiqua" w:hAnsi="Book Antiqua"/>
          <w:color w:val="000000" w:themeColor="text1"/>
          <w:lang w:val="id-ID"/>
        </w:rPr>
        <w:t>.</w:t>
      </w:r>
      <w:r w:rsidR="00FF46C4" w:rsidRPr="00FF46C4">
        <w:rPr>
          <w:rFonts w:ascii="Book Antiqua" w:hAnsi="Book Antiqua"/>
          <w:lang w:val="id-ID"/>
        </w:rPr>
        <w:t xml:space="preserve"> </w:t>
      </w:r>
      <w:r w:rsidRPr="00004409">
        <w:rPr>
          <w:rFonts w:ascii="Book Antiqua" w:hAnsi="Book Antiqua"/>
          <w:lang w:val="id-ID"/>
        </w:rPr>
        <w:t>Where this is because family companies are reluctant to increase the number of boards in order to maintain control, and facilitate communication in decision making</w:t>
      </w:r>
      <w:r w:rsidR="00FF46C4" w:rsidRPr="00FF46C4">
        <w:rPr>
          <w:rFonts w:ascii="Book Antiqua" w:hAnsi="Book Antiqua"/>
          <w:lang w:val="id-ID"/>
        </w:rPr>
        <w:t xml:space="preserve"> </w:t>
      </w:r>
      <w:r w:rsidR="00FF46C4" w:rsidRPr="00FF46C4">
        <w:rPr>
          <w:rFonts w:ascii="Book Antiqua" w:hAnsi="Book Antiqua"/>
          <w:lang w:val="id-ID"/>
        </w:rPr>
        <w:fldChar w:fldCharType="begin" w:fldLock="1"/>
      </w:r>
      <w:r w:rsidR="00154795">
        <w:rPr>
          <w:rFonts w:ascii="Book Antiqua" w:hAnsi="Book Antiqua"/>
          <w:lang w:val="id-ID"/>
        </w:rPr>
        <w:instrText>ADDIN CSL_CITATION {"citationItems":[{"id":"ITEM-1","itemData":{"author":[{"dropping-particle":"","family":"Navarro","given":"M.S","non-dropping-particle":"","parse-names":false,"suffix":""},{"dropping-particle":"","family":"Ansón","given":"S.G","non-dropping-particle":"","parse-names":false,"suffix":""}],"container-title":"Journal of Management &amp; Organization","id":"ITEM-1","issue":"3","issued":{"date-parts":[["2009"]]},"page":"327-345","title":"Do families shape corporate governance structure?","type":"article-journal","volume":"16"},"uris":["http://www.mendeley.com/documents/?uuid=79a85563-bc38-4223-9913-f5dabd9c6b25","http://www.mendeley.com/documents/?uuid=b2fe2acb-5e92-40fc-94c3-7fae40a5e942"]}],"mendeley":{"formattedCitation":"(Navarro &amp; Ansón, 2009)","plainTextFormattedCitation":"(Navarro &amp; Ansón, 2009)","previouslyFormattedCitation":"(Navarro &amp; Ansón, 2009)"},"properties":{"noteIndex":0},"schema":"https://github.com/citation-style-language/schema/raw/master/csl-citation.json"}</w:instrText>
      </w:r>
      <w:r w:rsidR="00FF46C4" w:rsidRPr="00FF46C4">
        <w:rPr>
          <w:rFonts w:ascii="Book Antiqua" w:hAnsi="Book Antiqua"/>
          <w:lang w:val="id-ID"/>
        </w:rPr>
        <w:fldChar w:fldCharType="separate"/>
      </w:r>
      <w:r w:rsidR="00FF46C4" w:rsidRPr="00FF46C4">
        <w:rPr>
          <w:rFonts w:ascii="Book Antiqua" w:hAnsi="Book Antiqua"/>
          <w:noProof/>
          <w:lang w:val="id-ID"/>
        </w:rPr>
        <w:t>(Navarro &amp; Ansón, 2009)</w:t>
      </w:r>
      <w:r w:rsidR="00FF46C4" w:rsidRPr="00FF46C4">
        <w:rPr>
          <w:rFonts w:ascii="Book Antiqua" w:hAnsi="Book Antiqua"/>
        </w:rPr>
        <w:fldChar w:fldCharType="end"/>
      </w:r>
      <w:r w:rsidR="00FF46C4" w:rsidRPr="00FF46C4">
        <w:rPr>
          <w:rFonts w:ascii="Book Antiqua" w:hAnsi="Book Antiqua"/>
          <w:lang w:val="id-ID"/>
        </w:rPr>
        <w:t xml:space="preserve">. </w:t>
      </w:r>
      <w:r w:rsidR="00C16E4E" w:rsidRPr="00C16E4E">
        <w:rPr>
          <w:rFonts w:ascii="Book Antiqua" w:hAnsi="Book Antiqua"/>
          <w:lang w:val="id-ID"/>
        </w:rPr>
        <w:t>According to</w:t>
      </w:r>
      <w:r w:rsidR="00FF46C4" w:rsidRPr="00FF46C4">
        <w:rPr>
          <w:rFonts w:ascii="Book Antiqua" w:hAnsi="Book Antiqua"/>
          <w:lang w:val="id-ID"/>
        </w:rPr>
        <w:t xml:space="preserve"> </w:t>
      </w:r>
      <w:r w:rsidR="00FF46C4" w:rsidRPr="00FF46C4">
        <w:rPr>
          <w:rFonts w:ascii="Book Antiqua" w:hAnsi="Book Antiqua"/>
          <w:lang w:val="id-ID"/>
        </w:rPr>
        <w:fldChar w:fldCharType="begin" w:fldLock="1"/>
      </w:r>
      <w:r w:rsidR="00154795">
        <w:rPr>
          <w:rFonts w:ascii="Book Antiqua" w:hAnsi="Book Antiqua"/>
          <w:lang w:val="id-ID"/>
        </w:rPr>
        <w:instrText>ADDIN CSL_CITATION {"citationItems":[{"id":"ITEM-1","itemData":{"DOI":"10.1108/17439130810837375","ISSN":"17439132","abstract":"Purpose - This paper aims to extend the empirical literature on the determinants of agency costs by using a large sample of UK listed firms. Design/methodology/approach - The paper investigates the impact of several corporate governance mechanisms on two alternative proxies for agency costs, namely the ratio of total sales to total assets (asset turnover) and the ratio of selling, general and administrative expenses to total sales (SG&amp;A). The analysis depends on a cross-sectional regression approach. Findings - The results reveal that the capital structure characteristics of firms, namely bank debt and debt maturity, constitute important corporate governance devices for UK companies. Also, managerial ownership, managerial compensation and ownership concentration are strongly associated with agency costs. Finally, the results suggest that the impact exerted by specific internal governance mechanisms on agency costs varies with firms' growth opportunities. Originality/value - The analysis adds to the empirical literature on agency costs by providing useful insights into how debt maturity and managerial compensation can help mitigate agency-related problems. It also highlights important interactions between internal governance mechanisms and firm growth opportunities. © Emerald Group Publishing Limited.","author":[{"dropping-particle":"","family":"Florackis","given":"Chrisostomos","non-dropping-particle":"","parse-names":false,"suffix":""}],"container-title":"International Journal of Managerial Finance","id":"ITEM-1","issue":"1","issued":{"date-parts":[["2008"]]},"page":"37-59","title":"Agency costs and corporate governance mechanisms: Evidence for UK firms","type":"article-journal","volume":"4"},"uris":["http://www.mendeley.com/documents/?uuid=1f32ae89-f373-4933-b754-f1e66ca0cd81","http://www.mendeley.com/documents/?uuid=01a00e45-c999-4c14-a59a-9d48a3f73891"]}],"mendeley":{"formattedCitation":"(Florackis, 2008)","manualFormatting":"Florackis (2008)","plainTextFormattedCitation":"(Florackis, 2008)","previouslyFormattedCitation":"(Florackis, 2008)"},"properties":{"noteIndex":0},"schema":"https://github.com/citation-style-language/schema/raw/master/csl-citation.json"}</w:instrText>
      </w:r>
      <w:r w:rsidR="00FF46C4" w:rsidRPr="00FF46C4">
        <w:rPr>
          <w:rFonts w:ascii="Book Antiqua" w:hAnsi="Book Antiqua"/>
          <w:lang w:val="id-ID"/>
        </w:rPr>
        <w:fldChar w:fldCharType="separate"/>
      </w:r>
      <w:r w:rsidR="00FF46C4" w:rsidRPr="00FF46C4">
        <w:rPr>
          <w:rFonts w:ascii="Book Antiqua" w:hAnsi="Book Antiqua"/>
          <w:noProof/>
          <w:lang w:val="id-ID"/>
        </w:rPr>
        <w:t>Florackis (2008)</w:t>
      </w:r>
      <w:r w:rsidR="00FF46C4" w:rsidRPr="00FF46C4">
        <w:rPr>
          <w:rFonts w:ascii="Book Antiqua" w:hAnsi="Book Antiqua"/>
        </w:rPr>
        <w:fldChar w:fldCharType="end"/>
      </w:r>
      <w:r w:rsidR="00FF46C4" w:rsidRPr="00FF46C4">
        <w:rPr>
          <w:rFonts w:ascii="Book Antiqua" w:hAnsi="Book Antiqua"/>
          <w:lang w:val="id-ID"/>
        </w:rPr>
        <w:t xml:space="preserve"> </w:t>
      </w:r>
      <w:r w:rsidR="00C16E4E" w:rsidRPr="00C16E4E">
        <w:rPr>
          <w:rFonts w:ascii="Book Antiqua" w:hAnsi="Book Antiqua"/>
          <w:lang w:val="id-ID"/>
        </w:rPr>
        <w:t>that a small board size is more effective in terms of coordination and communication. Therefore, efficiency in corporate governance is needed in order to better implement it so that it will improve company performance.</w:t>
      </w:r>
    </w:p>
    <w:p w14:paraId="0EB98B05" w14:textId="77777777" w:rsidR="00C16E4E" w:rsidRDefault="00C16E4E" w:rsidP="00177ED7">
      <w:pPr>
        <w:ind w:firstLine="720"/>
        <w:jc w:val="both"/>
        <w:rPr>
          <w:rFonts w:ascii="Book Antiqua" w:hAnsi="Book Antiqua"/>
        </w:rPr>
      </w:pPr>
    </w:p>
    <w:bookmarkEnd w:id="11"/>
    <w:bookmarkEnd w:id="12"/>
    <w:bookmarkEnd w:id="13"/>
    <w:p w14:paraId="6F28F63B" w14:textId="279A5F25" w:rsidR="00244B70" w:rsidRDefault="00244B70" w:rsidP="00B22C63">
      <w:pPr>
        <w:numPr>
          <w:ilvl w:val="0"/>
          <w:numId w:val="11"/>
        </w:numPr>
        <w:ind w:left="270" w:hanging="270"/>
        <w:rPr>
          <w:rFonts w:ascii="Book Antiqua" w:eastAsia="Times New Roman" w:hAnsi="Book Antiqua" w:cs="Angsana New"/>
          <w:b/>
          <w:bCs/>
          <w:color w:val="FF0000"/>
          <w:kern w:val="32"/>
          <w:lang w:eastAsia="en-US"/>
        </w:rPr>
      </w:pPr>
      <w:r w:rsidRPr="00FF4F9B">
        <w:rPr>
          <w:rFonts w:ascii="Book Antiqua" w:hAnsi="Book Antiqua"/>
          <w:b/>
          <w:bCs/>
        </w:rPr>
        <w:t>Conclusions</w:t>
      </w:r>
      <w:r w:rsidR="00FF4F9B" w:rsidRPr="00FF4F9B">
        <w:rPr>
          <w:rFonts w:ascii="Book Antiqua" w:hAnsi="Book Antiqua"/>
          <w:b/>
          <w:bCs/>
        </w:rPr>
        <w:t xml:space="preserve"> </w:t>
      </w:r>
    </w:p>
    <w:p w14:paraId="7E9D9E9B" w14:textId="77777777" w:rsidR="00C16E4E" w:rsidRDefault="00C16E4E" w:rsidP="00324483">
      <w:pPr>
        <w:pStyle w:val="IEEEParagraph"/>
        <w:ind w:firstLine="720"/>
        <w:rPr>
          <w:rFonts w:ascii="Book Antiqua" w:hAnsi="Book Antiqua"/>
          <w:bCs/>
          <w:lang w:val="en-US"/>
        </w:rPr>
      </w:pPr>
      <w:r w:rsidRPr="00C16E4E">
        <w:rPr>
          <w:rFonts w:ascii="Book Antiqua" w:hAnsi="Book Antiqua"/>
          <w:bCs/>
          <w:lang w:val="en-US"/>
        </w:rPr>
        <w:t>This study aims to explore the relationship between financial performance with intellectual capital and corporate management as measured through Good Corporate Governance (GCG) in Islamic banking in Indonesia. This study shows that intellectual capital has a relationship in the same direction with the financial performance of Islamic banking. This finding indicates that Islamic banking needs to manage knowledge sourced from its employees. This will have a positive impact on improving the financial performance of Islamic banking. Knowledge management can create value for the company that will drive competitive advantage for the company.</w:t>
      </w:r>
    </w:p>
    <w:p w14:paraId="3BFF3EA2" w14:textId="4A67F8F5" w:rsidR="00131D03" w:rsidRPr="00324483" w:rsidRDefault="00C16E4E" w:rsidP="00324483">
      <w:pPr>
        <w:pStyle w:val="IEEEParagraph"/>
        <w:ind w:firstLine="720"/>
        <w:rPr>
          <w:rFonts w:ascii="Book Antiqua" w:hAnsi="Book Antiqua"/>
          <w:bCs/>
          <w:lang w:val="en-US"/>
        </w:rPr>
      </w:pPr>
      <w:r w:rsidRPr="00C16E4E">
        <w:rPr>
          <w:rFonts w:ascii="Book Antiqua" w:hAnsi="Book Antiqua" w:cstheme="majorBidi"/>
        </w:rPr>
        <w:t>While in the management aspect indicated by Good Corporate Governance (GCG), this finding shows the results of a relationship that is not in line with the financial performance of Islamic banking, meaning that the smaller the rating value or the better the application of Good Corporate Governance (GCG) in Islamic banking will improve financial performance. This indicates the determination of the number of directors should be considered in order to maximize the duties and responsibilities of the board of directors in the supervision of Islamic banking. To suppress acts of embezzlement, or abuse of authority by irresponsible parties, which will cause losses for Islamic banking.</w:t>
      </w:r>
    </w:p>
    <w:p w14:paraId="25B49263" w14:textId="6C77911F" w:rsidR="006E0692" w:rsidRDefault="006E0692" w:rsidP="006E0692">
      <w:pPr>
        <w:pStyle w:val="IEEEAuthorName"/>
        <w:spacing w:before="0" w:after="0"/>
        <w:rPr>
          <w:rFonts w:ascii="Book Antiqua" w:hAnsi="Book Antiqua"/>
          <w:color w:val="4472C4"/>
          <w:sz w:val="24"/>
          <w:lang w:val="en-AU" w:eastAsia="zh-CN"/>
        </w:rPr>
      </w:pPr>
    </w:p>
    <w:p w14:paraId="3C69DB1F" w14:textId="44282680" w:rsidR="00FF4F9B" w:rsidRPr="00620645" w:rsidRDefault="00FF4F9B" w:rsidP="00B02045">
      <w:pPr>
        <w:pStyle w:val="IEEEHeading2"/>
        <w:numPr>
          <w:ilvl w:val="0"/>
          <w:numId w:val="0"/>
        </w:numPr>
        <w:spacing w:before="0" w:after="0"/>
        <w:ind w:left="289" w:hanging="289"/>
        <w:rPr>
          <w:rFonts w:ascii="Book Antiqua" w:hAnsi="Book Antiqua"/>
          <w:b/>
          <w:i w:val="0"/>
          <w:iCs/>
          <w:sz w:val="24"/>
        </w:rPr>
      </w:pPr>
      <w:r w:rsidRPr="00620645">
        <w:rPr>
          <w:rFonts w:ascii="Book Antiqua" w:hAnsi="Book Antiqua"/>
          <w:b/>
          <w:i w:val="0"/>
          <w:iCs/>
          <w:sz w:val="24"/>
        </w:rPr>
        <w:t>References</w:t>
      </w:r>
      <w:r>
        <w:rPr>
          <w:rFonts w:ascii="Book Antiqua" w:hAnsi="Book Antiqua"/>
          <w:b/>
          <w:i w:val="0"/>
          <w:iCs/>
          <w:sz w:val="24"/>
        </w:rPr>
        <w:t xml:space="preserve"> </w:t>
      </w:r>
    </w:p>
    <w:p w14:paraId="62F015C7" w14:textId="258AC7F0" w:rsidR="00154795" w:rsidRPr="00154795" w:rsidRDefault="00154795" w:rsidP="00154795">
      <w:pPr>
        <w:widowControl w:val="0"/>
        <w:autoSpaceDE w:val="0"/>
        <w:autoSpaceDN w:val="0"/>
        <w:adjustRightInd w:val="0"/>
        <w:ind w:left="480" w:hanging="480"/>
        <w:jc w:val="both"/>
        <w:rPr>
          <w:rFonts w:ascii="Book Antiqua" w:hAnsi="Book Antiqua"/>
          <w:noProof/>
        </w:rPr>
      </w:pPr>
      <w:r>
        <w:rPr>
          <w:rFonts w:ascii="Book Antiqua" w:hAnsi="Book Antiqua"/>
          <w:lang w:val="en-GB"/>
        </w:rPr>
        <w:fldChar w:fldCharType="begin" w:fldLock="1"/>
      </w:r>
      <w:r>
        <w:rPr>
          <w:rFonts w:ascii="Book Antiqua" w:hAnsi="Book Antiqua"/>
          <w:lang w:val="en-GB"/>
        </w:rPr>
        <w:instrText xml:space="preserve">ADDIN Mendeley Bibliography CSL_BIBLIOGRAPHY </w:instrText>
      </w:r>
      <w:r>
        <w:rPr>
          <w:rFonts w:ascii="Book Antiqua" w:hAnsi="Book Antiqua"/>
          <w:lang w:val="en-GB"/>
        </w:rPr>
        <w:fldChar w:fldCharType="separate"/>
      </w:r>
      <w:r w:rsidRPr="00154795">
        <w:rPr>
          <w:rFonts w:ascii="Book Antiqua" w:hAnsi="Book Antiqua"/>
          <w:noProof/>
        </w:rPr>
        <w:t xml:space="preserve">Ahangar, R. G. (2011). The relationship between intellectual capital and financial performance: An empirical investigation in an Iranian company. </w:t>
      </w:r>
      <w:r w:rsidRPr="00154795">
        <w:rPr>
          <w:rFonts w:ascii="Book Antiqua" w:hAnsi="Book Antiqua"/>
          <w:i/>
          <w:iCs/>
          <w:noProof/>
        </w:rPr>
        <w:t xml:space="preserve">African </w:t>
      </w:r>
      <w:r w:rsidRPr="00154795">
        <w:rPr>
          <w:rFonts w:ascii="Book Antiqua" w:hAnsi="Book Antiqua"/>
          <w:i/>
          <w:iCs/>
          <w:noProof/>
        </w:rPr>
        <w:lastRenderedPageBreak/>
        <w:t>Journal of Business Management</w:t>
      </w:r>
      <w:r w:rsidRPr="00154795">
        <w:rPr>
          <w:rFonts w:ascii="Book Antiqua" w:hAnsi="Book Antiqua"/>
          <w:noProof/>
        </w:rPr>
        <w:t xml:space="preserve">, </w:t>
      </w:r>
      <w:r w:rsidRPr="00154795">
        <w:rPr>
          <w:rFonts w:ascii="Book Antiqua" w:hAnsi="Book Antiqua"/>
          <w:i/>
          <w:iCs/>
          <w:noProof/>
        </w:rPr>
        <w:t>5</w:t>
      </w:r>
      <w:r w:rsidRPr="00154795">
        <w:rPr>
          <w:rFonts w:ascii="Book Antiqua" w:hAnsi="Book Antiqua"/>
          <w:noProof/>
        </w:rPr>
        <w:t>(1), 88–95. https://doi.org/10.5897/AJBM10.712</w:t>
      </w:r>
    </w:p>
    <w:p w14:paraId="2F806808"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Ajili, H., &amp; Bouri, A. (2018). Corporate governance quality of Islamic banks: measurement and effect on financial performance. </w:t>
      </w:r>
      <w:r w:rsidRPr="00154795">
        <w:rPr>
          <w:rFonts w:ascii="Book Antiqua" w:hAnsi="Book Antiqua"/>
          <w:i/>
          <w:iCs/>
          <w:noProof/>
        </w:rPr>
        <w:t>International Journal of Islamic and Middle Eastern Finance and Management</w:t>
      </w:r>
      <w:r w:rsidRPr="00154795">
        <w:rPr>
          <w:rFonts w:ascii="Book Antiqua" w:hAnsi="Book Antiqua"/>
          <w:noProof/>
        </w:rPr>
        <w:t xml:space="preserve">, </w:t>
      </w:r>
      <w:r w:rsidRPr="00154795">
        <w:rPr>
          <w:rFonts w:ascii="Book Antiqua" w:hAnsi="Book Antiqua"/>
          <w:i/>
          <w:iCs/>
          <w:noProof/>
        </w:rPr>
        <w:t>11</w:t>
      </w:r>
      <w:r w:rsidRPr="00154795">
        <w:rPr>
          <w:rFonts w:ascii="Book Antiqua" w:hAnsi="Book Antiqua"/>
          <w:noProof/>
        </w:rPr>
        <w:t>(3), 470–487. https://doi.org/10.1108/IMEFM-05-2017-0131</w:t>
      </w:r>
    </w:p>
    <w:p w14:paraId="6C23D498"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Alfraih, M. M. (2018). What drives intellectual capital reporting? Evidence from Kuwait. </w:t>
      </w:r>
      <w:r w:rsidRPr="00154795">
        <w:rPr>
          <w:rFonts w:ascii="Book Antiqua" w:hAnsi="Book Antiqua"/>
          <w:i/>
          <w:iCs/>
          <w:noProof/>
        </w:rPr>
        <w:t>International Journal of Productivity and Performance Management</w:t>
      </w:r>
      <w:r w:rsidRPr="00154795">
        <w:rPr>
          <w:rFonts w:ascii="Book Antiqua" w:hAnsi="Book Antiqua"/>
          <w:noProof/>
        </w:rPr>
        <w:t xml:space="preserve">, </w:t>
      </w:r>
      <w:r w:rsidRPr="00154795">
        <w:rPr>
          <w:rFonts w:ascii="Book Antiqua" w:hAnsi="Book Antiqua"/>
          <w:i/>
          <w:iCs/>
          <w:noProof/>
        </w:rPr>
        <w:t>67</w:t>
      </w:r>
      <w:r w:rsidRPr="00154795">
        <w:rPr>
          <w:rFonts w:ascii="Book Antiqua" w:hAnsi="Book Antiqua"/>
          <w:noProof/>
        </w:rPr>
        <w:t>(3), 571–589. https://doi.org/10.1108/IJPPM-07-2016-0132</w:t>
      </w:r>
    </w:p>
    <w:p w14:paraId="359FB551"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Aluchna, M. (2009). Does good corporate governance matter? Best practice in Poland. </w:t>
      </w:r>
      <w:r w:rsidRPr="00154795">
        <w:rPr>
          <w:rFonts w:ascii="Book Antiqua" w:hAnsi="Book Antiqua"/>
          <w:i/>
          <w:iCs/>
          <w:noProof/>
        </w:rPr>
        <w:t>Management Research News</w:t>
      </w:r>
      <w:r w:rsidRPr="00154795">
        <w:rPr>
          <w:rFonts w:ascii="Book Antiqua" w:hAnsi="Book Antiqua"/>
          <w:noProof/>
        </w:rPr>
        <w:t xml:space="preserve">, </w:t>
      </w:r>
      <w:r w:rsidRPr="00154795">
        <w:rPr>
          <w:rFonts w:ascii="Book Antiqua" w:hAnsi="Book Antiqua"/>
          <w:i/>
          <w:iCs/>
          <w:noProof/>
        </w:rPr>
        <w:t>32</w:t>
      </w:r>
      <w:r w:rsidRPr="00154795">
        <w:rPr>
          <w:rFonts w:ascii="Book Antiqua" w:hAnsi="Book Antiqua"/>
          <w:noProof/>
        </w:rPr>
        <w:t>(2), 185–198. https://doi.org/10.1108/01409170910927631</w:t>
      </w:r>
    </w:p>
    <w:p w14:paraId="4AFBC60F"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Barney, J. (1991). Firm Resources and Sustained Competitive Advantage. </w:t>
      </w:r>
      <w:r w:rsidRPr="00154795">
        <w:rPr>
          <w:rFonts w:ascii="Book Antiqua" w:hAnsi="Book Antiqua"/>
          <w:i/>
          <w:iCs/>
          <w:noProof/>
        </w:rPr>
        <w:t>Journal of Management</w:t>
      </w:r>
      <w:r w:rsidRPr="00154795">
        <w:rPr>
          <w:rFonts w:ascii="Book Antiqua" w:hAnsi="Book Antiqua"/>
          <w:noProof/>
        </w:rPr>
        <w:t xml:space="preserve">, </w:t>
      </w:r>
      <w:r w:rsidRPr="00154795">
        <w:rPr>
          <w:rFonts w:ascii="Book Antiqua" w:hAnsi="Book Antiqua"/>
          <w:i/>
          <w:iCs/>
          <w:noProof/>
        </w:rPr>
        <w:t>17</w:t>
      </w:r>
      <w:r w:rsidRPr="00154795">
        <w:rPr>
          <w:rFonts w:ascii="Book Antiqua" w:hAnsi="Book Antiqua"/>
          <w:noProof/>
        </w:rPr>
        <w:t>(1), 99–120.</w:t>
      </w:r>
    </w:p>
    <w:p w14:paraId="37E9FAED"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Bontis, N. (1998). Intellectual capital: an exploratory study that develops measures and models. </w:t>
      </w:r>
      <w:r w:rsidRPr="00154795">
        <w:rPr>
          <w:rFonts w:ascii="Book Antiqua" w:hAnsi="Book Antiqua"/>
          <w:i/>
          <w:iCs/>
          <w:noProof/>
        </w:rPr>
        <w:t>Management Decision</w:t>
      </w:r>
      <w:r w:rsidRPr="00154795">
        <w:rPr>
          <w:rFonts w:ascii="Book Antiqua" w:hAnsi="Book Antiqua"/>
          <w:noProof/>
        </w:rPr>
        <w:t xml:space="preserve">, </w:t>
      </w:r>
      <w:r w:rsidRPr="00154795">
        <w:rPr>
          <w:rFonts w:ascii="Book Antiqua" w:hAnsi="Book Antiqua"/>
          <w:i/>
          <w:iCs/>
          <w:noProof/>
        </w:rPr>
        <w:t>36</w:t>
      </w:r>
      <w:r w:rsidRPr="00154795">
        <w:rPr>
          <w:rFonts w:ascii="Book Antiqua" w:hAnsi="Book Antiqua"/>
          <w:noProof/>
        </w:rPr>
        <w:t>(2), 63–76. https://doi.org/10.1108/00251749810204142</w:t>
      </w:r>
    </w:p>
    <w:p w14:paraId="264C28E5"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Buallay, A. (2019). Intellectual capital and performance of Islamic and conventional banking: Empirical evidence from Gulf Cooperative Council countries. </w:t>
      </w:r>
      <w:r w:rsidRPr="00154795">
        <w:rPr>
          <w:rFonts w:ascii="Book Antiqua" w:hAnsi="Book Antiqua"/>
          <w:i/>
          <w:iCs/>
          <w:noProof/>
        </w:rPr>
        <w:t>Journal of Management Development</w:t>
      </w:r>
      <w:r w:rsidRPr="00154795">
        <w:rPr>
          <w:rFonts w:ascii="Book Antiqua" w:hAnsi="Book Antiqua"/>
          <w:noProof/>
        </w:rPr>
        <w:t xml:space="preserve">, </w:t>
      </w:r>
      <w:r w:rsidRPr="00154795">
        <w:rPr>
          <w:rFonts w:ascii="Book Antiqua" w:hAnsi="Book Antiqua"/>
          <w:i/>
          <w:iCs/>
          <w:noProof/>
        </w:rPr>
        <w:t>38</w:t>
      </w:r>
      <w:r w:rsidRPr="00154795">
        <w:rPr>
          <w:rFonts w:ascii="Book Antiqua" w:hAnsi="Book Antiqua"/>
          <w:noProof/>
        </w:rPr>
        <w:t>(7), 518–537. https://doi.org/10.1108/JMD-01-2019-0020</w:t>
      </w:r>
    </w:p>
    <w:p w14:paraId="52C9A804"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Bukair, A. A., &amp; Abdul Rahman, A. (2015). Bank performance and board of directors attributes by Islamic banks. </w:t>
      </w:r>
      <w:r w:rsidRPr="00154795">
        <w:rPr>
          <w:rFonts w:ascii="Book Antiqua" w:hAnsi="Book Antiqua"/>
          <w:i/>
          <w:iCs/>
          <w:noProof/>
        </w:rPr>
        <w:t>International Journal of Islamic and Middle Eastern Finance and Management</w:t>
      </w:r>
      <w:r w:rsidRPr="00154795">
        <w:rPr>
          <w:rFonts w:ascii="Book Antiqua" w:hAnsi="Book Antiqua"/>
          <w:noProof/>
        </w:rPr>
        <w:t xml:space="preserve">, </w:t>
      </w:r>
      <w:r w:rsidRPr="00154795">
        <w:rPr>
          <w:rFonts w:ascii="Book Antiqua" w:hAnsi="Book Antiqua"/>
          <w:i/>
          <w:iCs/>
          <w:noProof/>
        </w:rPr>
        <w:t>8</w:t>
      </w:r>
      <w:r w:rsidRPr="00154795">
        <w:rPr>
          <w:rFonts w:ascii="Book Antiqua" w:hAnsi="Book Antiqua"/>
          <w:noProof/>
        </w:rPr>
        <w:t>(3), 291–309. https://doi.org/10.1108/IMEFM-10-2013-0111</w:t>
      </w:r>
    </w:p>
    <w:p w14:paraId="1D3F7E97"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Chartered Institute of Management Accountants. (2003). Understanding corporate value: managing and reporting intellectual capital. </w:t>
      </w:r>
      <w:r w:rsidRPr="00154795">
        <w:rPr>
          <w:rFonts w:ascii="Book Antiqua" w:hAnsi="Book Antiqua"/>
          <w:i/>
          <w:iCs/>
          <w:noProof/>
        </w:rPr>
        <w:t>Chartered Institute of Management Accountants</w:t>
      </w:r>
      <w:r w:rsidRPr="00154795">
        <w:rPr>
          <w:rFonts w:ascii="Book Antiqua" w:hAnsi="Book Antiqua"/>
          <w:noProof/>
        </w:rPr>
        <w:t>, 1–28.</w:t>
      </w:r>
    </w:p>
    <w:p w14:paraId="27E8383B"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Chowdhury, L. A. M., Rana, T., Akter, M., &amp; Hoque, M. (2018). Impact of intellectual capital on financial performance: evidence from the Bangladeshi textile sector. </w:t>
      </w:r>
      <w:r w:rsidRPr="00154795">
        <w:rPr>
          <w:rFonts w:ascii="Book Antiqua" w:hAnsi="Book Antiqua"/>
          <w:i/>
          <w:iCs/>
          <w:noProof/>
        </w:rPr>
        <w:t>Journal of Accounting and Organizational Change</w:t>
      </w:r>
      <w:r w:rsidRPr="00154795">
        <w:rPr>
          <w:rFonts w:ascii="Book Antiqua" w:hAnsi="Book Antiqua"/>
          <w:noProof/>
        </w:rPr>
        <w:t xml:space="preserve">, </w:t>
      </w:r>
      <w:r w:rsidRPr="00154795">
        <w:rPr>
          <w:rFonts w:ascii="Book Antiqua" w:hAnsi="Book Antiqua"/>
          <w:i/>
          <w:iCs/>
          <w:noProof/>
        </w:rPr>
        <w:t>14</w:t>
      </w:r>
      <w:r w:rsidRPr="00154795">
        <w:rPr>
          <w:rFonts w:ascii="Book Antiqua" w:hAnsi="Book Antiqua"/>
          <w:noProof/>
        </w:rPr>
        <w:t>(4), 429–454. https://doi.org/10.1108/JAOC-11-2017-0109</w:t>
      </w:r>
    </w:p>
    <w:p w14:paraId="12C1ECF4"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Dženopoljac, V., Janoševic, S., &amp; Bontis, N. (2016). Intellectual capital and financial performance in the Serbian ICT industry. </w:t>
      </w:r>
      <w:r w:rsidRPr="00154795">
        <w:rPr>
          <w:rFonts w:ascii="Book Antiqua" w:hAnsi="Book Antiqua"/>
          <w:i/>
          <w:iCs/>
          <w:noProof/>
        </w:rPr>
        <w:t>Journal of Intellectual Capital</w:t>
      </w:r>
      <w:r w:rsidRPr="00154795">
        <w:rPr>
          <w:rFonts w:ascii="Book Antiqua" w:hAnsi="Book Antiqua"/>
          <w:noProof/>
        </w:rPr>
        <w:t xml:space="preserve">, </w:t>
      </w:r>
      <w:r w:rsidRPr="00154795">
        <w:rPr>
          <w:rFonts w:ascii="Book Antiqua" w:hAnsi="Book Antiqua"/>
          <w:i/>
          <w:iCs/>
          <w:noProof/>
        </w:rPr>
        <w:t>17</w:t>
      </w:r>
      <w:r w:rsidRPr="00154795">
        <w:rPr>
          <w:rFonts w:ascii="Book Antiqua" w:hAnsi="Book Antiqua"/>
          <w:noProof/>
        </w:rPr>
        <w:t>(2), 373–396. https://doi.org/10.1108/JIC-07-2015-0068</w:t>
      </w:r>
    </w:p>
    <w:p w14:paraId="34AC04FD"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Ferguson, K. L., &amp; Reio, T. G. (2010). Human resource management systems and firm performance. </w:t>
      </w:r>
      <w:r w:rsidRPr="00154795">
        <w:rPr>
          <w:rFonts w:ascii="Book Antiqua" w:hAnsi="Book Antiqua"/>
          <w:i/>
          <w:iCs/>
          <w:noProof/>
        </w:rPr>
        <w:t>Journal of Management Development</w:t>
      </w:r>
      <w:r w:rsidRPr="00154795">
        <w:rPr>
          <w:rFonts w:ascii="Book Antiqua" w:hAnsi="Book Antiqua"/>
          <w:noProof/>
        </w:rPr>
        <w:t xml:space="preserve">, </w:t>
      </w:r>
      <w:r w:rsidRPr="00154795">
        <w:rPr>
          <w:rFonts w:ascii="Book Antiqua" w:hAnsi="Book Antiqua"/>
          <w:i/>
          <w:iCs/>
          <w:noProof/>
        </w:rPr>
        <w:t>29</w:t>
      </w:r>
      <w:r w:rsidRPr="00154795">
        <w:rPr>
          <w:rFonts w:ascii="Book Antiqua" w:hAnsi="Book Antiqua"/>
          <w:noProof/>
        </w:rPr>
        <w:t>(5), 471–494. https://doi.org/10.1108/02621711011039231</w:t>
      </w:r>
    </w:p>
    <w:p w14:paraId="4648282A"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Florackis, C. (2008). Agency costs and corporate governance mechanisms: Evidence for UK firms. </w:t>
      </w:r>
      <w:r w:rsidRPr="00154795">
        <w:rPr>
          <w:rFonts w:ascii="Book Antiqua" w:hAnsi="Book Antiqua"/>
          <w:i/>
          <w:iCs/>
          <w:noProof/>
        </w:rPr>
        <w:t>International Journal of Managerial Finance</w:t>
      </w:r>
      <w:r w:rsidRPr="00154795">
        <w:rPr>
          <w:rFonts w:ascii="Book Antiqua" w:hAnsi="Book Antiqua"/>
          <w:noProof/>
        </w:rPr>
        <w:t xml:space="preserve">, </w:t>
      </w:r>
      <w:r w:rsidRPr="00154795">
        <w:rPr>
          <w:rFonts w:ascii="Book Antiqua" w:hAnsi="Book Antiqua"/>
          <w:i/>
          <w:iCs/>
          <w:noProof/>
        </w:rPr>
        <w:t>4</w:t>
      </w:r>
      <w:r w:rsidRPr="00154795">
        <w:rPr>
          <w:rFonts w:ascii="Book Antiqua" w:hAnsi="Book Antiqua"/>
          <w:noProof/>
        </w:rPr>
        <w:t>(1), 37–59. https://doi.org/10.1108/17439130810837375</w:t>
      </w:r>
    </w:p>
    <w:p w14:paraId="5939AD52"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Gigante, G. (2013). Intellectual Capital and Bank Performance in Europe. </w:t>
      </w:r>
      <w:r w:rsidRPr="00154795">
        <w:rPr>
          <w:rFonts w:ascii="Book Antiqua" w:hAnsi="Book Antiqua"/>
          <w:i/>
          <w:iCs/>
          <w:noProof/>
        </w:rPr>
        <w:t>Accounting and Finance Research</w:t>
      </w:r>
      <w:r w:rsidRPr="00154795">
        <w:rPr>
          <w:rFonts w:ascii="Book Antiqua" w:hAnsi="Book Antiqua"/>
          <w:noProof/>
        </w:rPr>
        <w:t xml:space="preserve">, </w:t>
      </w:r>
      <w:r w:rsidRPr="00154795">
        <w:rPr>
          <w:rFonts w:ascii="Book Antiqua" w:hAnsi="Book Antiqua"/>
          <w:i/>
          <w:iCs/>
          <w:noProof/>
        </w:rPr>
        <w:t>2</w:t>
      </w:r>
      <w:r w:rsidRPr="00154795">
        <w:rPr>
          <w:rFonts w:ascii="Book Antiqua" w:hAnsi="Book Antiqua"/>
          <w:noProof/>
        </w:rPr>
        <w:t xml:space="preserve">(4), 120–129. </w:t>
      </w:r>
      <w:r w:rsidRPr="00154795">
        <w:rPr>
          <w:rFonts w:ascii="Book Antiqua" w:hAnsi="Book Antiqua"/>
          <w:noProof/>
        </w:rPr>
        <w:lastRenderedPageBreak/>
        <w:t>https://doi.org/10.5430/afr.v2n4p120</w:t>
      </w:r>
    </w:p>
    <w:p w14:paraId="14BB095E"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Gillette, H. (2002). Planning Review. </w:t>
      </w:r>
      <w:r w:rsidRPr="00154795">
        <w:rPr>
          <w:rFonts w:ascii="Book Antiqua" w:hAnsi="Book Antiqua"/>
          <w:i/>
          <w:iCs/>
          <w:noProof/>
        </w:rPr>
        <w:t>Journal of Planning History</w:t>
      </w:r>
      <w:r w:rsidRPr="00154795">
        <w:rPr>
          <w:rFonts w:ascii="Book Antiqua" w:hAnsi="Book Antiqua"/>
          <w:noProof/>
        </w:rPr>
        <w:t xml:space="preserve">, </w:t>
      </w:r>
      <w:r w:rsidRPr="00154795">
        <w:rPr>
          <w:rFonts w:ascii="Book Antiqua" w:hAnsi="Book Antiqua"/>
          <w:i/>
          <w:iCs/>
          <w:noProof/>
        </w:rPr>
        <w:t>1</w:t>
      </w:r>
      <w:r w:rsidRPr="00154795">
        <w:rPr>
          <w:rFonts w:ascii="Book Antiqua" w:hAnsi="Book Antiqua"/>
          <w:noProof/>
        </w:rPr>
        <w:t>(3), 266–269. https://doi.org/10.1177/153851320200100311</w:t>
      </w:r>
    </w:p>
    <w:p w14:paraId="6663282C"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Holland, J. (2003). Intellectual capital and the capital market – organisation and competence. </w:t>
      </w:r>
      <w:r w:rsidRPr="00154795">
        <w:rPr>
          <w:rFonts w:ascii="Book Antiqua" w:hAnsi="Book Antiqua"/>
          <w:i/>
          <w:iCs/>
          <w:noProof/>
        </w:rPr>
        <w:t>Accounting, Auditing &amp; Accountability Journal</w:t>
      </w:r>
      <w:r w:rsidRPr="00154795">
        <w:rPr>
          <w:rFonts w:ascii="Book Antiqua" w:hAnsi="Book Antiqua"/>
          <w:noProof/>
        </w:rPr>
        <w:t xml:space="preserve">, </w:t>
      </w:r>
      <w:r w:rsidRPr="00154795">
        <w:rPr>
          <w:rFonts w:ascii="Book Antiqua" w:hAnsi="Book Antiqua"/>
          <w:i/>
          <w:iCs/>
          <w:noProof/>
        </w:rPr>
        <w:t>16</w:t>
      </w:r>
      <w:r w:rsidRPr="00154795">
        <w:rPr>
          <w:rFonts w:ascii="Book Antiqua" w:hAnsi="Book Antiqua"/>
          <w:noProof/>
        </w:rPr>
        <w:t>(1), 39–48. https://doi.org/10.1108/09513570310464264</w:t>
      </w:r>
    </w:p>
    <w:p w14:paraId="050915B3"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Holland, J. (2010). Banks, knowledge and crisis: A case of knowledge and learning failure. </w:t>
      </w:r>
      <w:r w:rsidRPr="00154795">
        <w:rPr>
          <w:rFonts w:ascii="Book Antiqua" w:hAnsi="Book Antiqua"/>
          <w:i/>
          <w:iCs/>
          <w:noProof/>
        </w:rPr>
        <w:t>Journal of Financial Regulation and Compliance</w:t>
      </w:r>
      <w:r w:rsidRPr="00154795">
        <w:rPr>
          <w:rFonts w:ascii="Book Antiqua" w:hAnsi="Book Antiqua"/>
          <w:noProof/>
        </w:rPr>
        <w:t xml:space="preserve">, </w:t>
      </w:r>
      <w:r w:rsidRPr="00154795">
        <w:rPr>
          <w:rFonts w:ascii="Book Antiqua" w:hAnsi="Book Antiqua"/>
          <w:i/>
          <w:iCs/>
          <w:noProof/>
        </w:rPr>
        <w:t>18</w:t>
      </w:r>
      <w:r w:rsidRPr="00154795">
        <w:rPr>
          <w:rFonts w:ascii="Book Antiqua" w:hAnsi="Book Antiqua"/>
          <w:noProof/>
        </w:rPr>
        <w:t>(2), 87–105. https://doi.org/10.1108/13581981011033961</w:t>
      </w:r>
    </w:p>
    <w:p w14:paraId="48923537"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Jensen, M. C., &amp; Meckling, W. H. (1976). Theory of the Firm: Managerial. </w:t>
      </w:r>
      <w:r w:rsidRPr="00154795">
        <w:rPr>
          <w:rFonts w:ascii="Book Antiqua" w:hAnsi="Book Antiqua"/>
          <w:i/>
          <w:iCs/>
          <w:noProof/>
        </w:rPr>
        <w:t>Journal of Financial Economics</w:t>
      </w:r>
      <w:r w:rsidRPr="00154795">
        <w:rPr>
          <w:rFonts w:ascii="Book Antiqua" w:hAnsi="Book Antiqua"/>
          <w:noProof/>
        </w:rPr>
        <w:t xml:space="preserve">, </w:t>
      </w:r>
      <w:r w:rsidRPr="00154795">
        <w:rPr>
          <w:rFonts w:ascii="Book Antiqua" w:hAnsi="Book Antiqua"/>
          <w:i/>
          <w:iCs/>
          <w:noProof/>
        </w:rPr>
        <w:t>3</w:t>
      </w:r>
      <w:r w:rsidRPr="00154795">
        <w:rPr>
          <w:rFonts w:ascii="Book Antiqua" w:hAnsi="Book Antiqua"/>
          <w:noProof/>
        </w:rPr>
        <w:t>, 305–360. https://doi.org/http://dx.doi.org/10.1016/0304-405X(76)90026-X</w:t>
      </w:r>
    </w:p>
    <w:p w14:paraId="2C1059DF"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Kamath, B. (2008). Intellectual capital disclosure in India: content analysis of “TecK” firms. </w:t>
      </w:r>
      <w:r w:rsidRPr="00154795">
        <w:rPr>
          <w:rFonts w:ascii="Book Antiqua" w:hAnsi="Book Antiqua"/>
          <w:i/>
          <w:iCs/>
          <w:noProof/>
        </w:rPr>
        <w:t>Journal of Human Resource Costing &amp; Accounting</w:t>
      </w:r>
      <w:r w:rsidRPr="00154795">
        <w:rPr>
          <w:rFonts w:ascii="Book Antiqua" w:hAnsi="Book Antiqua"/>
          <w:noProof/>
        </w:rPr>
        <w:t xml:space="preserve">, </w:t>
      </w:r>
      <w:r w:rsidRPr="00154795">
        <w:rPr>
          <w:rFonts w:ascii="Book Antiqua" w:hAnsi="Book Antiqua"/>
          <w:i/>
          <w:iCs/>
          <w:noProof/>
        </w:rPr>
        <w:t>12</w:t>
      </w:r>
      <w:r w:rsidRPr="00154795">
        <w:rPr>
          <w:rFonts w:ascii="Book Antiqua" w:hAnsi="Book Antiqua"/>
          <w:noProof/>
        </w:rPr>
        <w:t>(3), 213–224. https://doi.org/10.1108/14013380810919859</w:t>
      </w:r>
    </w:p>
    <w:p w14:paraId="0A548027"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López-Quesada, E., Camacho-Miñano, M. del M., &amp; O. Idowu, S. (2018). Corporate governance practices and comprehensive income. </w:t>
      </w:r>
      <w:r w:rsidRPr="00154795">
        <w:rPr>
          <w:rFonts w:ascii="Book Antiqua" w:hAnsi="Book Antiqua"/>
          <w:i/>
          <w:iCs/>
          <w:noProof/>
        </w:rPr>
        <w:t>Corporate Governance (Bingley)</w:t>
      </w:r>
      <w:r w:rsidRPr="00154795">
        <w:rPr>
          <w:rFonts w:ascii="Book Antiqua" w:hAnsi="Book Antiqua"/>
          <w:noProof/>
        </w:rPr>
        <w:t xml:space="preserve">, </w:t>
      </w:r>
      <w:r w:rsidRPr="00154795">
        <w:rPr>
          <w:rFonts w:ascii="Book Antiqua" w:hAnsi="Book Antiqua"/>
          <w:i/>
          <w:iCs/>
          <w:noProof/>
        </w:rPr>
        <w:t>18</w:t>
      </w:r>
      <w:r w:rsidRPr="00154795">
        <w:rPr>
          <w:rFonts w:ascii="Book Antiqua" w:hAnsi="Book Antiqua"/>
          <w:noProof/>
        </w:rPr>
        <w:t>(3), 462–477. https://doi.org/10.1108/CG-01-2017-0011</w:t>
      </w:r>
    </w:p>
    <w:p w14:paraId="66C51E39"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Lu, K., Zhu, J., &amp; Bao, H. (2015). High-performance human resource management and firm performance: The mediating role of innovation in China. </w:t>
      </w:r>
      <w:r w:rsidRPr="00154795">
        <w:rPr>
          <w:rFonts w:ascii="Book Antiqua" w:hAnsi="Book Antiqua"/>
          <w:i/>
          <w:iCs/>
          <w:noProof/>
        </w:rPr>
        <w:t>Industrial Management &amp; Data Systems</w:t>
      </w:r>
      <w:r w:rsidRPr="00154795">
        <w:rPr>
          <w:rFonts w:ascii="Book Antiqua" w:hAnsi="Book Antiqua"/>
          <w:noProof/>
        </w:rPr>
        <w:t xml:space="preserve">, </w:t>
      </w:r>
      <w:r w:rsidRPr="00154795">
        <w:rPr>
          <w:rFonts w:ascii="Book Antiqua" w:hAnsi="Book Antiqua"/>
          <w:i/>
          <w:iCs/>
          <w:noProof/>
        </w:rPr>
        <w:t>115</w:t>
      </w:r>
      <w:r w:rsidRPr="00154795">
        <w:rPr>
          <w:rFonts w:ascii="Book Antiqua" w:hAnsi="Book Antiqua"/>
          <w:noProof/>
        </w:rPr>
        <w:t>(2), 353–382.</w:t>
      </w:r>
    </w:p>
    <w:p w14:paraId="33256A8B"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Mahrani, M., &amp; Soewarno, N. (2018). The effect of good corporate governance mechanism and corporate social responsibility on financial performance with earnings management as mediating variable. </w:t>
      </w:r>
      <w:r w:rsidRPr="00154795">
        <w:rPr>
          <w:rFonts w:ascii="Book Antiqua" w:hAnsi="Book Antiqua"/>
          <w:i/>
          <w:iCs/>
          <w:noProof/>
        </w:rPr>
        <w:t>Asian Journal of Accounting Research</w:t>
      </w:r>
      <w:r w:rsidRPr="00154795">
        <w:rPr>
          <w:rFonts w:ascii="Book Antiqua" w:hAnsi="Book Antiqua"/>
          <w:noProof/>
        </w:rPr>
        <w:t xml:space="preserve">, </w:t>
      </w:r>
      <w:r w:rsidRPr="00154795">
        <w:rPr>
          <w:rFonts w:ascii="Book Antiqua" w:hAnsi="Book Antiqua"/>
          <w:i/>
          <w:iCs/>
          <w:noProof/>
        </w:rPr>
        <w:t>3</w:t>
      </w:r>
      <w:r w:rsidRPr="00154795">
        <w:rPr>
          <w:rFonts w:ascii="Book Antiqua" w:hAnsi="Book Antiqua"/>
          <w:noProof/>
        </w:rPr>
        <w:t>(1), 41–60. https://doi.org/10.1108/ajar-06-2018-0008</w:t>
      </w:r>
    </w:p>
    <w:p w14:paraId="3D75174F"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Mangesti Rahayu, S. (2019). Mediation effects financial performance toward influences of corporate growth and assets utilization. </w:t>
      </w:r>
      <w:r w:rsidRPr="00154795">
        <w:rPr>
          <w:rFonts w:ascii="Book Antiqua" w:hAnsi="Book Antiqua"/>
          <w:i/>
          <w:iCs/>
          <w:noProof/>
        </w:rPr>
        <w:t>International Journal of Productivity and Performance Management</w:t>
      </w:r>
      <w:r w:rsidRPr="00154795">
        <w:rPr>
          <w:rFonts w:ascii="Book Antiqua" w:hAnsi="Book Antiqua"/>
          <w:noProof/>
        </w:rPr>
        <w:t xml:space="preserve">, </w:t>
      </w:r>
      <w:r w:rsidRPr="00154795">
        <w:rPr>
          <w:rFonts w:ascii="Book Antiqua" w:hAnsi="Book Antiqua"/>
          <w:i/>
          <w:iCs/>
          <w:noProof/>
        </w:rPr>
        <w:t>68</w:t>
      </w:r>
      <w:r w:rsidRPr="00154795">
        <w:rPr>
          <w:rFonts w:ascii="Book Antiqua" w:hAnsi="Book Antiqua"/>
          <w:noProof/>
        </w:rPr>
        <w:t>(5), 981–996. https://doi.org/10.1108/IJPPM-05-2018-0199</w:t>
      </w:r>
    </w:p>
    <w:p w14:paraId="500C101C"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Martilla, J. A., &amp; James, J. C. (1977). Importance-Performance Analysis</w:t>
      </w:r>
      <w:r w:rsidRPr="00154795">
        <w:rPr>
          <w:noProof/>
        </w:rPr>
        <w:t> </w:t>
      </w:r>
      <w:r w:rsidRPr="00154795">
        <w:rPr>
          <w:rFonts w:ascii="Book Antiqua" w:hAnsi="Book Antiqua"/>
          <w:noProof/>
        </w:rPr>
        <w:t xml:space="preserve">: An easily-applied technique for measuring attribute importance and performance can further the development of effective marketing programs. </w:t>
      </w:r>
      <w:r w:rsidRPr="00154795">
        <w:rPr>
          <w:rFonts w:ascii="Book Antiqua" w:hAnsi="Book Antiqua"/>
          <w:i/>
          <w:iCs/>
          <w:noProof/>
        </w:rPr>
        <w:t>Journal of Marketing</w:t>
      </w:r>
      <w:r w:rsidRPr="00154795">
        <w:rPr>
          <w:rFonts w:ascii="Book Antiqua" w:hAnsi="Book Antiqua"/>
          <w:noProof/>
        </w:rPr>
        <w:t xml:space="preserve">, </w:t>
      </w:r>
      <w:r w:rsidRPr="00154795">
        <w:rPr>
          <w:rFonts w:ascii="Book Antiqua" w:hAnsi="Book Antiqua"/>
          <w:i/>
          <w:iCs/>
          <w:noProof/>
        </w:rPr>
        <w:t>2</w:t>
      </w:r>
      <w:r w:rsidRPr="00154795">
        <w:rPr>
          <w:rFonts w:ascii="Book Antiqua" w:hAnsi="Book Antiqua"/>
          <w:noProof/>
        </w:rPr>
        <w:t>(4), 77–79.</w:t>
      </w:r>
    </w:p>
    <w:p w14:paraId="79D2D6EA"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Maztoul, S. B. . (2014). Does corporate governance matter in meeting and beating analysts’ forecasts. </w:t>
      </w:r>
      <w:r w:rsidRPr="00154795">
        <w:rPr>
          <w:rFonts w:ascii="Book Antiqua" w:hAnsi="Book Antiqua"/>
          <w:i/>
          <w:iCs/>
          <w:noProof/>
        </w:rPr>
        <w:t>International Journal of Business and Management</w:t>
      </w:r>
      <w:r w:rsidRPr="00154795">
        <w:rPr>
          <w:rFonts w:ascii="Book Antiqua" w:hAnsi="Book Antiqua"/>
          <w:noProof/>
        </w:rPr>
        <w:t xml:space="preserve">, </w:t>
      </w:r>
      <w:r w:rsidRPr="00154795">
        <w:rPr>
          <w:rFonts w:ascii="Book Antiqua" w:hAnsi="Book Antiqua"/>
          <w:i/>
          <w:iCs/>
          <w:noProof/>
        </w:rPr>
        <w:t>14</w:t>
      </w:r>
      <w:r w:rsidRPr="00154795">
        <w:rPr>
          <w:rFonts w:ascii="Book Antiqua" w:hAnsi="Book Antiqua"/>
          <w:noProof/>
        </w:rPr>
        <w:t>(2), 276–290.</w:t>
      </w:r>
    </w:p>
    <w:p w14:paraId="288BB98F"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Mention, A. L., &amp; Bontis, N. (2013). Intellectual capital and performance within the banking sector of Luxembourg and Belgium. </w:t>
      </w:r>
      <w:r w:rsidRPr="00154795">
        <w:rPr>
          <w:rFonts w:ascii="Book Antiqua" w:hAnsi="Book Antiqua"/>
          <w:i/>
          <w:iCs/>
          <w:noProof/>
        </w:rPr>
        <w:t>Journal of Intellectual Capital</w:t>
      </w:r>
      <w:r w:rsidRPr="00154795">
        <w:rPr>
          <w:rFonts w:ascii="Book Antiqua" w:hAnsi="Book Antiqua"/>
          <w:noProof/>
        </w:rPr>
        <w:t xml:space="preserve">, </w:t>
      </w:r>
      <w:r w:rsidRPr="00154795">
        <w:rPr>
          <w:rFonts w:ascii="Book Antiqua" w:hAnsi="Book Antiqua"/>
          <w:i/>
          <w:iCs/>
          <w:noProof/>
        </w:rPr>
        <w:t>14</w:t>
      </w:r>
      <w:r w:rsidRPr="00154795">
        <w:rPr>
          <w:rFonts w:ascii="Book Antiqua" w:hAnsi="Book Antiqua"/>
          <w:noProof/>
        </w:rPr>
        <w:t>(2), 286–309. https://doi.org/10.1108/14691931311323896</w:t>
      </w:r>
    </w:p>
    <w:p w14:paraId="135A61D1"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Mollah, S., Hassan, M. K., Al Farooque, O., &amp; Mobarek, A. (2017). The governance, risk-taking, and performance of Islamic banks. </w:t>
      </w:r>
      <w:r w:rsidRPr="00154795">
        <w:rPr>
          <w:rFonts w:ascii="Book Antiqua" w:hAnsi="Book Antiqua"/>
          <w:i/>
          <w:iCs/>
          <w:noProof/>
        </w:rPr>
        <w:t>Journal of Financial Services Research</w:t>
      </w:r>
      <w:r w:rsidRPr="00154795">
        <w:rPr>
          <w:rFonts w:ascii="Book Antiqua" w:hAnsi="Book Antiqua"/>
          <w:noProof/>
        </w:rPr>
        <w:t xml:space="preserve">, </w:t>
      </w:r>
      <w:r w:rsidRPr="00154795">
        <w:rPr>
          <w:rFonts w:ascii="Book Antiqua" w:hAnsi="Book Antiqua"/>
          <w:i/>
          <w:iCs/>
          <w:noProof/>
        </w:rPr>
        <w:t>51</w:t>
      </w:r>
      <w:r w:rsidRPr="00154795">
        <w:rPr>
          <w:rFonts w:ascii="Book Antiqua" w:hAnsi="Book Antiqua"/>
          <w:noProof/>
        </w:rPr>
        <w:t>(2), 195–219. https://doi.org/10.1007/s10693-016-0245-2</w:t>
      </w:r>
    </w:p>
    <w:p w14:paraId="0D67519E"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lastRenderedPageBreak/>
        <w:t xml:space="preserve">Mudjijah, S., Khalid, Z., &amp; Astuti, D. A. S. (2019). Pengaruh Kinerja Keuangan dan Struktur Modal Terhadap Nilai Perusahaan yang Dimoderasi Variabel Ukuran Perusahaan. </w:t>
      </w:r>
      <w:r w:rsidRPr="00154795">
        <w:rPr>
          <w:rFonts w:ascii="Book Antiqua" w:hAnsi="Book Antiqua"/>
          <w:i/>
          <w:iCs/>
          <w:noProof/>
        </w:rPr>
        <w:t>Jurnal Akuntansi Dan Keuangan</w:t>
      </w:r>
      <w:r w:rsidRPr="00154795">
        <w:rPr>
          <w:rFonts w:ascii="Book Antiqua" w:hAnsi="Book Antiqua"/>
          <w:noProof/>
        </w:rPr>
        <w:t xml:space="preserve">, </w:t>
      </w:r>
      <w:r w:rsidRPr="00154795">
        <w:rPr>
          <w:rFonts w:ascii="Book Antiqua" w:hAnsi="Book Antiqua"/>
          <w:i/>
          <w:iCs/>
          <w:noProof/>
        </w:rPr>
        <w:t>8</w:t>
      </w:r>
      <w:r w:rsidRPr="00154795">
        <w:rPr>
          <w:rFonts w:ascii="Book Antiqua" w:hAnsi="Book Antiqua"/>
          <w:noProof/>
        </w:rPr>
        <w:t>(1), 2252–7141. https://doi.org/10.1017/CBO9781107415324.004</w:t>
      </w:r>
    </w:p>
    <w:p w14:paraId="4FB2C0D6"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Navarro, M. ., &amp; Ansón, S. . (2009). Do families shape corporate governance structure? </w:t>
      </w:r>
      <w:r w:rsidRPr="00154795">
        <w:rPr>
          <w:rFonts w:ascii="Book Antiqua" w:hAnsi="Book Antiqua"/>
          <w:i/>
          <w:iCs/>
          <w:noProof/>
        </w:rPr>
        <w:t>Journal of Management &amp; Organization</w:t>
      </w:r>
      <w:r w:rsidRPr="00154795">
        <w:rPr>
          <w:rFonts w:ascii="Book Antiqua" w:hAnsi="Book Antiqua"/>
          <w:noProof/>
        </w:rPr>
        <w:t xml:space="preserve">, </w:t>
      </w:r>
      <w:r w:rsidRPr="00154795">
        <w:rPr>
          <w:rFonts w:ascii="Book Antiqua" w:hAnsi="Book Antiqua"/>
          <w:i/>
          <w:iCs/>
          <w:noProof/>
        </w:rPr>
        <w:t>16</w:t>
      </w:r>
      <w:r w:rsidRPr="00154795">
        <w:rPr>
          <w:rFonts w:ascii="Book Antiqua" w:hAnsi="Book Antiqua"/>
          <w:noProof/>
        </w:rPr>
        <w:t>(3), 327–345.</w:t>
      </w:r>
    </w:p>
    <w:p w14:paraId="179CB28D"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Nawaz, T., &amp; Haniffa, R. (2017). Determinants of financial performance of Islamic banks: an intellectual capital perspective. </w:t>
      </w:r>
      <w:r w:rsidRPr="00154795">
        <w:rPr>
          <w:rFonts w:ascii="Book Antiqua" w:hAnsi="Book Antiqua"/>
          <w:i/>
          <w:iCs/>
          <w:noProof/>
        </w:rPr>
        <w:t>Journal of Islamic Accounting and Business Research</w:t>
      </w:r>
      <w:r w:rsidRPr="00154795">
        <w:rPr>
          <w:rFonts w:ascii="Book Antiqua" w:hAnsi="Book Antiqua"/>
          <w:noProof/>
        </w:rPr>
        <w:t xml:space="preserve">, </w:t>
      </w:r>
      <w:r w:rsidRPr="00154795">
        <w:rPr>
          <w:rFonts w:ascii="Book Antiqua" w:hAnsi="Book Antiqua"/>
          <w:i/>
          <w:iCs/>
          <w:noProof/>
        </w:rPr>
        <w:t>8</w:t>
      </w:r>
      <w:r w:rsidRPr="00154795">
        <w:rPr>
          <w:rFonts w:ascii="Book Antiqua" w:hAnsi="Book Antiqua"/>
          <w:noProof/>
        </w:rPr>
        <w:t>(2), 130–142. https://doi.org/10.1108/JIABR-06-2016-0071</w:t>
      </w:r>
    </w:p>
    <w:p w14:paraId="717A98C5"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Nguyen, T., Locke, S., &amp; Reddy, K. (2014). A dynamic estimation of governance structures and financial performance for Singaporean companies. </w:t>
      </w:r>
      <w:r w:rsidRPr="00154795">
        <w:rPr>
          <w:rFonts w:ascii="Book Antiqua" w:hAnsi="Book Antiqua"/>
          <w:i/>
          <w:iCs/>
          <w:noProof/>
        </w:rPr>
        <w:t>Economic Modelling</w:t>
      </w:r>
      <w:r w:rsidRPr="00154795">
        <w:rPr>
          <w:rFonts w:ascii="Book Antiqua" w:hAnsi="Book Antiqua"/>
          <w:noProof/>
        </w:rPr>
        <w:t xml:space="preserve">, </w:t>
      </w:r>
      <w:r w:rsidRPr="00154795">
        <w:rPr>
          <w:rFonts w:ascii="Book Antiqua" w:hAnsi="Book Antiqua"/>
          <w:i/>
          <w:iCs/>
          <w:noProof/>
        </w:rPr>
        <w:t>40</w:t>
      </w:r>
      <w:r w:rsidRPr="00154795">
        <w:rPr>
          <w:rFonts w:ascii="Book Antiqua" w:hAnsi="Book Antiqua"/>
          <w:noProof/>
        </w:rPr>
        <w:t>, 1–11. https://doi.org/10.1016/j.econmod.2014.03.013</w:t>
      </w:r>
    </w:p>
    <w:p w14:paraId="0743BDB3"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Nikolaj Bukh, P. (2003). The relevance of intellectual capital disclosure: A paradox? </w:t>
      </w:r>
      <w:r w:rsidRPr="00154795">
        <w:rPr>
          <w:rFonts w:ascii="Book Antiqua" w:hAnsi="Book Antiqua"/>
          <w:i/>
          <w:iCs/>
          <w:noProof/>
        </w:rPr>
        <w:t>Accounting, Auditing &amp; Accountability Journal</w:t>
      </w:r>
      <w:r w:rsidRPr="00154795">
        <w:rPr>
          <w:rFonts w:ascii="Book Antiqua" w:hAnsi="Book Antiqua"/>
          <w:noProof/>
        </w:rPr>
        <w:t xml:space="preserve">, </w:t>
      </w:r>
      <w:r w:rsidRPr="00154795">
        <w:rPr>
          <w:rFonts w:ascii="Book Antiqua" w:hAnsi="Book Antiqua"/>
          <w:i/>
          <w:iCs/>
          <w:noProof/>
        </w:rPr>
        <w:t>16</w:t>
      </w:r>
      <w:r w:rsidRPr="00154795">
        <w:rPr>
          <w:rFonts w:ascii="Book Antiqua" w:hAnsi="Book Antiqua"/>
          <w:noProof/>
        </w:rPr>
        <w:t>(1), 49–56. https://doi.org/10.1108/09513570310464273</w:t>
      </w:r>
    </w:p>
    <w:p w14:paraId="4CD12084"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Nimtrakoon, S. (2015). The Relationship Between Intellectual Capital, Firms’ market value and Financial Performance: Empirical evidence from the ASEAN. </w:t>
      </w:r>
      <w:r w:rsidRPr="00154795">
        <w:rPr>
          <w:rFonts w:ascii="Book Antiqua" w:hAnsi="Book Antiqua"/>
          <w:i/>
          <w:iCs/>
          <w:noProof/>
        </w:rPr>
        <w:t>Journal of Intellectual Capital</w:t>
      </w:r>
      <w:r w:rsidRPr="00154795">
        <w:rPr>
          <w:rFonts w:ascii="Book Antiqua" w:hAnsi="Book Antiqua"/>
          <w:noProof/>
        </w:rPr>
        <w:t xml:space="preserve">, </w:t>
      </w:r>
      <w:r w:rsidRPr="00154795">
        <w:rPr>
          <w:rFonts w:ascii="Book Antiqua" w:hAnsi="Book Antiqua"/>
          <w:i/>
          <w:iCs/>
          <w:noProof/>
        </w:rPr>
        <w:t>16</w:t>
      </w:r>
      <w:r w:rsidRPr="00154795">
        <w:rPr>
          <w:rFonts w:ascii="Book Antiqua" w:hAnsi="Book Antiqua"/>
          <w:noProof/>
        </w:rPr>
        <w:t>(3), 587–618.</w:t>
      </w:r>
    </w:p>
    <w:p w14:paraId="0DD95367"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Nuryaman. (2015). The Influence of Intellectual Capital on The Firm’s Value with The Financial Performance as Intervening Variable. </w:t>
      </w:r>
      <w:r w:rsidRPr="00154795">
        <w:rPr>
          <w:rFonts w:ascii="Book Antiqua" w:hAnsi="Book Antiqua"/>
          <w:i/>
          <w:iCs/>
          <w:noProof/>
        </w:rPr>
        <w:t>Procedia - Social and Behavioral Sciences</w:t>
      </w:r>
      <w:r w:rsidRPr="00154795">
        <w:rPr>
          <w:rFonts w:ascii="Book Antiqua" w:hAnsi="Book Antiqua"/>
          <w:noProof/>
        </w:rPr>
        <w:t xml:space="preserve">, </w:t>
      </w:r>
      <w:r w:rsidRPr="00154795">
        <w:rPr>
          <w:rFonts w:ascii="Book Antiqua" w:hAnsi="Book Antiqua"/>
          <w:i/>
          <w:iCs/>
          <w:noProof/>
        </w:rPr>
        <w:t>211</w:t>
      </w:r>
      <w:r w:rsidRPr="00154795">
        <w:rPr>
          <w:rFonts w:ascii="Book Antiqua" w:hAnsi="Book Antiqua"/>
          <w:noProof/>
        </w:rPr>
        <w:t>(September), 292–298. https://doi.org/10.1016/j.sbspro.2015.11.037</w:t>
      </w:r>
    </w:p>
    <w:p w14:paraId="65615C06"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Ofoeda, I. (2016). </w:t>
      </w:r>
      <w:r w:rsidRPr="00154795">
        <w:rPr>
          <w:rFonts w:ascii="Book Antiqua" w:hAnsi="Book Antiqua"/>
          <w:i/>
          <w:iCs/>
          <w:noProof/>
        </w:rPr>
        <w:t>and non-bank financial institutions profitability Corporate Governance International Journal of Law and Management</w:t>
      </w:r>
      <w:r w:rsidRPr="00154795">
        <w:rPr>
          <w:rFonts w:ascii="Book Antiqua" w:hAnsi="Book Antiqua"/>
          <w:noProof/>
        </w:rPr>
        <w:t>.</w:t>
      </w:r>
    </w:p>
    <w:p w14:paraId="63144891"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Orazalin, N., Mahmood, M., &amp; Jung Lee, K. (2016). Corporate governance, financial crises and bank performance: lessons from top Russian banks. </w:t>
      </w:r>
      <w:r w:rsidRPr="00154795">
        <w:rPr>
          <w:rFonts w:ascii="Book Antiqua" w:hAnsi="Book Antiqua"/>
          <w:i/>
          <w:iCs/>
          <w:noProof/>
        </w:rPr>
        <w:t>Corporate Governance (Bingley)</w:t>
      </w:r>
      <w:r w:rsidRPr="00154795">
        <w:rPr>
          <w:rFonts w:ascii="Book Antiqua" w:hAnsi="Book Antiqua"/>
          <w:noProof/>
        </w:rPr>
        <w:t xml:space="preserve">, </w:t>
      </w:r>
      <w:r w:rsidRPr="00154795">
        <w:rPr>
          <w:rFonts w:ascii="Book Antiqua" w:hAnsi="Book Antiqua"/>
          <w:i/>
          <w:iCs/>
          <w:noProof/>
        </w:rPr>
        <w:t>16</w:t>
      </w:r>
      <w:r w:rsidRPr="00154795">
        <w:rPr>
          <w:rFonts w:ascii="Book Antiqua" w:hAnsi="Book Antiqua"/>
          <w:noProof/>
        </w:rPr>
        <w:t>(5), 798–814. https://doi.org/10.1108/CG-10-2015-0145</w:t>
      </w:r>
    </w:p>
    <w:p w14:paraId="1C30BC38"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Palaniappan, G. (2017). Determinants of corporate financial performance relating to board characteristics of corporate governance in Indian manufacturing industry: An empirical study. </w:t>
      </w:r>
      <w:r w:rsidRPr="00154795">
        <w:rPr>
          <w:rFonts w:ascii="Book Antiqua" w:hAnsi="Book Antiqua"/>
          <w:i/>
          <w:iCs/>
          <w:noProof/>
        </w:rPr>
        <w:t>European Journal of Management and Business Economics</w:t>
      </w:r>
      <w:r w:rsidRPr="00154795">
        <w:rPr>
          <w:rFonts w:ascii="Book Antiqua" w:hAnsi="Book Antiqua"/>
          <w:noProof/>
        </w:rPr>
        <w:t xml:space="preserve">, </w:t>
      </w:r>
      <w:r w:rsidRPr="00154795">
        <w:rPr>
          <w:rFonts w:ascii="Book Antiqua" w:hAnsi="Book Antiqua"/>
          <w:i/>
          <w:iCs/>
          <w:noProof/>
        </w:rPr>
        <w:t>26</w:t>
      </w:r>
      <w:r w:rsidRPr="00154795">
        <w:rPr>
          <w:rFonts w:ascii="Book Antiqua" w:hAnsi="Book Antiqua"/>
          <w:noProof/>
        </w:rPr>
        <w:t>(1), 67–85. https://doi.org/10.1108/EJMBE-07-2017-005</w:t>
      </w:r>
    </w:p>
    <w:p w14:paraId="14B16625"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Pfeffer, J. (1995). Producing sustainable competitive advantage through the effective management of people. </w:t>
      </w:r>
      <w:r w:rsidRPr="00154795">
        <w:rPr>
          <w:rFonts w:ascii="Book Antiqua" w:hAnsi="Book Antiqua"/>
          <w:i/>
          <w:iCs/>
          <w:noProof/>
        </w:rPr>
        <w:t>Academy of Management Perspectives</w:t>
      </w:r>
      <w:r w:rsidRPr="00154795">
        <w:rPr>
          <w:rFonts w:ascii="Book Antiqua" w:hAnsi="Book Antiqua"/>
          <w:noProof/>
        </w:rPr>
        <w:t xml:space="preserve">, </w:t>
      </w:r>
      <w:r w:rsidRPr="00154795">
        <w:rPr>
          <w:rFonts w:ascii="Book Antiqua" w:hAnsi="Book Antiqua"/>
          <w:i/>
          <w:iCs/>
          <w:noProof/>
        </w:rPr>
        <w:t>9</w:t>
      </w:r>
      <w:r w:rsidRPr="00154795">
        <w:rPr>
          <w:rFonts w:ascii="Book Antiqua" w:hAnsi="Book Antiqua"/>
          <w:noProof/>
        </w:rPr>
        <w:t>(1), 55–69. https://doi.org/10.5465/ame.1995.9503133495</w:t>
      </w:r>
    </w:p>
    <w:p w14:paraId="74A85CF3"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Pulic, A. (2004). Intellectual capital – does it create or destroy value? </w:t>
      </w:r>
      <w:r w:rsidRPr="00154795">
        <w:rPr>
          <w:rFonts w:ascii="Book Antiqua" w:hAnsi="Book Antiqua"/>
          <w:i/>
          <w:iCs/>
          <w:noProof/>
        </w:rPr>
        <w:t>Measuring Business Excellence</w:t>
      </w:r>
      <w:r w:rsidRPr="00154795">
        <w:rPr>
          <w:rFonts w:ascii="Book Antiqua" w:hAnsi="Book Antiqua"/>
          <w:noProof/>
        </w:rPr>
        <w:t xml:space="preserve">, </w:t>
      </w:r>
      <w:r w:rsidRPr="00154795">
        <w:rPr>
          <w:rFonts w:ascii="Book Antiqua" w:hAnsi="Book Antiqua"/>
          <w:i/>
          <w:iCs/>
          <w:noProof/>
        </w:rPr>
        <w:t>8</w:t>
      </w:r>
      <w:r w:rsidRPr="00154795">
        <w:rPr>
          <w:rFonts w:ascii="Book Antiqua" w:hAnsi="Book Antiqua"/>
          <w:noProof/>
        </w:rPr>
        <w:t>(1), 62–68. https://doi.org/10.1108/13683040410524757</w:t>
      </w:r>
    </w:p>
    <w:p w14:paraId="7A02C95D"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Rechberg, I., &amp; Syed, J. (2013). Ethical issues in knowledge management: Conflict of knowledge ownership. </w:t>
      </w:r>
      <w:r w:rsidRPr="00154795">
        <w:rPr>
          <w:rFonts w:ascii="Book Antiqua" w:hAnsi="Book Antiqua"/>
          <w:i/>
          <w:iCs/>
          <w:noProof/>
        </w:rPr>
        <w:t>Journal of Knowledge Management</w:t>
      </w:r>
      <w:r w:rsidRPr="00154795">
        <w:rPr>
          <w:rFonts w:ascii="Book Antiqua" w:hAnsi="Book Antiqua"/>
          <w:noProof/>
        </w:rPr>
        <w:t xml:space="preserve">, </w:t>
      </w:r>
      <w:r w:rsidRPr="00154795">
        <w:rPr>
          <w:rFonts w:ascii="Book Antiqua" w:hAnsi="Book Antiqua"/>
          <w:i/>
          <w:iCs/>
          <w:noProof/>
        </w:rPr>
        <w:t>17</w:t>
      </w:r>
      <w:r w:rsidRPr="00154795">
        <w:rPr>
          <w:rFonts w:ascii="Book Antiqua" w:hAnsi="Book Antiqua"/>
          <w:noProof/>
        </w:rPr>
        <w:t>(6), 828–847. https://doi.org/10.1108/JKM-06-2013-0232</w:t>
      </w:r>
    </w:p>
    <w:p w14:paraId="57F3F4FD"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Saidat, Z., Silva, M., &amp; Seaman, C. (2019). The relationship between corporate governance and financial performance: Evidence from Jordanian family and </w:t>
      </w:r>
      <w:r w:rsidRPr="00154795">
        <w:rPr>
          <w:rFonts w:ascii="Book Antiqua" w:hAnsi="Book Antiqua"/>
          <w:noProof/>
        </w:rPr>
        <w:lastRenderedPageBreak/>
        <w:t xml:space="preserve">nonfamily firms. </w:t>
      </w:r>
      <w:r w:rsidRPr="00154795">
        <w:rPr>
          <w:rFonts w:ascii="Book Antiqua" w:hAnsi="Book Antiqua"/>
          <w:i/>
          <w:iCs/>
          <w:noProof/>
        </w:rPr>
        <w:t>Journal of Family Business Management</w:t>
      </w:r>
      <w:r w:rsidRPr="00154795">
        <w:rPr>
          <w:rFonts w:ascii="Book Antiqua" w:hAnsi="Book Antiqua"/>
          <w:noProof/>
        </w:rPr>
        <w:t xml:space="preserve">, </w:t>
      </w:r>
      <w:r w:rsidRPr="00154795">
        <w:rPr>
          <w:rFonts w:ascii="Book Antiqua" w:hAnsi="Book Antiqua"/>
          <w:i/>
          <w:iCs/>
          <w:noProof/>
        </w:rPr>
        <w:t>9</w:t>
      </w:r>
      <w:r w:rsidRPr="00154795">
        <w:rPr>
          <w:rFonts w:ascii="Book Antiqua" w:hAnsi="Book Antiqua"/>
          <w:noProof/>
        </w:rPr>
        <w:t>(1), 54–78. https://doi.org/10.1108/JFBM-11-2017-0036</w:t>
      </w:r>
    </w:p>
    <w:p w14:paraId="450A5FA8"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Salam, A. (2014). </w:t>
      </w:r>
      <w:r w:rsidRPr="00154795">
        <w:rPr>
          <w:rFonts w:ascii="Book Antiqua" w:hAnsi="Book Antiqua"/>
          <w:i/>
          <w:iCs/>
          <w:noProof/>
        </w:rPr>
        <w:t>Manajemen Insani Dalam Bisns</w:t>
      </w:r>
      <w:r w:rsidRPr="00154795">
        <w:rPr>
          <w:rFonts w:ascii="Book Antiqua" w:hAnsi="Book Antiqua"/>
          <w:noProof/>
        </w:rPr>
        <w:t>. Pustaka Pelajar.</w:t>
      </w:r>
    </w:p>
    <w:p w14:paraId="3A049064"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Sardo, F., &amp; Serrasqueiro, Z. (2018). Intellectual capital, growth opportunities, and financial performance in European firms: Dynamic panel data analysis. </w:t>
      </w:r>
      <w:r w:rsidRPr="00154795">
        <w:rPr>
          <w:rFonts w:ascii="Book Antiqua" w:hAnsi="Book Antiqua"/>
          <w:i/>
          <w:iCs/>
          <w:noProof/>
        </w:rPr>
        <w:t>Journal of Intellectual Capital</w:t>
      </w:r>
      <w:r w:rsidRPr="00154795">
        <w:rPr>
          <w:rFonts w:ascii="Book Antiqua" w:hAnsi="Book Antiqua"/>
          <w:noProof/>
        </w:rPr>
        <w:t xml:space="preserve">, </w:t>
      </w:r>
      <w:r w:rsidRPr="00154795">
        <w:rPr>
          <w:rFonts w:ascii="Book Antiqua" w:hAnsi="Book Antiqua"/>
          <w:i/>
          <w:iCs/>
          <w:noProof/>
        </w:rPr>
        <w:t>19</w:t>
      </w:r>
      <w:r w:rsidRPr="00154795">
        <w:rPr>
          <w:rFonts w:ascii="Book Antiqua" w:hAnsi="Book Antiqua"/>
          <w:noProof/>
        </w:rPr>
        <w:t>(4), 747–767. https://doi.org/10.1108/JIC-07-2017-0099</w:t>
      </w:r>
    </w:p>
    <w:p w14:paraId="5C24166E"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Ulum, I. (2013). Model Pengukuran Kinerja Intellectual Capital Dengan Ib-Vaic Di Perbankan Syariah. </w:t>
      </w:r>
      <w:r w:rsidRPr="00154795">
        <w:rPr>
          <w:rFonts w:ascii="Book Antiqua" w:hAnsi="Book Antiqua"/>
          <w:i/>
          <w:iCs/>
          <w:noProof/>
        </w:rPr>
        <w:t>Inferensi</w:t>
      </w:r>
      <w:r w:rsidRPr="00154795">
        <w:rPr>
          <w:rFonts w:ascii="Book Antiqua" w:hAnsi="Book Antiqua"/>
          <w:noProof/>
        </w:rPr>
        <w:t xml:space="preserve">, </w:t>
      </w:r>
      <w:r w:rsidRPr="00154795">
        <w:rPr>
          <w:rFonts w:ascii="Book Antiqua" w:hAnsi="Book Antiqua"/>
          <w:i/>
          <w:iCs/>
          <w:noProof/>
        </w:rPr>
        <w:t>7</w:t>
      </w:r>
      <w:r w:rsidRPr="00154795">
        <w:rPr>
          <w:rFonts w:ascii="Book Antiqua" w:hAnsi="Book Antiqua"/>
          <w:noProof/>
        </w:rPr>
        <w:t>(1), 185. https://doi.org/10.18326/infsl3.v7i1.185-206</w:t>
      </w:r>
    </w:p>
    <w:p w14:paraId="6F7D6C73" w14:textId="77777777" w:rsidR="00154795" w:rsidRPr="00154795" w:rsidRDefault="00154795" w:rsidP="00154795">
      <w:pPr>
        <w:widowControl w:val="0"/>
        <w:autoSpaceDE w:val="0"/>
        <w:autoSpaceDN w:val="0"/>
        <w:adjustRightInd w:val="0"/>
        <w:ind w:left="480" w:hanging="480"/>
        <w:jc w:val="both"/>
        <w:rPr>
          <w:rFonts w:ascii="Book Antiqua" w:hAnsi="Book Antiqua"/>
          <w:noProof/>
        </w:rPr>
      </w:pPr>
      <w:r w:rsidRPr="00154795">
        <w:rPr>
          <w:rFonts w:ascii="Book Antiqua" w:hAnsi="Book Antiqua"/>
          <w:noProof/>
        </w:rPr>
        <w:t xml:space="preserve">Zainal, R. V., Basalamah, S., &amp; Muhammad, N. (2014). </w:t>
      </w:r>
      <w:r w:rsidRPr="00154795">
        <w:rPr>
          <w:rFonts w:ascii="Book Antiqua" w:hAnsi="Book Antiqua"/>
          <w:i/>
          <w:iCs/>
          <w:noProof/>
        </w:rPr>
        <w:t>Islamic Human Capital Management (Manajemen Sumber Daya Insani: cara tepat dan mudah dalam menerapkan manajemen sumber daya insani dalam perusahaan secara islami.</w:t>
      </w:r>
      <w:r w:rsidRPr="00154795">
        <w:rPr>
          <w:rFonts w:ascii="Book Antiqua" w:hAnsi="Book Antiqua"/>
          <w:noProof/>
        </w:rPr>
        <w:t xml:space="preserve"> PT. Rajagrafindo Persada.</w:t>
      </w:r>
    </w:p>
    <w:p w14:paraId="440803B0" w14:textId="27CD3476" w:rsidR="00FF4F9B" w:rsidRDefault="00154795" w:rsidP="00154795">
      <w:pPr>
        <w:pStyle w:val="IEEEParagraph"/>
        <w:ind w:firstLine="0"/>
        <w:rPr>
          <w:rFonts w:ascii="Book Antiqua" w:hAnsi="Book Antiqua"/>
          <w:lang w:val="en-GB"/>
        </w:rPr>
      </w:pPr>
      <w:r>
        <w:rPr>
          <w:rFonts w:ascii="Book Antiqua" w:hAnsi="Book Antiqua"/>
          <w:lang w:val="en-GB"/>
        </w:rPr>
        <w:fldChar w:fldCharType="end"/>
      </w:r>
    </w:p>
    <w:p w14:paraId="669765B3" w14:textId="09432BEA" w:rsidR="00485134" w:rsidRDefault="00485134" w:rsidP="00167D77">
      <w:pPr>
        <w:jc w:val="both"/>
        <w:rPr>
          <w:rFonts w:ascii="Book Antiqua" w:hAnsi="Book Antiqua"/>
          <w:lang w:val="en-GB"/>
        </w:rPr>
      </w:pPr>
    </w:p>
    <w:sectPr w:rsidR="00485134" w:rsidSect="005624F7">
      <w:type w:val="continuous"/>
      <w:pgSz w:w="11906" w:h="16838"/>
      <w:pgMar w:top="1985" w:right="1701" w:bottom="1985" w:left="1701" w:header="448" w:footer="709" w:gutter="0"/>
      <w:cols w:space="51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06B02" w14:textId="77777777" w:rsidR="001D431B" w:rsidRDefault="001D431B" w:rsidP="00025252">
      <w:r>
        <w:separator/>
      </w:r>
    </w:p>
  </w:endnote>
  <w:endnote w:type="continuationSeparator" w:id="0">
    <w:p w14:paraId="37FAA3C2" w14:textId="77777777" w:rsidR="001D431B" w:rsidRDefault="001D431B" w:rsidP="0002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632950462"/>
      <w:docPartObj>
        <w:docPartGallery w:val="Page Numbers (Bottom of Page)"/>
        <w:docPartUnique/>
      </w:docPartObj>
    </w:sdtPr>
    <w:sdtEndPr>
      <w:rPr>
        <w:noProof/>
      </w:rPr>
    </w:sdtEndPr>
    <w:sdtContent>
      <w:p w14:paraId="7C78A490" w14:textId="3CE30AD3" w:rsidR="00FA5CC6" w:rsidRPr="00FA5CC6" w:rsidRDefault="00FA5CC6">
        <w:pPr>
          <w:pStyle w:val="Footer"/>
          <w:jc w:val="center"/>
          <w:rPr>
            <w:rFonts w:asciiTheme="minorHAnsi" w:hAnsiTheme="minorHAnsi" w:cstheme="minorHAnsi"/>
            <w:sz w:val="22"/>
            <w:szCs w:val="22"/>
          </w:rPr>
        </w:pPr>
        <w:r w:rsidRPr="00FA5CC6">
          <w:rPr>
            <w:rFonts w:asciiTheme="minorHAnsi" w:hAnsiTheme="minorHAnsi" w:cstheme="minorHAnsi"/>
            <w:sz w:val="22"/>
            <w:szCs w:val="22"/>
          </w:rPr>
          <w:fldChar w:fldCharType="begin"/>
        </w:r>
        <w:r w:rsidRPr="00FA5CC6">
          <w:rPr>
            <w:rFonts w:asciiTheme="minorHAnsi" w:hAnsiTheme="minorHAnsi" w:cstheme="minorHAnsi"/>
            <w:sz w:val="22"/>
            <w:szCs w:val="22"/>
          </w:rPr>
          <w:instrText xml:space="preserve"> PAGE   \* MERGEFORMAT </w:instrText>
        </w:r>
        <w:r w:rsidRPr="00FA5CC6">
          <w:rPr>
            <w:rFonts w:asciiTheme="minorHAnsi" w:hAnsiTheme="minorHAnsi" w:cstheme="minorHAnsi"/>
            <w:sz w:val="22"/>
            <w:szCs w:val="22"/>
          </w:rPr>
          <w:fldChar w:fldCharType="separate"/>
        </w:r>
        <w:r w:rsidRPr="00FA5CC6">
          <w:rPr>
            <w:rFonts w:asciiTheme="minorHAnsi" w:hAnsiTheme="minorHAnsi" w:cstheme="minorHAnsi"/>
            <w:noProof/>
            <w:sz w:val="22"/>
            <w:szCs w:val="22"/>
          </w:rPr>
          <w:t>2</w:t>
        </w:r>
        <w:r w:rsidRPr="00FA5CC6">
          <w:rPr>
            <w:rFonts w:asciiTheme="minorHAnsi" w:hAnsiTheme="minorHAnsi" w:cstheme="minorHAnsi"/>
            <w:noProof/>
            <w:sz w:val="22"/>
            <w:szCs w:val="22"/>
          </w:rPr>
          <w:fldChar w:fldCharType="end"/>
        </w:r>
      </w:p>
    </w:sdtContent>
  </w:sdt>
  <w:p w14:paraId="48927A97" w14:textId="77777777" w:rsidR="00FA5CC6" w:rsidRDefault="00FA5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AB05D" w14:textId="77777777" w:rsidR="001D431B" w:rsidRDefault="001D431B" w:rsidP="00025252">
      <w:r>
        <w:separator/>
      </w:r>
    </w:p>
  </w:footnote>
  <w:footnote w:type="continuationSeparator" w:id="0">
    <w:p w14:paraId="4F2EDE7C" w14:textId="77777777" w:rsidR="001D431B" w:rsidRDefault="001D431B" w:rsidP="00025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8DB61" w14:textId="7E7560C4" w:rsidR="0041768F" w:rsidRPr="005624F7" w:rsidRDefault="00612287" w:rsidP="0041768F">
    <w:pPr>
      <w:pStyle w:val="Header"/>
      <w:rPr>
        <w:rFonts w:ascii="Book Antiqua" w:hAnsi="Book Antiqua"/>
        <w:sz w:val="20"/>
        <w:szCs w:val="20"/>
      </w:rPr>
    </w:pPr>
    <w:r w:rsidRPr="005624F7">
      <w:rPr>
        <w:rFonts w:ascii="Book Antiqua" w:hAnsi="Book Antiqua"/>
        <w:noProof/>
      </w:rPr>
      <w:drawing>
        <wp:anchor distT="0" distB="0" distL="114300" distR="114300" simplePos="0" relativeHeight="251658240" behindDoc="0" locked="0" layoutInCell="1" allowOverlap="1" wp14:anchorId="1C6A82D1" wp14:editId="762E5C0A">
          <wp:simplePos x="0" y="0"/>
          <wp:positionH relativeFrom="column">
            <wp:posOffset>3733800</wp:posOffset>
          </wp:positionH>
          <wp:positionV relativeFrom="paragraph">
            <wp:posOffset>-61595</wp:posOffset>
          </wp:positionV>
          <wp:extent cx="1600200" cy="6445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68F" w:rsidRPr="005624F7">
      <w:rPr>
        <w:rFonts w:ascii="Book Antiqua" w:hAnsi="Book Antiqua"/>
        <w:sz w:val="20"/>
        <w:szCs w:val="20"/>
      </w:rPr>
      <w:t>Maliki Islamic Economics Journal (M-IEC Journal)</w:t>
    </w:r>
    <w:r w:rsidRPr="005624F7">
      <w:rPr>
        <w:rFonts w:ascii="Book Antiqua" w:hAnsi="Book Antiqua"/>
        <w:noProof/>
      </w:rPr>
      <w:t xml:space="preserve"> </w:t>
    </w:r>
  </w:p>
  <w:p w14:paraId="2BD4EF75" w14:textId="4FC04167" w:rsidR="0041768F" w:rsidRPr="005624F7" w:rsidRDefault="0041768F" w:rsidP="0041768F">
    <w:pPr>
      <w:pStyle w:val="Header"/>
      <w:rPr>
        <w:rFonts w:ascii="Book Antiqua" w:hAnsi="Book Antiqua"/>
        <w:sz w:val="20"/>
        <w:szCs w:val="20"/>
      </w:rPr>
    </w:pPr>
    <w:r w:rsidRPr="005624F7">
      <w:rPr>
        <w:rFonts w:ascii="Book Antiqua" w:hAnsi="Book Antiqua"/>
        <w:sz w:val="20"/>
        <w:szCs w:val="20"/>
      </w:rPr>
      <w:t xml:space="preserve">Volume </w:t>
    </w:r>
    <w:r w:rsidR="00DE5683">
      <w:rPr>
        <w:rFonts w:ascii="Book Antiqua" w:hAnsi="Book Antiqua"/>
        <w:sz w:val="20"/>
        <w:szCs w:val="20"/>
      </w:rPr>
      <w:t>-</w:t>
    </w:r>
    <w:r w:rsidRPr="005624F7">
      <w:rPr>
        <w:rFonts w:ascii="Book Antiqua" w:hAnsi="Book Antiqua"/>
        <w:sz w:val="20"/>
        <w:szCs w:val="20"/>
      </w:rPr>
      <w:t xml:space="preserve"> (</w:t>
    </w:r>
    <w:r w:rsidR="00DE5683">
      <w:rPr>
        <w:rFonts w:ascii="Book Antiqua" w:hAnsi="Book Antiqua"/>
        <w:sz w:val="20"/>
        <w:szCs w:val="20"/>
      </w:rPr>
      <w:t>-</w:t>
    </w:r>
    <w:r w:rsidRPr="005624F7">
      <w:rPr>
        <w:rFonts w:ascii="Book Antiqua" w:hAnsi="Book Antiqua"/>
        <w:sz w:val="20"/>
        <w:szCs w:val="20"/>
      </w:rPr>
      <w:t xml:space="preserve">), </w:t>
    </w:r>
    <w:r w:rsidR="00DE5683">
      <w:rPr>
        <w:rFonts w:ascii="Book Antiqua" w:hAnsi="Book Antiqua"/>
        <w:sz w:val="20"/>
        <w:szCs w:val="20"/>
      </w:rPr>
      <w:t>-</w:t>
    </w:r>
  </w:p>
  <w:p w14:paraId="09CE28AB" w14:textId="77777777" w:rsidR="00DE573E" w:rsidRPr="005624F7" w:rsidRDefault="00DE573E" w:rsidP="00DE573E">
    <w:pPr>
      <w:pStyle w:val="Header"/>
      <w:rPr>
        <w:rFonts w:ascii="Book Antiqua" w:hAnsi="Book Antiqua"/>
        <w:sz w:val="20"/>
        <w:szCs w:val="20"/>
      </w:rPr>
    </w:pPr>
    <w:bookmarkStart w:id="2" w:name="_Hlk75773239"/>
    <w:bookmarkStart w:id="3" w:name="_Hlk75773240"/>
    <w:r w:rsidRPr="005624F7">
      <w:rPr>
        <w:rFonts w:ascii="Book Antiqua" w:hAnsi="Book Antiqua"/>
        <w:sz w:val="20"/>
        <w:szCs w:val="20"/>
      </w:rPr>
      <w:t xml:space="preserve">P-ISSN: </w:t>
    </w:r>
    <w:r>
      <w:rPr>
        <w:rFonts w:ascii="Book Antiqua" w:hAnsi="Book Antiqua"/>
        <w:sz w:val="20"/>
        <w:szCs w:val="20"/>
      </w:rPr>
      <w:t>2798-0383</w:t>
    </w:r>
    <w:r w:rsidRPr="005624F7">
      <w:rPr>
        <w:rFonts w:ascii="Book Antiqua" w:hAnsi="Book Antiqua"/>
        <w:sz w:val="20"/>
        <w:szCs w:val="20"/>
      </w:rPr>
      <w:t xml:space="preserve">; E-ISSN: </w:t>
    </w:r>
    <w:r>
      <w:rPr>
        <w:rFonts w:ascii="Book Antiqua" w:hAnsi="Book Antiqua"/>
        <w:sz w:val="20"/>
        <w:szCs w:val="20"/>
      </w:rPr>
      <w:t>2797</w:t>
    </w:r>
    <w:r w:rsidRPr="005624F7">
      <w:rPr>
        <w:rFonts w:ascii="Book Antiqua" w:hAnsi="Book Antiqua"/>
        <w:sz w:val="20"/>
        <w:szCs w:val="20"/>
      </w:rPr>
      <w:t>-</w:t>
    </w:r>
    <w:r>
      <w:rPr>
        <w:rFonts w:ascii="Book Antiqua" w:hAnsi="Book Antiqua"/>
        <w:sz w:val="20"/>
        <w:szCs w:val="20"/>
      </w:rPr>
      <w:t>8125</w:t>
    </w:r>
    <w:bookmarkEnd w:id="2"/>
    <w:bookmarkEnd w:id="3"/>
  </w:p>
  <w:p w14:paraId="22F31F77" w14:textId="510A0E29" w:rsidR="0041768F" w:rsidRPr="005624F7" w:rsidRDefault="0041768F" w:rsidP="00DE573E">
    <w:pPr>
      <w:pStyle w:val="Header"/>
      <w:rPr>
        <w:rFonts w:ascii="Book Antiqua" w:hAnsi="Book Antiqu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FE1ABDCC"/>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AE45114"/>
    <w:multiLevelType w:val="multilevel"/>
    <w:tmpl w:val="79B228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BFB7C83"/>
    <w:multiLevelType w:val="multilevel"/>
    <w:tmpl w:val="E856B790"/>
    <w:lvl w:ilvl="0">
      <w:start w:val="1"/>
      <w:numFmt w:val="decimal"/>
      <w:lvlText w:val="%1."/>
      <w:lvlJc w:val="left"/>
      <w:pPr>
        <w:ind w:left="720" w:hanging="360"/>
      </w:pPr>
      <w:rPr>
        <w:rFonts w:cs="Times New Roman" w:hint="default"/>
        <w:b/>
        <w:bCs/>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50232215"/>
    <w:multiLevelType w:val="multilevel"/>
    <w:tmpl w:val="C9AC4FC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FC555AF"/>
    <w:multiLevelType w:val="hybridMultilevel"/>
    <w:tmpl w:val="D054C46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751202E6"/>
    <w:multiLevelType w:val="hybridMultilevel"/>
    <w:tmpl w:val="61F0ACAA"/>
    <w:lvl w:ilvl="0" w:tplc="8878FA64">
      <w:start w:val="1"/>
      <w:numFmt w:val="decimal"/>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3666"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num w:numId="1">
    <w:abstractNumId w:val="6"/>
  </w:num>
  <w:num w:numId="2">
    <w:abstractNumId w:val="8"/>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0"/>
  </w:num>
  <w:num w:numId="8">
    <w:abstractNumId w:val="2"/>
  </w:num>
  <w:num w:numId="9">
    <w:abstractNumId w:val="0"/>
    <w:lvlOverride w:ilvl="0">
      <w:startOverride w:val="6"/>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7"/>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0067b4"/>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BB"/>
    <w:rsid w:val="000002E1"/>
    <w:rsid w:val="00004409"/>
    <w:rsid w:val="0000459F"/>
    <w:rsid w:val="00014AF1"/>
    <w:rsid w:val="00017719"/>
    <w:rsid w:val="00022114"/>
    <w:rsid w:val="00025252"/>
    <w:rsid w:val="00027F1D"/>
    <w:rsid w:val="00031632"/>
    <w:rsid w:val="0003296C"/>
    <w:rsid w:val="00032D3D"/>
    <w:rsid w:val="00037CCF"/>
    <w:rsid w:val="000464B9"/>
    <w:rsid w:val="000542B2"/>
    <w:rsid w:val="00054421"/>
    <w:rsid w:val="00062E46"/>
    <w:rsid w:val="000719C3"/>
    <w:rsid w:val="00074AC8"/>
    <w:rsid w:val="000770B4"/>
    <w:rsid w:val="00081408"/>
    <w:rsid w:val="00081EBE"/>
    <w:rsid w:val="00082809"/>
    <w:rsid w:val="00086EDC"/>
    <w:rsid w:val="000B36A3"/>
    <w:rsid w:val="000B7A0A"/>
    <w:rsid w:val="000C013C"/>
    <w:rsid w:val="000C1D62"/>
    <w:rsid w:val="000C1EB5"/>
    <w:rsid w:val="000C2AA0"/>
    <w:rsid w:val="000C5152"/>
    <w:rsid w:val="000D320A"/>
    <w:rsid w:val="000E3F84"/>
    <w:rsid w:val="000F6DD5"/>
    <w:rsid w:val="000F7DFD"/>
    <w:rsid w:val="001056DF"/>
    <w:rsid w:val="001064B7"/>
    <w:rsid w:val="00114025"/>
    <w:rsid w:val="00115376"/>
    <w:rsid w:val="00115593"/>
    <w:rsid w:val="001160D2"/>
    <w:rsid w:val="001177F2"/>
    <w:rsid w:val="00120BCE"/>
    <w:rsid w:val="00131D03"/>
    <w:rsid w:val="0013477C"/>
    <w:rsid w:val="001348A5"/>
    <w:rsid w:val="00142E4A"/>
    <w:rsid w:val="00144B3B"/>
    <w:rsid w:val="00151B8E"/>
    <w:rsid w:val="00154795"/>
    <w:rsid w:val="00160FE1"/>
    <w:rsid w:val="0016521E"/>
    <w:rsid w:val="00167D77"/>
    <w:rsid w:val="0017463A"/>
    <w:rsid w:val="00177ED7"/>
    <w:rsid w:val="00183F36"/>
    <w:rsid w:val="001912EC"/>
    <w:rsid w:val="001928FB"/>
    <w:rsid w:val="00192BC7"/>
    <w:rsid w:val="00195B39"/>
    <w:rsid w:val="001A4F94"/>
    <w:rsid w:val="001A50EA"/>
    <w:rsid w:val="001B0EED"/>
    <w:rsid w:val="001B1B54"/>
    <w:rsid w:val="001C35F6"/>
    <w:rsid w:val="001D431B"/>
    <w:rsid w:val="001D4F21"/>
    <w:rsid w:val="001E286D"/>
    <w:rsid w:val="001F16CD"/>
    <w:rsid w:val="001F1F83"/>
    <w:rsid w:val="001F47D2"/>
    <w:rsid w:val="001F4CE1"/>
    <w:rsid w:val="001F5065"/>
    <w:rsid w:val="002010CD"/>
    <w:rsid w:val="00201E1B"/>
    <w:rsid w:val="002068FF"/>
    <w:rsid w:val="00210630"/>
    <w:rsid w:val="00213EA2"/>
    <w:rsid w:val="0022285A"/>
    <w:rsid w:val="00224C61"/>
    <w:rsid w:val="0022786F"/>
    <w:rsid w:val="00233E0E"/>
    <w:rsid w:val="00242CA8"/>
    <w:rsid w:val="00242EAF"/>
    <w:rsid w:val="0024329F"/>
    <w:rsid w:val="002444E4"/>
    <w:rsid w:val="00244B70"/>
    <w:rsid w:val="00246C66"/>
    <w:rsid w:val="00257183"/>
    <w:rsid w:val="00260EB7"/>
    <w:rsid w:val="00262E8C"/>
    <w:rsid w:val="00270B1D"/>
    <w:rsid w:val="0027227B"/>
    <w:rsid w:val="00273AC7"/>
    <w:rsid w:val="00273B5D"/>
    <w:rsid w:val="00273D2C"/>
    <w:rsid w:val="00274B28"/>
    <w:rsid w:val="00275BFA"/>
    <w:rsid w:val="00283946"/>
    <w:rsid w:val="00285ECD"/>
    <w:rsid w:val="00290E1B"/>
    <w:rsid w:val="00291B17"/>
    <w:rsid w:val="00292B7A"/>
    <w:rsid w:val="002A49FF"/>
    <w:rsid w:val="002A59E3"/>
    <w:rsid w:val="002A6742"/>
    <w:rsid w:val="002B6C9A"/>
    <w:rsid w:val="002C1A7F"/>
    <w:rsid w:val="002C4239"/>
    <w:rsid w:val="002C559D"/>
    <w:rsid w:val="002C6B59"/>
    <w:rsid w:val="002D2D42"/>
    <w:rsid w:val="002D2DDC"/>
    <w:rsid w:val="002D764A"/>
    <w:rsid w:val="002E093C"/>
    <w:rsid w:val="002F72D0"/>
    <w:rsid w:val="003003AB"/>
    <w:rsid w:val="00300FF2"/>
    <w:rsid w:val="00303ABE"/>
    <w:rsid w:val="00304C4F"/>
    <w:rsid w:val="00311C49"/>
    <w:rsid w:val="00314733"/>
    <w:rsid w:val="0032119E"/>
    <w:rsid w:val="00321304"/>
    <w:rsid w:val="00322BD5"/>
    <w:rsid w:val="00324483"/>
    <w:rsid w:val="003278F8"/>
    <w:rsid w:val="00331F84"/>
    <w:rsid w:val="00336244"/>
    <w:rsid w:val="0034188E"/>
    <w:rsid w:val="00341EB9"/>
    <w:rsid w:val="003458F7"/>
    <w:rsid w:val="00346750"/>
    <w:rsid w:val="00347B59"/>
    <w:rsid w:val="00352563"/>
    <w:rsid w:val="0035286B"/>
    <w:rsid w:val="0037258A"/>
    <w:rsid w:val="003875CF"/>
    <w:rsid w:val="003950A4"/>
    <w:rsid w:val="00397E5E"/>
    <w:rsid w:val="003C5154"/>
    <w:rsid w:val="003E10B7"/>
    <w:rsid w:val="003E27FD"/>
    <w:rsid w:val="003E3577"/>
    <w:rsid w:val="003E6F34"/>
    <w:rsid w:val="003F3A61"/>
    <w:rsid w:val="00404D2D"/>
    <w:rsid w:val="00410A5D"/>
    <w:rsid w:val="0041115D"/>
    <w:rsid w:val="004118B4"/>
    <w:rsid w:val="00414909"/>
    <w:rsid w:val="00414B12"/>
    <w:rsid w:val="0041768F"/>
    <w:rsid w:val="00422026"/>
    <w:rsid w:val="00425A6A"/>
    <w:rsid w:val="004268B1"/>
    <w:rsid w:val="00426FBB"/>
    <w:rsid w:val="00440A17"/>
    <w:rsid w:val="00440AB7"/>
    <w:rsid w:val="004411AF"/>
    <w:rsid w:val="00443F62"/>
    <w:rsid w:val="00463D0B"/>
    <w:rsid w:val="004648F3"/>
    <w:rsid w:val="00470D83"/>
    <w:rsid w:val="0047429A"/>
    <w:rsid w:val="004836FF"/>
    <w:rsid w:val="0048374C"/>
    <w:rsid w:val="00485134"/>
    <w:rsid w:val="00487164"/>
    <w:rsid w:val="0048729D"/>
    <w:rsid w:val="0048771D"/>
    <w:rsid w:val="00487880"/>
    <w:rsid w:val="004A2207"/>
    <w:rsid w:val="004A510E"/>
    <w:rsid w:val="004A6605"/>
    <w:rsid w:val="004A7292"/>
    <w:rsid w:val="004B6D8D"/>
    <w:rsid w:val="004C45FA"/>
    <w:rsid w:val="004D568D"/>
    <w:rsid w:val="004E1BD8"/>
    <w:rsid w:val="004E452A"/>
    <w:rsid w:val="004E78E3"/>
    <w:rsid w:val="004F28DD"/>
    <w:rsid w:val="005004BF"/>
    <w:rsid w:val="00502B27"/>
    <w:rsid w:val="00502E89"/>
    <w:rsid w:val="00510E95"/>
    <w:rsid w:val="00513AB0"/>
    <w:rsid w:val="00520445"/>
    <w:rsid w:val="00523BBC"/>
    <w:rsid w:val="00524692"/>
    <w:rsid w:val="005254C5"/>
    <w:rsid w:val="00527D56"/>
    <w:rsid w:val="0053219E"/>
    <w:rsid w:val="0053221F"/>
    <w:rsid w:val="00533188"/>
    <w:rsid w:val="00536FAE"/>
    <w:rsid w:val="005402AF"/>
    <w:rsid w:val="00541C22"/>
    <w:rsid w:val="00541FB6"/>
    <w:rsid w:val="00542C85"/>
    <w:rsid w:val="005438EC"/>
    <w:rsid w:val="00553510"/>
    <w:rsid w:val="00554186"/>
    <w:rsid w:val="00554682"/>
    <w:rsid w:val="00560AC7"/>
    <w:rsid w:val="005624F7"/>
    <w:rsid w:val="00572092"/>
    <w:rsid w:val="00572C08"/>
    <w:rsid w:val="00574869"/>
    <w:rsid w:val="005777DB"/>
    <w:rsid w:val="00583264"/>
    <w:rsid w:val="00585769"/>
    <w:rsid w:val="00586497"/>
    <w:rsid w:val="005875CA"/>
    <w:rsid w:val="00587A32"/>
    <w:rsid w:val="00591130"/>
    <w:rsid w:val="00595971"/>
    <w:rsid w:val="005A0CCC"/>
    <w:rsid w:val="005A3F28"/>
    <w:rsid w:val="005A40BE"/>
    <w:rsid w:val="005A5A98"/>
    <w:rsid w:val="005A7BCD"/>
    <w:rsid w:val="005B13E2"/>
    <w:rsid w:val="005B47D7"/>
    <w:rsid w:val="005C5526"/>
    <w:rsid w:val="005C62C6"/>
    <w:rsid w:val="005D7B9E"/>
    <w:rsid w:val="005F0834"/>
    <w:rsid w:val="005F0BE8"/>
    <w:rsid w:val="005F537B"/>
    <w:rsid w:val="005F6DC3"/>
    <w:rsid w:val="00601A8E"/>
    <w:rsid w:val="00607743"/>
    <w:rsid w:val="00612287"/>
    <w:rsid w:val="00613D64"/>
    <w:rsid w:val="006140EE"/>
    <w:rsid w:val="00614F1D"/>
    <w:rsid w:val="00615F3B"/>
    <w:rsid w:val="0062033E"/>
    <w:rsid w:val="00620645"/>
    <w:rsid w:val="00623782"/>
    <w:rsid w:val="00624482"/>
    <w:rsid w:val="00624DE8"/>
    <w:rsid w:val="0062761F"/>
    <w:rsid w:val="006347B5"/>
    <w:rsid w:val="006362EF"/>
    <w:rsid w:val="0064799C"/>
    <w:rsid w:val="00654156"/>
    <w:rsid w:val="006574B0"/>
    <w:rsid w:val="006653D1"/>
    <w:rsid w:val="006675D1"/>
    <w:rsid w:val="00684ED3"/>
    <w:rsid w:val="00687A40"/>
    <w:rsid w:val="006940EA"/>
    <w:rsid w:val="006950A1"/>
    <w:rsid w:val="00695756"/>
    <w:rsid w:val="00695C80"/>
    <w:rsid w:val="006A481C"/>
    <w:rsid w:val="006A68E0"/>
    <w:rsid w:val="006B47CA"/>
    <w:rsid w:val="006C7AAA"/>
    <w:rsid w:val="006D1C2A"/>
    <w:rsid w:val="006D264F"/>
    <w:rsid w:val="006E0692"/>
    <w:rsid w:val="006E1C81"/>
    <w:rsid w:val="006E2A8D"/>
    <w:rsid w:val="006E3B54"/>
    <w:rsid w:val="006E7574"/>
    <w:rsid w:val="006F70B5"/>
    <w:rsid w:val="00703430"/>
    <w:rsid w:val="007069BE"/>
    <w:rsid w:val="00713095"/>
    <w:rsid w:val="00724E11"/>
    <w:rsid w:val="00730309"/>
    <w:rsid w:val="0073441F"/>
    <w:rsid w:val="00736532"/>
    <w:rsid w:val="00737982"/>
    <w:rsid w:val="00742881"/>
    <w:rsid w:val="00745C86"/>
    <w:rsid w:val="00754AD9"/>
    <w:rsid w:val="00761470"/>
    <w:rsid w:val="0076254A"/>
    <w:rsid w:val="00764603"/>
    <w:rsid w:val="0076604D"/>
    <w:rsid w:val="00771DC9"/>
    <w:rsid w:val="00781855"/>
    <w:rsid w:val="00790909"/>
    <w:rsid w:val="007A2EDC"/>
    <w:rsid w:val="007A39C5"/>
    <w:rsid w:val="007B21EE"/>
    <w:rsid w:val="007B35B0"/>
    <w:rsid w:val="007B5A07"/>
    <w:rsid w:val="007B7161"/>
    <w:rsid w:val="007C2FFE"/>
    <w:rsid w:val="007C345F"/>
    <w:rsid w:val="007C6378"/>
    <w:rsid w:val="007D16ED"/>
    <w:rsid w:val="007D3E71"/>
    <w:rsid w:val="007D6255"/>
    <w:rsid w:val="007D6C8A"/>
    <w:rsid w:val="007E52C1"/>
    <w:rsid w:val="007E5D6A"/>
    <w:rsid w:val="007E645D"/>
    <w:rsid w:val="007E681E"/>
    <w:rsid w:val="007F75CA"/>
    <w:rsid w:val="00800582"/>
    <w:rsid w:val="0081397B"/>
    <w:rsid w:val="0082127A"/>
    <w:rsid w:val="00821E08"/>
    <w:rsid w:val="008235E2"/>
    <w:rsid w:val="008273AC"/>
    <w:rsid w:val="00834EFD"/>
    <w:rsid w:val="00840DD0"/>
    <w:rsid w:val="00844B24"/>
    <w:rsid w:val="0084515F"/>
    <w:rsid w:val="0085092D"/>
    <w:rsid w:val="00851164"/>
    <w:rsid w:val="0085440C"/>
    <w:rsid w:val="00864F77"/>
    <w:rsid w:val="008713DD"/>
    <w:rsid w:val="00875CEF"/>
    <w:rsid w:val="00877865"/>
    <w:rsid w:val="00877D4C"/>
    <w:rsid w:val="00885299"/>
    <w:rsid w:val="0089763B"/>
    <w:rsid w:val="008A15AA"/>
    <w:rsid w:val="008A29E7"/>
    <w:rsid w:val="008A5C14"/>
    <w:rsid w:val="008A5F5F"/>
    <w:rsid w:val="008B4E24"/>
    <w:rsid w:val="008B6AE3"/>
    <w:rsid w:val="008D07FE"/>
    <w:rsid w:val="008D1045"/>
    <w:rsid w:val="008D4AD4"/>
    <w:rsid w:val="008D6756"/>
    <w:rsid w:val="008D6842"/>
    <w:rsid w:val="008E2C09"/>
    <w:rsid w:val="008E4420"/>
    <w:rsid w:val="008E5996"/>
    <w:rsid w:val="008F0B6A"/>
    <w:rsid w:val="008F10B6"/>
    <w:rsid w:val="008F13FA"/>
    <w:rsid w:val="00900FC2"/>
    <w:rsid w:val="00901AE1"/>
    <w:rsid w:val="00910FC8"/>
    <w:rsid w:val="00912510"/>
    <w:rsid w:val="00915937"/>
    <w:rsid w:val="009205B4"/>
    <w:rsid w:val="00920C7B"/>
    <w:rsid w:val="00922140"/>
    <w:rsid w:val="0092265A"/>
    <w:rsid w:val="00940871"/>
    <w:rsid w:val="009524DE"/>
    <w:rsid w:val="00952DCE"/>
    <w:rsid w:val="0095407E"/>
    <w:rsid w:val="009548F3"/>
    <w:rsid w:val="00955B59"/>
    <w:rsid w:val="009615D9"/>
    <w:rsid w:val="0097004B"/>
    <w:rsid w:val="00970967"/>
    <w:rsid w:val="009741E0"/>
    <w:rsid w:val="0098447C"/>
    <w:rsid w:val="00986F80"/>
    <w:rsid w:val="00991D01"/>
    <w:rsid w:val="00992262"/>
    <w:rsid w:val="009926BC"/>
    <w:rsid w:val="00995661"/>
    <w:rsid w:val="009A4319"/>
    <w:rsid w:val="009A621F"/>
    <w:rsid w:val="009A6C3F"/>
    <w:rsid w:val="009A72A2"/>
    <w:rsid w:val="009B2572"/>
    <w:rsid w:val="009B73F2"/>
    <w:rsid w:val="009B7978"/>
    <w:rsid w:val="009C09F8"/>
    <w:rsid w:val="009C12BD"/>
    <w:rsid w:val="009C50FE"/>
    <w:rsid w:val="009D2D72"/>
    <w:rsid w:val="009D3C51"/>
    <w:rsid w:val="009D5FD9"/>
    <w:rsid w:val="009E0D3B"/>
    <w:rsid w:val="009E580B"/>
    <w:rsid w:val="009F0A68"/>
    <w:rsid w:val="00A017CF"/>
    <w:rsid w:val="00A01BF3"/>
    <w:rsid w:val="00A02856"/>
    <w:rsid w:val="00A03E75"/>
    <w:rsid w:val="00A17313"/>
    <w:rsid w:val="00A252F6"/>
    <w:rsid w:val="00A26A14"/>
    <w:rsid w:val="00A27468"/>
    <w:rsid w:val="00A2787B"/>
    <w:rsid w:val="00A34767"/>
    <w:rsid w:val="00A35944"/>
    <w:rsid w:val="00A37D62"/>
    <w:rsid w:val="00A415EF"/>
    <w:rsid w:val="00A45CBF"/>
    <w:rsid w:val="00A45FCE"/>
    <w:rsid w:val="00A474BB"/>
    <w:rsid w:val="00A5051A"/>
    <w:rsid w:val="00A57777"/>
    <w:rsid w:val="00A618F8"/>
    <w:rsid w:val="00A709CC"/>
    <w:rsid w:val="00A71A06"/>
    <w:rsid w:val="00A75671"/>
    <w:rsid w:val="00A773CC"/>
    <w:rsid w:val="00A77B23"/>
    <w:rsid w:val="00A806DA"/>
    <w:rsid w:val="00A81BD1"/>
    <w:rsid w:val="00A820E2"/>
    <w:rsid w:val="00A83108"/>
    <w:rsid w:val="00A9318B"/>
    <w:rsid w:val="00A94AC1"/>
    <w:rsid w:val="00A959AC"/>
    <w:rsid w:val="00AA0507"/>
    <w:rsid w:val="00AA3E0C"/>
    <w:rsid w:val="00AA556E"/>
    <w:rsid w:val="00AB18B7"/>
    <w:rsid w:val="00AB318F"/>
    <w:rsid w:val="00AC1BC5"/>
    <w:rsid w:val="00AC3D66"/>
    <w:rsid w:val="00AC4371"/>
    <w:rsid w:val="00AC6CCA"/>
    <w:rsid w:val="00AC7A51"/>
    <w:rsid w:val="00AD258C"/>
    <w:rsid w:val="00AD335D"/>
    <w:rsid w:val="00AD50E0"/>
    <w:rsid w:val="00AE4C5D"/>
    <w:rsid w:val="00AF3A29"/>
    <w:rsid w:val="00AF792B"/>
    <w:rsid w:val="00B02045"/>
    <w:rsid w:val="00B20E63"/>
    <w:rsid w:val="00B21885"/>
    <w:rsid w:val="00B22C63"/>
    <w:rsid w:val="00B30461"/>
    <w:rsid w:val="00B32CFA"/>
    <w:rsid w:val="00B32D3D"/>
    <w:rsid w:val="00B3494A"/>
    <w:rsid w:val="00B34EED"/>
    <w:rsid w:val="00B36012"/>
    <w:rsid w:val="00B36970"/>
    <w:rsid w:val="00B3750C"/>
    <w:rsid w:val="00B408B2"/>
    <w:rsid w:val="00B4410F"/>
    <w:rsid w:val="00B5011F"/>
    <w:rsid w:val="00B50B32"/>
    <w:rsid w:val="00B5453D"/>
    <w:rsid w:val="00B55D5E"/>
    <w:rsid w:val="00B5709C"/>
    <w:rsid w:val="00B63593"/>
    <w:rsid w:val="00B65AA7"/>
    <w:rsid w:val="00B67BAB"/>
    <w:rsid w:val="00B72214"/>
    <w:rsid w:val="00B74884"/>
    <w:rsid w:val="00B81803"/>
    <w:rsid w:val="00B94516"/>
    <w:rsid w:val="00BB2855"/>
    <w:rsid w:val="00BB44D8"/>
    <w:rsid w:val="00BC3118"/>
    <w:rsid w:val="00BC3D0F"/>
    <w:rsid w:val="00BD19C1"/>
    <w:rsid w:val="00BD25B8"/>
    <w:rsid w:val="00BD2FE0"/>
    <w:rsid w:val="00BD3626"/>
    <w:rsid w:val="00BD72DD"/>
    <w:rsid w:val="00BD766E"/>
    <w:rsid w:val="00BE343F"/>
    <w:rsid w:val="00BE5514"/>
    <w:rsid w:val="00BF591A"/>
    <w:rsid w:val="00C012E1"/>
    <w:rsid w:val="00C06BB4"/>
    <w:rsid w:val="00C06EFB"/>
    <w:rsid w:val="00C10D20"/>
    <w:rsid w:val="00C11F19"/>
    <w:rsid w:val="00C12E0C"/>
    <w:rsid w:val="00C14FAD"/>
    <w:rsid w:val="00C15206"/>
    <w:rsid w:val="00C16003"/>
    <w:rsid w:val="00C16E4E"/>
    <w:rsid w:val="00C17E29"/>
    <w:rsid w:val="00C21916"/>
    <w:rsid w:val="00C31315"/>
    <w:rsid w:val="00C35921"/>
    <w:rsid w:val="00C421F9"/>
    <w:rsid w:val="00C457CA"/>
    <w:rsid w:val="00C4611D"/>
    <w:rsid w:val="00C57804"/>
    <w:rsid w:val="00C57FB7"/>
    <w:rsid w:val="00C65F3F"/>
    <w:rsid w:val="00C72414"/>
    <w:rsid w:val="00C847D4"/>
    <w:rsid w:val="00C8486C"/>
    <w:rsid w:val="00C8667B"/>
    <w:rsid w:val="00C9428F"/>
    <w:rsid w:val="00C94F25"/>
    <w:rsid w:val="00CA14AF"/>
    <w:rsid w:val="00CA196F"/>
    <w:rsid w:val="00CA4439"/>
    <w:rsid w:val="00CA4CE3"/>
    <w:rsid w:val="00CA52C9"/>
    <w:rsid w:val="00CB12E2"/>
    <w:rsid w:val="00CC00BD"/>
    <w:rsid w:val="00CC2C34"/>
    <w:rsid w:val="00CD4F3F"/>
    <w:rsid w:val="00CE28DB"/>
    <w:rsid w:val="00CE2A97"/>
    <w:rsid w:val="00CE57AA"/>
    <w:rsid w:val="00CE6FC3"/>
    <w:rsid w:val="00CE7686"/>
    <w:rsid w:val="00CF0B27"/>
    <w:rsid w:val="00CF51CC"/>
    <w:rsid w:val="00D02015"/>
    <w:rsid w:val="00D04361"/>
    <w:rsid w:val="00D1002D"/>
    <w:rsid w:val="00D17251"/>
    <w:rsid w:val="00D2213B"/>
    <w:rsid w:val="00D24A7C"/>
    <w:rsid w:val="00D311F8"/>
    <w:rsid w:val="00D34858"/>
    <w:rsid w:val="00D359B2"/>
    <w:rsid w:val="00D36B52"/>
    <w:rsid w:val="00D377C8"/>
    <w:rsid w:val="00D37C4D"/>
    <w:rsid w:val="00D40097"/>
    <w:rsid w:val="00D41274"/>
    <w:rsid w:val="00D43AA2"/>
    <w:rsid w:val="00D43BF3"/>
    <w:rsid w:val="00D53E89"/>
    <w:rsid w:val="00D71140"/>
    <w:rsid w:val="00D74C95"/>
    <w:rsid w:val="00D765A7"/>
    <w:rsid w:val="00D767BB"/>
    <w:rsid w:val="00D83334"/>
    <w:rsid w:val="00D862B7"/>
    <w:rsid w:val="00D910F2"/>
    <w:rsid w:val="00D939B0"/>
    <w:rsid w:val="00D95D96"/>
    <w:rsid w:val="00D97C5D"/>
    <w:rsid w:val="00DA5CF2"/>
    <w:rsid w:val="00DB16E0"/>
    <w:rsid w:val="00DB2D0B"/>
    <w:rsid w:val="00DB2DF9"/>
    <w:rsid w:val="00DB4BC5"/>
    <w:rsid w:val="00DB4DFB"/>
    <w:rsid w:val="00DB7E63"/>
    <w:rsid w:val="00DC2055"/>
    <w:rsid w:val="00DC7AA1"/>
    <w:rsid w:val="00DD4B92"/>
    <w:rsid w:val="00DD71E8"/>
    <w:rsid w:val="00DD7F83"/>
    <w:rsid w:val="00DE0DE3"/>
    <w:rsid w:val="00DE5683"/>
    <w:rsid w:val="00DE573E"/>
    <w:rsid w:val="00DF5EA6"/>
    <w:rsid w:val="00E00FD9"/>
    <w:rsid w:val="00E01942"/>
    <w:rsid w:val="00E049C6"/>
    <w:rsid w:val="00E0641E"/>
    <w:rsid w:val="00E06664"/>
    <w:rsid w:val="00E07C58"/>
    <w:rsid w:val="00E15435"/>
    <w:rsid w:val="00E1706D"/>
    <w:rsid w:val="00E21470"/>
    <w:rsid w:val="00E304BC"/>
    <w:rsid w:val="00E31D63"/>
    <w:rsid w:val="00E32853"/>
    <w:rsid w:val="00E37844"/>
    <w:rsid w:val="00E401F8"/>
    <w:rsid w:val="00E44552"/>
    <w:rsid w:val="00E46425"/>
    <w:rsid w:val="00E46444"/>
    <w:rsid w:val="00E47D0E"/>
    <w:rsid w:val="00E50D49"/>
    <w:rsid w:val="00E53AEF"/>
    <w:rsid w:val="00E60061"/>
    <w:rsid w:val="00E63D11"/>
    <w:rsid w:val="00E65018"/>
    <w:rsid w:val="00E72D69"/>
    <w:rsid w:val="00E758BC"/>
    <w:rsid w:val="00E904F2"/>
    <w:rsid w:val="00E91639"/>
    <w:rsid w:val="00E94339"/>
    <w:rsid w:val="00E97563"/>
    <w:rsid w:val="00E97FE7"/>
    <w:rsid w:val="00EA3726"/>
    <w:rsid w:val="00EA462B"/>
    <w:rsid w:val="00EB0B63"/>
    <w:rsid w:val="00EB0B7C"/>
    <w:rsid w:val="00EC265C"/>
    <w:rsid w:val="00EC43BD"/>
    <w:rsid w:val="00EC686D"/>
    <w:rsid w:val="00ED537C"/>
    <w:rsid w:val="00ED61CB"/>
    <w:rsid w:val="00EF33CA"/>
    <w:rsid w:val="00EF5723"/>
    <w:rsid w:val="00F01793"/>
    <w:rsid w:val="00F02C9B"/>
    <w:rsid w:val="00F04FB1"/>
    <w:rsid w:val="00F06A72"/>
    <w:rsid w:val="00F134BE"/>
    <w:rsid w:val="00F136F0"/>
    <w:rsid w:val="00F2073C"/>
    <w:rsid w:val="00F20BBB"/>
    <w:rsid w:val="00F22EA0"/>
    <w:rsid w:val="00F37DEB"/>
    <w:rsid w:val="00F4107F"/>
    <w:rsid w:val="00F43BD8"/>
    <w:rsid w:val="00F52BDA"/>
    <w:rsid w:val="00F562F3"/>
    <w:rsid w:val="00F62997"/>
    <w:rsid w:val="00F6637C"/>
    <w:rsid w:val="00F6663E"/>
    <w:rsid w:val="00F73EB5"/>
    <w:rsid w:val="00F74B89"/>
    <w:rsid w:val="00F75133"/>
    <w:rsid w:val="00F772FF"/>
    <w:rsid w:val="00F81A99"/>
    <w:rsid w:val="00F83837"/>
    <w:rsid w:val="00F8625C"/>
    <w:rsid w:val="00F93817"/>
    <w:rsid w:val="00F93D6D"/>
    <w:rsid w:val="00F93E64"/>
    <w:rsid w:val="00F96F3E"/>
    <w:rsid w:val="00FA24A0"/>
    <w:rsid w:val="00FA3893"/>
    <w:rsid w:val="00FA3899"/>
    <w:rsid w:val="00FA40C9"/>
    <w:rsid w:val="00FA4909"/>
    <w:rsid w:val="00FA5CC6"/>
    <w:rsid w:val="00FA6751"/>
    <w:rsid w:val="00FA7555"/>
    <w:rsid w:val="00FB1048"/>
    <w:rsid w:val="00FB3E65"/>
    <w:rsid w:val="00FB4D8B"/>
    <w:rsid w:val="00FB62C4"/>
    <w:rsid w:val="00FB7701"/>
    <w:rsid w:val="00FC61B6"/>
    <w:rsid w:val="00FD1AC5"/>
    <w:rsid w:val="00FD2B40"/>
    <w:rsid w:val="00FD5CF0"/>
    <w:rsid w:val="00FE0A02"/>
    <w:rsid w:val="00FE5842"/>
    <w:rsid w:val="00FF46C4"/>
    <w:rsid w:val="00FF4F9B"/>
    <w:rsid w:val="00FF5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7b4"/>
    </o:shapedefaults>
    <o:shapelayout v:ext="edit">
      <o:idmap v:ext="edit" data="1"/>
    </o:shapelayout>
  </w:shapeDefaults>
  <w:decimalSymbol w:val="."/>
  <w:listSeparator w:val=","/>
  <w14:docId w14:val="266F2C68"/>
  <w15:chartTrackingRefBased/>
  <w15:docId w15:val="{9DF97EDE-D315-4534-9DD9-58006488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EFB"/>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ind w:left="289" w:hanging="289"/>
      <w:jc w:val="center"/>
    </w:pPr>
    <w:rPr>
      <w:smallCaps/>
      <w:sz w:val="20"/>
    </w:rPr>
  </w:style>
  <w:style w:type="table" w:styleId="TableGrid">
    <w:name w:val="Table Grid"/>
    <w:basedOn w:val="TableNormal"/>
    <w:uiPriority w:val="5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Header">
    <w:name w:val="header"/>
    <w:basedOn w:val="Normal"/>
    <w:link w:val="HeaderChar"/>
    <w:uiPriority w:val="99"/>
    <w:unhideWhenUsed/>
    <w:rsid w:val="00025252"/>
    <w:pPr>
      <w:tabs>
        <w:tab w:val="center" w:pos="4513"/>
        <w:tab w:val="right" w:pos="9026"/>
      </w:tabs>
    </w:pPr>
  </w:style>
  <w:style w:type="character" w:customStyle="1" w:styleId="HeaderChar">
    <w:name w:val="Header Char"/>
    <w:link w:val="Header"/>
    <w:uiPriority w:val="99"/>
    <w:rsid w:val="00025252"/>
    <w:rPr>
      <w:sz w:val="24"/>
      <w:szCs w:val="24"/>
      <w:lang w:val="en-AU" w:eastAsia="zh-CN"/>
    </w:rPr>
  </w:style>
  <w:style w:type="paragraph" w:styleId="Footer">
    <w:name w:val="footer"/>
    <w:basedOn w:val="Normal"/>
    <w:link w:val="FooterChar"/>
    <w:uiPriority w:val="99"/>
    <w:unhideWhenUsed/>
    <w:rsid w:val="00025252"/>
    <w:pPr>
      <w:tabs>
        <w:tab w:val="center" w:pos="4513"/>
        <w:tab w:val="right" w:pos="9026"/>
      </w:tabs>
    </w:pPr>
  </w:style>
  <w:style w:type="character" w:customStyle="1" w:styleId="FooterChar">
    <w:name w:val="Footer Char"/>
    <w:link w:val="Footer"/>
    <w:uiPriority w:val="99"/>
    <w:rsid w:val="00025252"/>
    <w:rPr>
      <w:sz w:val="24"/>
      <w:szCs w:val="24"/>
      <w:lang w:val="en-AU" w:eastAsia="zh-CN"/>
    </w:rPr>
  </w:style>
  <w:style w:type="paragraph" w:styleId="BalloonText">
    <w:name w:val="Balloon Text"/>
    <w:basedOn w:val="Normal"/>
    <w:link w:val="BalloonTextChar"/>
    <w:uiPriority w:val="99"/>
    <w:semiHidden/>
    <w:unhideWhenUsed/>
    <w:rsid w:val="00025252"/>
    <w:rPr>
      <w:rFonts w:ascii="Tahoma" w:hAnsi="Tahoma"/>
      <w:sz w:val="16"/>
      <w:szCs w:val="16"/>
    </w:rPr>
  </w:style>
  <w:style w:type="character" w:customStyle="1" w:styleId="BalloonTextChar">
    <w:name w:val="Balloon Text Char"/>
    <w:link w:val="BalloonText"/>
    <w:uiPriority w:val="99"/>
    <w:semiHidden/>
    <w:rsid w:val="00025252"/>
    <w:rPr>
      <w:rFonts w:ascii="Tahoma" w:hAnsi="Tahoma" w:cs="Tahoma"/>
      <w:sz w:val="16"/>
      <w:szCs w:val="16"/>
      <w:lang w:val="en-AU" w:eastAsia="zh-CN"/>
    </w:rPr>
  </w:style>
  <w:style w:type="character" w:styleId="Hyperlink">
    <w:name w:val="Hyperlink"/>
    <w:uiPriority w:val="99"/>
    <w:unhideWhenUsed/>
    <w:rsid w:val="00840DD0"/>
    <w:rPr>
      <w:color w:val="0000FF"/>
      <w:u w:val="single"/>
    </w:rPr>
  </w:style>
  <w:style w:type="character" w:styleId="Strong">
    <w:name w:val="Strong"/>
    <w:uiPriority w:val="22"/>
    <w:qFormat/>
    <w:rsid w:val="00A618F8"/>
    <w:rPr>
      <w:b/>
      <w:bCs/>
    </w:rPr>
  </w:style>
  <w:style w:type="character" w:styleId="IntenseEmphasis">
    <w:name w:val="Intense Emphasis"/>
    <w:uiPriority w:val="21"/>
    <w:qFormat/>
    <w:rsid w:val="00A618F8"/>
    <w:rPr>
      <w:b/>
      <w:bCs/>
      <w:i/>
      <w:iCs/>
      <w:color w:val="4F81BD"/>
    </w:rPr>
  </w:style>
  <w:style w:type="character" w:styleId="UnresolvedMention">
    <w:name w:val="Unresolved Mention"/>
    <w:uiPriority w:val="99"/>
    <w:semiHidden/>
    <w:unhideWhenUsed/>
    <w:rsid w:val="00F6637C"/>
    <w:rPr>
      <w:color w:val="605E5C"/>
      <w:shd w:val="clear" w:color="auto" w:fill="E1DFDD"/>
    </w:rPr>
  </w:style>
  <w:style w:type="table" w:styleId="PlainTable2">
    <w:name w:val="Plain Table 2"/>
    <w:basedOn w:val="TableNormal"/>
    <w:uiPriority w:val="42"/>
    <w:rsid w:val="005A5A98"/>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754AD9"/>
    <w:pPr>
      <w:ind w:left="720"/>
      <w:contextualSpacing/>
    </w:pPr>
  </w:style>
  <w:style w:type="character" w:styleId="FollowedHyperlink">
    <w:name w:val="FollowedHyperlink"/>
    <w:basedOn w:val="DefaultParagraphFont"/>
    <w:uiPriority w:val="99"/>
    <w:semiHidden/>
    <w:unhideWhenUsed/>
    <w:rsid w:val="0081397B"/>
    <w:rPr>
      <w:color w:val="954F72" w:themeColor="followedHyperlink"/>
      <w:u w:val="single"/>
    </w:rPr>
  </w:style>
  <w:style w:type="character" w:customStyle="1" w:styleId="e24kjd">
    <w:name w:val="e24kjd"/>
    <w:basedOn w:val="DefaultParagraphFont"/>
    <w:rsid w:val="008D07FE"/>
  </w:style>
  <w:style w:type="character" w:styleId="PlaceholderText">
    <w:name w:val="Placeholder Text"/>
    <w:basedOn w:val="DefaultParagraphFont"/>
    <w:uiPriority w:val="99"/>
    <w:semiHidden/>
    <w:rsid w:val="00C14FAD"/>
    <w:rPr>
      <w:color w:val="808080"/>
    </w:rPr>
  </w:style>
  <w:style w:type="paragraph" w:styleId="HTMLPreformatted">
    <w:name w:val="HTML Preformatted"/>
    <w:basedOn w:val="Normal"/>
    <w:link w:val="HTMLPreformattedChar"/>
    <w:uiPriority w:val="99"/>
    <w:unhideWhenUsed/>
    <w:rsid w:val="002E0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2E093C"/>
    <w:rPr>
      <w:rFonts w:ascii="Courier New" w:eastAsia="Times New Roman" w:hAnsi="Courier New" w:cs="Courier New"/>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7029">
      <w:bodyDiv w:val="1"/>
      <w:marLeft w:val="0"/>
      <w:marRight w:val="0"/>
      <w:marTop w:val="0"/>
      <w:marBottom w:val="0"/>
      <w:divBdr>
        <w:top w:val="none" w:sz="0" w:space="0" w:color="auto"/>
        <w:left w:val="none" w:sz="0" w:space="0" w:color="auto"/>
        <w:bottom w:val="none" w:sz="0" w:space="0" w:color="auto"/>
        <w:right w:val="none" w:sz="0" w:space="0" w:color="auto"/>
      </w:divBdr>
    </w:div>
    <w:div w:id="231546448">
      <w:bodyDiv w:val="1"/>
      <w:marLeft w:val="0"/>
      <w:marRight w:val="0"/>
      <w:marTop w:val="0"/>
      <w:marBottom w:val="0"/>
      <w:divBdr>
        <w:top w:val="none" w:sz="0" w:space="0" w:color="auto"/>
        <w:left w:val="none" w:sz="0" w:space="0" w:color="auto"/>
        <w:bottom w:val="none" w:sz="0" w:space="0" w:color="auto"/>
        <w:right w:val="none" w:sz="0" w:space="0" w:color="auto"/>
      </w:divBdr>
    </w:div>
    <w:div w:id="488793311">
      <w:bodyDiv w:val="1"/>
      <w:marLeft w:val="0"/>
      <w:marRight w:val="0"/>
      <w:marTop w:val="0"/>
      <w:marBottom w:val="0"/>
      <w:divBdr>
        <w:top w:val="none" w:sz="0" w:space="0" w:color="auto"/>
        <w:left w:val="none" w:sz="0" w:space="0" w:color="auto"/>
        <w:bottom w:val="none" w:sz="0" w:space="0" w:color="auto"/>
        <w:right w:val="none" w:sz="0" w:space="0" w:color="auto"/>
      </w:divBdr>
      <w:divsChild>
        <w:div w:id="1069034049">
          <w:marLeft w:val="0"/>
          <w:marRight w:val="0"/>
          <w:marTop w:val="0"/>
          <w:marBottom w:val="0"/>
          <w:divBdr>
            <w:top w:val="none" w:sz="0" w:space="0" w:color="auto"/>
            <w:left w:val="none" w:sz="0" w:space="0" w:color="auto"/>
            <w:bottom w:val="none" w:sz="0" w:space="0" w:color="auto"/>
            <w:right w:val="none" w:sz="0" w:space="0" w:color="auto"/>
          </w:divBdr>
        </w:div>
      </w:divsChild>
    </w:div>
    <w:div w:id="619343524">
      <w:bodyDiv w:val="1"/>
      <w:marLeft w:val="0"/>
      <w:marRight w:val="0"/>
      <w:marTop w:val="0"/>
      <w:marBottom w:val="0"/>
      <w:divBdr>
        <w:top w:val="none" w:sz="0" w:space="0" w:color="auto"/>
        <w:left w:val="none" w:sz="0" w:space="0" w:color="auto"/>
        <w:bottom w:val="none" w:sz="0" w:space="0" w:color="auto"/>
        <w:right w:val="none" w:sz="0" w:space="0" w:color="auto"/>
      </w:divBdr>
    </w:div>
    <w:div w:id="904872874">
      <w:bodyDiv w:val="1"/>
      <w:marLeft w:val="0"/>
      <w:marRight w:val="0"/>
      <w:marTop w:val="0"/>
      <w:marBottom w:val="0"/>
      <w:divBdr>
        <w:top w:val="none" w:sz="0" w:space="0" w:color="auto"/>
        <w:left w:val="none" w:sz="0" w:space="0" w:color="auto"/>
        <w:bottom w:val="none" w:sz="0" w:space="0" w:color="auto"/>
        <w:right w:val="none" w:sz="0" w:space="0" w:color="auto"/>
      </w:divBdr>
    </w:div>
    <w:div w:id="979573657">
      <w:bodyDiv w:val="1"/>
      <w:marLeft w:val="0"/>
      <w:marRight w:val="0"/>
      <w:marTop w:val="0"/>
      <w:marBottom w:val="0"/>
      <w:divBdr>
        <w:top w:val="none" w:sz="0" w:space="0" w:color="auto"/>
        <w:left w:val="none" w:sz="0" w:space="0" w:color="auto"/>
        <w:bottom w:val="none" w:sz="0" w:space="0" w:color="auto"/>
        <w:right w:val="none" w:sz="0" w:space="0" w:color="auto"/>
      </w:divBdr>
    </w:div>
    <w:div w:id="1121454174">
      <w:bodyDiv w:val="1"/>
      <w:marLeft w:val="0"/>
      <w:marRight w:val="0"/>
      <w:marTop w:val="0"/>
      <w:marBottom w:val="0"/>
      <w:divBdr>
        <w:top w:val="none" w:sz="0" w:space="0" w:color="auto"/>
        <w:left w:val="none" w:sz="0" w:space="0" w:color="auto"/>
        <w:bottom w:val="none" w:sz="0" w:space="0" w:color="auto"/>
        <w:right w:val="none" w:sz="0" w:space="0" w:color="auto"/>
      </w:divBdr>
    </w:div>
    <w:div w:id="1131098920">
      <w:bodyDiv w:val="1"/>
      <w:marLeft w:val="0"/>
      <w:marRight w:val="0"/>
      <w:marTop w:val="0"/>
      <w:marBottom w:val="0"/>
      <w:divBdr>
        <w:top w:val="none" w:sz="0" w:space="0" w:color="auto"/>
        <w:left w:val="none" w:sz="0" w:space="0" w:color="auto"/>
        <w:bottom w:val="none" w:sz="0" w:space="0" w:color="auto"/>
        <w:right w:val="none" w:sz="0" w:space="0" w:color="auto"/>
      </w:divBdr>
    </w:div>
    <w:div w:id="1219980151">
      <w:bodyDiv w:val="1"/>
      <w:marLeft w:val="0"/>
      <w:marRight w:val="0"/>
      <w:marTop w:val="0"/>
      <w:marBottom w:val="0"/>
      <w:divBdr>
        <w:top w:val="none" w:sz="0" w:space="0" w:color="auto"/>
        <w:left w:val="none" w:sz="0" w:space="0" w:color="auto"/>
        <w:bottom w:val="none" w:sz="0" w:space="0" w:color="auto"/>
        <w:right w:val="none" w:sz="0" w:space="0" w:color="auto"/>
      </w:divBdr>
    </w:div>
    <w:div w:id="1261639708">
      <w:bodyDiv w:val="1"/>
      <w:marLeft w:val="0"/>
      <w:marRight w:val="0"/>
      <w:marTop w:val="0"/>
      <w:marBottom w:val="0"/>
      <w:divBdr>
        <w:top w:val="none" w:sz="0" w:space="0" w:color="auto"/>
        <w:left w:val="none" w:sz="0" w:space="0" w:color="auto"/>
        <w:bottom w:val="none" w:sz="0" w:space="0" w:color="auto"/>
        <w:right w:val="none" w:sz="0" w:space="0" w:color="auto"/>
      </w:divBdr>
    </w:div>
    <w:div w:id="1273247892">
      <w:bodyDiv w:val="1"/>
      <w:marLeft w:val="0"/>
      <w:marRight w:val="0"/>
      <w:marTop w:val="0"/>
      <w:marBottom w:val="0"/>
      <w:divBdr>
        <w:top w:val="none" w:sz="0" w:space="0" w:color="auto"/>
        <w:left w:val="none" w:sz="0" w:space="0" w:color="auto"/>
        <w:bottom w:val="none" w:sz="0" w:space="0" w:color="auto"/>
        <w:right w:val="none" w:sz="0" w:space="0" w:color="auto"/>
      </w:divBdr>
    </w:div>
    <w:div w:id="1336616179">
      <w:bodyDiv w:val="1"/>
      <w:marLeft w:val="0"/>
      <w:marRight w:val="0"/>
      <w:marTop w:val="0"/>
      <w:marBottom w:val="0"/>
      <w:divBdr>
        <w:top w:val="none" w:sz="0" w:space="0" w:color="auto"/>
        <w:left w:val="none" w:sz="0" w:space="0" w:color="auto"/>
        <w:bottom w:val="none" w:sz="0" w:space="0" w:color="auto"/>
        <w:right w:val="none" w:sz="0" w:space="0" w:color="auto"/>
      </w:divBdr>
    </w:div>
    <w:div w:id="1342246286">
      <w:bodyDiv w:val="1"/>
      <w:marLeft w:val="0"/>
      <w:marRight w:val="0"/>
      <w:marTop w:val="0"/>
      <w:marBottom w:val="0"/>
      <w:divBdr>
        <w:top w:val="none" w:sz="0" w:space="0" w:color="auto"/>
        <w:left w:val="none" w:sz="0" w:space="0" w:color="auto"/>
        <w:bottom w:val="none" w:sz="0" w:space="0" w:color="auto"/>
        <w:right w:val="none" w:sz="0" w:space="0" w:color="auto"/>
      </w:divBdr>
    </w:div>
    <w:div w:id="1401561170">
      <w:bodyDiv w:val="1"/>
      <w:marLeft w:val="0"/>
      <w:marRight w:val="0"/>
      <w:marTop w:val="0"/>
      <w:marBottom w:val="0"/>
      <w:divBdr>
        <w:top w:val="none" w:sz="0" w:space="0" w:color="auto"/>
        <w:left w:val="none" w:sz="0" w:space="0" w:color="auto"/>
        <w:bottom w:val="none" w:sz="0" w:space="0" w:color="auto"/>
        <w:right w:val="none" w:sz="0" w:space="0" w:color="auto"/>
      </w:divBdr>
    </w:div>
    <w:div w:id="1420250397">
      <w:bodyDiv w:val="1"/>
      <w:marLeft w:val="0"/>
      <w:marRight w:val="0"/>
      <w:marTop w:val="0"/>
      <w:marBottom w:val="0"/>
      <w:divBdr>
        <w:top w:val="none" w:sz="0" w:space="0" w:color="auto"/>
        <w:left w:val="none" w:sz="0" w:space="0" w:color="auto"/>
        <w:bottom w:val="none" w:sz="0" w:space="0" w:color="auto"/>
        <w:right w:val="none" w:sz="0" w:space="0" w:color="auto"/>
      </w:divBdr>
    </w:div>
    <w:div w:id="1446540472">
      <w:bodyDiv w:val="1"/>
      <w:marLeft w:val="0"/>
      <w:marRight w:val="0"/>
      <w:marTop w:val="0"/>
      <w:marBottom w:val="0"/>
      <w:divBdr>
        <w:top w:val="none" w:sz="0" w:space="0" w:color="auto"/>
        <w:left w:val="none" w:sz="0" w:space="0" w:color="auto"/>
        <w:bottom w:val="none" w:sz="0" w:space="0" w:color="auto"/>
        <w:right w:val="none" w:sz="0" w:space="0" w:color="auto"/>
      </w:divBdr>
    </w:div>
    <w:div w:id="1585529658">
      <w:bodyDiv w:val="1"/>
      <w:marLeft w:val="0"/>
      <w:marRight w:val="0"/>
      <w:marTop w:val="0"/>
      <w:marBottom w:val="0"/>
      <w:divBdr>
        <w:top w:val="none" w:sz="0" w:space="0" w:color="auto"/>
        <w:left w:val="none" w:sz="0" w:space="0" w:color="auto"/>
        <w:bottom w:val="none" w:sz="0" w:space="0" w:color="auto"/>
        <w:right w:val="none" w:sz="0" w:space="0" w:color="auto"/>
      </w:divBdr>
      <w:divsChild>
        <w:div w:id="2145544375">
          <w:marLeft w:val="0"/>
          <w:marRight w:val="0"/>
          <w:marTop w:val="0"/>
          <w:marBottom w:val="0"/>
          <w:divBdr>
            <w:top w:val="none" w:sz="0" w:space="0" w:color="auto"/>
            <w:left w:val="none" w:sz="0" w:space="0" w:color="auto"/>
            <w:bottom w:val="none" w:sz="0" w:space="0" w:color="auto"/>
            <w:right w:val="none" w:sz="0" w:space="0" w:color="auto"/>
          </w:divBdr>
        </w:div>
      </w:divsChild>
    </w:div>
    <w:div w:id="1663511203">
      <w:bodyDiv w:val="1"/>
      <w:marLeft w:val="0"/>
      <w:marRight w:val="0"/>
      <w:marTop w:val="0"/>
      <w:marBottom w:val="0"/>
      <w:divBdr>
        <w:top w:val="none" w:sz="0" w:space="0" w:color="auto"/>
        <w:left w:val="none" w:sz="0" w:space="0" w:color="auto"/>
        <w:bottom w:val="none" w:sz="0" w:space="0" w:color="auto"/>
        <w:right w:val="none" w:sz="0" w:space="0" w:color="auto"/>
      </w:divBdr>
    </w:div>
    <w:div w:id="1921479551">
      <w:bodyDiv w:val="1"/>
      <w:marLeft w:val="0"/>
      <w:marRight w:val="0"/>
      <w:marTop w:val="0"/>
      <w:marBottom w:val="0"/>
      <w:divBdr>
        <w:top w:val="none" w:sz="0" w:space="0" w:color="auto"/>
        <w:left w:val="none" w:sz="0" w:space="0" w:color="auto"/>
        <w:bottom w:val="none" w:sz="0" w:space="0" w:color="auto"/>
        <w:right w:val="none" w:sz="0" w:space="0" w:color="auto"/>
      </w:divBdr>
    </w:div>
    <w:div w:id="205527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F361E3-49FC-47F4-8769-4CF578ADB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31584</Words>
  <Characters>180029</Characters>
  <Application>Microsoft Office Word</Application>
  <DocSecurity>0</DocSecurity>
  <Lines>1500</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211191</CharactersWithSpaces>
  <SharedDoc>false</SharedDoc>
  <HLinks>
    <vt:vector size="42" baseType="variant">
      <vt:variant>
        <vt:i4>3145824</vt:i4>
      </vt:variant>
      <vt:variant>
        <vt:i4>18</vt:i4>
      </vt:variant>
      <vt:variant>
        <vt:i4>0</vt:i4>
      </vt:variant>
      <vt:variant>
        <vt:i4>5</vt:i4>
      </vt:variant>
      <vt:variant>
        <vt:lpwstr>https://doi.org/10.3390/ijfs5030018</vt:lpwstr>
      </vt:variant>
      <vt:variant>
        <vt:lpwstr/>
      </vt:variant>
      <vt:variant>
        <vt:i4>3866745</vt:i4>
      </vt:variant>
      <vt:variant>
        <vt:i4>15</vt:i4>
      </vt:variant>
      <vt:variant>
        <vt:i4>0</vt:i4>
      </vt:variant>
      <vt:variant>
        <vt:i4>5</vt:i4>
      </vt:variant>
      <vt:variant>
        <vt:lpwstr>https://doi.org/10.1016/j.najef.2012.10.007</vt:lpwstr>
      </vt:variant>
      <vt:variant>
        <vt:lpwstr/>
      </vt:variant>
      <vt:variant>
        <vt:i4>5177415</vt:i4>
      </vt:variant>
      <vt:variant>
        <vt:i4>12</vt:i4>
      </vt:variant>
      <vt:variant>
        <vt:i4>0</vt:i4>
      </vt:variant>
      <vt:variant>
        <vt:i4>5</vt:i4>
      </vt:variant>
      <vt:variant>
        <vt:lpwstr>https://www.aeaweb.org/econlit/jelCodes.php?view=jel</vt:lpwstr>
      </vt:variant>
      <vt:variant>
        <vt:lpwstr/>
      </vt:variant>
      <vt:variant>
        <vt:i4>3342435</vt:i4>
      </vt:variant>
      <vt:variant>
        <vt:i4>9</vt:i4>
      </vt:variant>
      <vt:variant>
        <vt:i4>0</vt:i4>
      </vt:variant>
      <vt:variant>
        <vt:i4>5</vt:i4>
      </vt:variant>
      <vt:variant>
        <vt:lpwstr>https://businessperspectives.org/index.php/journals/tag/financial market policy</vt:lpwstr>
      </vt:variant>
      <vt:variant>
        <vt:lpwstr/>
      </vt:variant>
      <vt:variant>
        <vt:i4>4915275</vt:i4>
      </vt:variant>
      <vt:variant>
        <vt:i4>6</vt:i4>
      </vt:variant>
      <vt:variant>
        <vt:i4>0</vt:i4>
      </vt:variant>
      <vt:variant>
        <vt:i4>5</vt:i4>
      </vt:variant>
      <vt:variant>
        <vt:lpwstr>https://businessperspectives.org/index.php/journals/tag/financial intermediaries</vt:lpwstr>
      </vt:variant>
      <vt:variant>
        <vt:lpwstr/>
      </vt:variant>
      <vt:variant>
        <vt:i4>4390994</vt:i4>
      </vt:variant>
      <vt:variant>
        <vt:i4>3</vt:i4>
      </vt:variant>
      <vt:variant>
        <vt:i4>0</vt:i4>
      </vt:variant>
      <vt:variant>
        <vt:i4>5</vt:i4>
      </vt:variant>
      <vt:variant>
        <vt:lpwstr>https://businessperspectives.org/index.php/journals/tag/financial forecasting</vt:lpwstr>
      </vt:variant>
      <vt:variant>
        <vt:lpwstr/>
      </vt:variant>
      <vt:variant>
        <vt:i4>6619207</vt:i4>
      </vt:variant>
      <vt:variant>
        <vt:i4>0</vt:i4>
      </vt:variant>
      <vt:variant>
        <vt:i4>0</vt:i4>
      </vt:variant>
      <vt:variant>
        <vt:i4>5</vt:i4>
      </vt:variant>
      <vt:variant>
        <vt:lpwstr>mailto:abcd@email.com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IJSMS</dc:creator>
  <cp:keywords/>
  <cp:lastModifiedBy>Administrator</cp:lastModifiedBy>
  <cp:revision>3</cp:revision>
  <cp:lastPrinted>2021-05-31T06:06:00Z</cp:lastPrinted>
  <dcterms:created xsi:type="dcterms:W3CDTF">2022-12-02T02:28:00Z</dcterms:created>
  <dcterms:modified xsi:type="dcterms:W3CDTF">2022-12-03T04:28:00Z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022182f8-f8fd-3514-a66e-d50c91e533ba</vt:lpwstr>
  </property>
  <property fmtid="{D5CDD505-2E9C-101B-9397-08002B2CF9AE}" pid="24" name="Mendeley Citation Style_1">
    <vt:lpwstr>http://www.zotero.org/styles/apa</vt:lpwstr>
  </property>
</Properties>
</file>