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BA3C4" w14:textId="1722D3EE" w:rsidR="008825D4" w:rsidRDefault="004F2505">
      <w:pPr>
        <w:pBdr>
          <w:top w:val="nil"/>
          <w:left w:val="nil"/>
          <w:bottom w:val="nil"/>
          <w:right w:val="nil"/>
          <w:between w:val="nil"/>
        </w:pBdr>
        <w:jc w:val="center"/>
        <w:rPr>
          <w:rFonts w:ascii="Book Antiqua" w:eastAsia="Book Antiqua" w:hAnsi="Book Antiqua" w:cs="Book Antiqua"/>
          <w:b/>
          <w:color w:val="FF0000"/>
          <w:sz w:val="28"/>
          <w:szCs w:val="28"/>
        </w:rPr>
      </w:pPr>
      <w:r>
        <w:rPr>
          <w:rFonts w:ascii="Book Antiqua" w:eastAsia="Book Antiqua" w:hAnsi="Book Antiqua" w:cs="Book Antiqua"/>
          <w:b/>
          <w:color w:val="000000"/>
          <w:sz w:val="28"/>
          <w:szCs w:val="28"/>
        </w:rPr>
        <w:t xml:space="preserve">HOW THE MOSLEM MILLENIALS PERSPECTIVE IN FINANCIAL WELL BEING </w:t>
      </w:r>
    </w:p>
    <w:p w14:paraId="79C66506" w14:textId="2E291E90" w:rsidR="008825D4" w:rsidRDefault="008825D4">
      <w:pPr>
        <w:pBdr>
          <w:top w:val="nil"/>
          <w:left w:val="nil"/>
          <w:bottom w:val="nil"/>
          <w:right w:val="nil"/>
          <w:between w:val="nil"/>
        </w:pBdr>
        <w:jc w:val="center"/>
        <w:rPr>
          <w:rFonts w:ascii="Book Antiqua" w:eastAsia="Book Antiqua" w:hAnsi="Book Antiqua" w:cs="Book Antiqua"/>
          <w:color w:val="4472C4"/>
        </w:rPr>
      </w:pPr>
    </w:p>
    <w:p w14:paraId="4B1E9AAE" w14:textId="770009AB" w:rsidR="008825D4" w:rsidRDefault="004F2505">
      <w:pPr>
        <w:pBdr>
          <w:top w:val="nil"/>
          <w:left w:val="nil"/>
          <w:bottom w:val="nil"/>
          <w:right w:val="nil"/>
          <w:between w:val="nil"/>
        </w:pBdr>
        <w:jc w:val="center"/>
        <w:rPr>
          <w:rFonts w:ascii="Book Antiqua" w:eastAsia="Book Antiqua" w:hAnsi="Book Antiqua" w:cs="Book Antiqua"/>
          <w:b/>
          <w:i/>
          <w:color w:val="000000"/>
          <w:sz w:val="20"/>
          <w:szCs w:val="20"/>
        </w:rPr>
      </w:pPr>
      <w:r>
        <w:rPr>
          <w:rFonts w:ascii="Book Antiqua" w:eastAsia="Book Antiqua" w:hAnsi="Book Antiqua" w:cs="Book Antiqua"/>
          <w:b/>
          <w:i/>
          <w:color w:val="000000"/>
          <w:sz w:val="20"/>
          <w:szCs w:val="20"/>
        </w:rPr>
        <w:t>Mega Noerman Ningtyas*</w:t>
      </w:r>
      <w:r>
        <w:rPr>
          <w:rFonts w:ascii="Book Antiqua" w:eastAsia="Book Antiqua" w:hAnsi="Book Antiqua" w:cs="Book Antiqua"/>
          <w:b/>
          <w:i/>
          <w:color w:val="000000"/>
          <w:sz w:val="20"/>
          <w:szCs w:val="20"/>
          <w:vertAlign w:val="superscript"/>
        </w:rPr>
        <w:t>1</w:t>
      </w:r>
      <w:r>
        <w:rPr>
          <w:rFonts w:ascii="Book Antiqua" w:eastAsia="Book Antiqua" w:hAnsi="Book Antiqua" w:cs="Book Antiqua"/>
          <w:b/>
          <w:i/>
          <w:color w:val="000000"/>
          <w:sz w:val="20"/>
          <w:szCs w:val="20"/>
        </w:rPr>
        <w:t xml:space="preserve">, </w:t>
      </w:r>
      <w:r w:rsidR="00AA54E2">
        <w:rPr>
          <w:rFonts w:ascii="Book Antiqua" w:eastAsia="Book Antiqua" w:hAnsi="Book Antiqua" w:cs="Book Antiqua"/>
          <w:b/>
          <w:i/>
          <w:color w:val="000000"/>
          <w:sz w:val="20"/>
          <w:szCs w:val="20"/>
        </w:rPr>
        <w:t>Fadilla Cahyaningtyas</w:t>
      </w:r>
      <w:r>
        <w:rPr>
          <w:rFonts w:ascii="Book Antiqua" w:eastAsia="Book Antiqua" w:hAnsi="Book Antiqua" w:cs="Book Antiqua"/>
          <w:b/>
          <w:i/>
          <w:color w:val="000000"/>
          <w:sz w:val="20"/>
          <w:szCs w:val="20"/>
          <w:vertAlign w:val="superscript"/>
        </w:rPr>
        <w:t>2</w:t>
      </w:r>
    </w:p>
    <w:p w14:paraId="7020D6A8" w14:textId="3246B0A5" w:rsidR="008825D4" w:rsidRDefault="00000000">
      <w:pPr>
        <w:jc w:val="center"/>
        <w:rPr>
          <w:rFonts w:ascii="Book Antiqua" w:eastAsia="Book Antiqua" w:hAnsi="Book Antiqua" w:cs="Book Antiqua"/>
          <w:color w:val="FF0000"/>
          <w:sz w:val="20"/>
          <w:szCs w:val="20"/>
        </w:rPr>
      </w:pPr>
      <w:r>
        <w:rPr>
          <w:rFonts w:ascii="Book Antiqua" w:eastAsia="Book Antiqua" w:hAnsi="Book Antiqua" w:cs="Book Antiqua"/>
          <w:i/>
          <w:sz w:val="20"/>
          <w:szCs w:val="20"/>
          <w:vertAlign w:val="superscript"/>
        </w:rPr>
        <w:t>1</w:t>
      </w:r>
      <w:r>
        <w:rPr>
          <w:rFonts w:ascii="Book Antiqua" w:eastAsia="Book Antiqua" w:hAnsi="Book Antiqua" w:cs="Book Antiqua"/>
          <w:i/>
          <w:sz w:val="20"/>
          <w:szCs w:val="20"/>
        </w:rPr>
        <w:t xml:space="preserve"> </w:t>
      </w:r>
      <w:r w:rsidR="004F2505">
        <w:rPr>
          <w:rFonts w:ascii="Book Antiqua" w:eastAsia="Book Antiqua" w:hAnsi="Book Antiqua" w:cs="Book Antiqua"/>
          <w:i/>
          <w:sz w:val="20"/>
          <w:szCs w:val="20"/>
        </w:rPr>
        <w:t>Universitas Islam Negeri Maulana Malik Ibrahim Malang</w:t>
      </w:r>
      <w:r>
        <w:t xml:space="preserve"> </w:t>
      </w:r>
    </w:p>
    <w:p w14:paraId="36D7D5E1" w14:textId="0039BB06" w:rsidR="008825D4" w:rsidRDefault="00000000">
      <w:pPr>
        <w:jc w:val="center"/>
        <w:rPr>
          <w:color w:val="FF0000"/>
        </w:rPr>
      </w:pPr>
      <w:r>
        <w:rPr>
          <w:rFonts w:ascii="Book Antiqua" w:eastAsia="Book Antiqua" w:hAnsi="Book Antiqua" w:cs="Book Antiqua"/>
          <w:i/>
          <w:sz w:val="20"/>
          <w:szCs w:val="20"/>
          <w:vertAlign w:val="superscript"/>
        </w:rPr>
        <w:t>2</w:t>
      </w:r>
      <w:r>
        <w:rPr>
          <w:rFonts w:ascii="Book Antiqua" w:eastAsia="Book Antiqua" w:hAnsi="Book Antiqua" w:cs="Book Antiqua"/>
          <w:i/>
          <w:sz w:val="20"/>
          <w:szCs w:val="20"/>
        </w:rPr>
        <w:t xml:space="preserve"> </w:t>
      </w:r>
      <w:r w:rsidR="0043783C">
        <w:rPr>
          <w:rFonts w:ascii="Book Antiqua" w:eastAsia="Book Antiqua" w:hAnsi="Book Antiqua" w:cs="Book Antiqua"/>
          <w:i/>
          <w:sz w:val="20"/>
          <w:szCs w:val="20"/>
        </w:rPr>
        <w:t>Institut Teknologi dan Bisnis Asia Malang</w:t>
      </w:r>
    </w:p>
    <w:p w14:paraId="5E430D48" w14:textId="77777777" w:rsidR="00AA54E2" w:rsidRDefault="00AA54E2">
      <w:pPr>
        <w:tabs>
          <w:tab w:val="left" w:pos="1740"/>
        </w:tabs>
        <w:jc w:val="center"/>
        <w:rPr>
          <w:rFonts w:ascii="Book Antiqua" w:eastAsia="Book Antiqua" w:hAnsi="Book Antiqua" w:cs="Book Antiqua"/>
          <w:i/>
          <w:sz w:val="20"/>
          <w:szCs w:val="20"/>
        </w:rPr>
      </w:pPr>
      <w:bookmarkStart w:id="0" w:name="bookmark=id.30j0zll" w:colFirst="0" w:colLast="0"/>
      <w:bookmarkEnd w:id="0"/>
    </w:p>
    <w:p w14:paraId="376D67E3" w14:textId="009184AB" w:rsidR="008825D4" w:rsidRDefault="00000000">
      <w:pPr>
        <w:tabs>
          <w:tab w:val="left" w:pos="1740"/>
        </w:tabs>
        <w:jc w:val="center"/>
        <w:rPr>
          <w:rFonts w:ascii="Book Antiqua" w:eastAsia="Book Antiqua" w:hAnsi="Book Antiqua" w:cs="Book Antiqua"/>
          <w:sz w:val="20"/>
          <w:szCs w:val="20"/>
        </w:rPr>
      </w:pPr>
      <w:r>
        <w:rPr>
          <w:rFonts w:ascii="Book Antiqua" w:eastAsia="Book Antiqua" w:hAnsi="Book Antiqua" w:cs="Book Antiqua"/>
          <w:i/>
          <w:sz w:val="20"/>
          <w:szCs w:val="20"/>
        </w:rPr>
        <w:t xml:space="preserve">*Corresponding Author: </w:t>
      </w:r>
      <w:r w:rsidR="0043783C">
        <w:rPr>
          <w:rFonts w:ascii="Book Antiqua" w:eastAsia="Book Antiqua" w:hAnsi="Book Antiqua" w:cs="Book Antiqua"/>
          <w:i/>
          <w:color w:val="0000FF"/>
          <w:sz w:val="20"/>
          <w:szCs w:val="20"/>
          <w:u w:val="single"/>
        </w:rPr>
        <w:t>meganoerman@uin-malang.ac.id</w:t>
      </w:r>
      <w:r>
        <w:rPr>
          <w:rFonts w:ascii="Book Antiqua" w:eastAsia="Book Antiqua" w:hAnsi="Book Antiqua" w:cs="Book Antiqua"/>
          <w:sz w:val="20"/>
          <w:szCs w:val="20"/>
        </w:rPr>
        <w:t xml:space="preserve"> </w:t>
      </w:r>
      <w:bookmarkStart w:id="1" w:name="bookmark=id.1fob9te" w:colFirst="0" w:colLast="0"/>
      <w:bookmarkStart w:id="2" w:name="bookmark=id.3znysh7" w:colFirst="0" w:colLast="0"/>
      <w:bookmarkEnd w:id="1"/>
      <w:bookmarkEnd w:id="2"/>
    </w:p>
    <w:p w14:paraId="41B07EB4" w14:textId="77777777" w:rsidR="004F2505" w:rsidRDefault="004F2505">
      <w:pPr>
        <w:pBdr>
          <w:top w:val="nil"/>
          <w:left w:val="nil"/>
          <w:bottom w:val="nil"/>
          <w:right w:val="nil"/>
          <w:between w:val="nil"/>
        </w:pBdr>
        <w:jc w:val="both"/>
        <w:rPr>
          <w:rFonts w:ascii="Book Antiqua" w:eastAsia="Book Antiqua" w:hAnsi="Book Antiqua" w:cs="Book Antiqua"/>
          <w:color w:val="4472C4"/>
        </w:rPr>
      </w:pPr>
      <w:bookmarkStart w:id="3" w:name="bookmark=id.2et92p0" w:colFirst="0" w:colLast="0"/>
      <w:bookmarkStart w:id="4" w:name="bookmark=id.tyjcwt" w:colFirst="0" w:colLast="0"/>
      <w:bookmarkEnd w:id="3"/>
      <w:bookmarkEnd w:id="4"/>
    </w:p>
    <w:p w14:paraId="11495AED" w14:textId="0092B531" w:rsidR="008825D4" w:rsidRDefault="00000000">
      <w:pPr>
        <w:pBdr>
          <w:top w:val="nil"/>
          <w:left w:val="nil"/>
          <w:bottom w:val="nil"/>
          <w:right w:val="nil"/>
          <w:between w:val="nil"/>
        </w:pBdr>
        <w:jc w:val="both"/>
        <w:rPr>
          <w:rFonts w:ascii="Book Antiqua" w:eastAsia="Book Antiqua" w:hAnsi="Book Antiqua" w:cs="Book Antiqua"/>
          <w:color w:val="000000"/>
          <w:sz w:val="22"/>
          <w:szCs w:val="22"/>
        </w:rPr>
      </w:pPr>
      <w:r>
        <w:rPr>
          <w:rFonts w:ascii="Book Antiqua" w:eastAsia="Book Antiqua" w:hAnsi="Book Antiqua" w:cs="Book Antiqua"/>
          <w:b/>
          <w:i/>
          <w:color w:val="000000"/>
          <w:sz w:val="20"/>
          <w:szCs w:val="20"/>
        </w:rPr>
        <w:t>Abstract:</w:t>
      </w:r>
      <w:r>
        <w:rPr>
          <w:rFonts w:ascii="Book Antiqua" w:eastAsia="Book Antiqua" w:hAnsi="Book Antiqua" w:cs="Book Antiqua"/>
          <w:b/>
          <w:i/>
          <w:color w:val="000000"/>
          <w:sz w:val="22"/>
          <w:szCs w:val="22"/>
        </w:rPr>
        <w:t xml:space="preserve"> </w:t>
      </w:r>
      <w:r>
        <w:rPr>
          <w:rFonts w:ascii="Book Antiqua" w:eastAsia="Book Antiqua" w:hAnsi="Book Antiqua" w:cs="Book Antiqua"/>
          <w:b/>
          <w:color w:val="000000"/>
          <w:sz w:val="20"/>
          <w:szCs w:val="20"/>
        </w:rPr>
        <w:t xml:space="preserve"> </w:t>
      </w:r>
    </w:p>
    <w:p w14:paraId="4631FDF4" w14:textId="5EEA034B" w:rsidR="008825D4" w:rsidRDefault="004F2505">
      <w:pPr>
        <w:pBdr>
          <w:top w:val="nil"/>
          <w:left w:val="nil"/>
          <w:bottom w:val="nil"/>
          <w:right w:val="nil"/>
          <w:between w:val="nil"/>
        </w:pBdr>
        <w:jc w:val="both"/>
        <w:rPr>
          <w:rFonts w:ascii="Book Antiqua" w:eastAsia="Book Antiqua" w:hAnsi="Book Antiqua" w:cs="Book Antiqua"/>
          <w:i/>
          <w:color w:val="000000"/>
          <w:sz w:val="20"/>
          <w:szCs w:val="20"/>
        </w:rPr>
      </w:pPr>
      <w:bookmarkStart w:id="5" w:name="bookmark=id.3dy6vkm" w:colFirst="0" w:colLast="0"/>
      <w:bookmarkStart w:id="6" w:name="bookmark=id.1t3h5sf" w:colFirst="0" w:colLast="0"/>
      <w:bookmarkEnd w:id="5"/>
      <w:bookmarkEnd w:id="6"/>
      <w:r w:rsidRPr="004F2505">
        <w:rPr>
          <w:rFonts w:ascii="Book Antiqua" w:eastAsia="Book Antiqua" w:hAnsi="Book Antiqua" w:cs="Book Antiqua"/>
          <w:i/>
          <w:color w:val="000000"/>
          <w:sz w:val="20"/>
          <w:szCs w:val="20"/>
        </w:rPr>
        <w:t xml:space="preserve">This research reveals the view of financial well-being from the unique perspective of the </w:t>
      </w:r>
      <w:r>
        <w:rPr>
          <w:rFonts w:ascii="Book Antiqua" w:eastAsia="Book Antiqua" w:hAnsi="Book Antiqua" w:cs="Book Antiqua"/>
          <w:i/>
          <w:color w:val="000000"/>
          <w:sz w:val="20"/>
          <w:szCs w:val="20"/>
        </w:rPr>
        <w:t xml:space="preserve">moslem </w:t>
      </w:r>
      <w:r w:rsidRPr="004F2505">
        <w:rPr>
          <w:rFonts w:ascii="Book Antiqua" w:eastAsia="Book Antiqua" w:hAnsi="Book Antiqua" w:cs="Book Antiqua"/>
          <w:i/>
          <w:color w:val="000000"/>
          <w:sz w:val="20"/>
          <w:szCs w:val="20"/>
        </w:rPr>
        <w:t>millennial generation</w:t>
      </w:r>
      <w:r w:rsidR="002E6D01">
        <w:rPr>
          <w:rFonts w:ascii="Book Antiqua" w:eastAsia="Book Antiqua" w:hAnsi="Book Antiqua" w:cs="Book Antiqua"/>
          <w:i/>
          <w:color w:val="000000"/>
          <w:sz w:val="20"/>
          <w:szCs w:val="20"/>
        </w:rPr>
        <w:t>, w</w:t>
      </w:r>
      <w:r w:rsidRPr="004F2505">
        <w:rPr>
          <w:rFonts w:ascii="Book Antiqua" w:eastAsia="Book Antiqua" w:hAnsi="Book Antiqua" w:cs="Book Antiqua"/>
          <w:i/>
          <w:color w:val="000000"/>
          <w:sz w:val="20"/>
          <w:szCs w:val="20"/>
        </w:rPr>
        <w:t>ith the backdrop of economic shifts and technological advancements shaping their financial behaviors become more consumptives. Through qualitative interviews, we investigate the subjective perceptions, behavioral patterns, and socio-economic factors influencing</w:t>
      </w:r>
      <w:r w:rsidR="002E6D01">
        <w:rPr>
          <w:rFonts w:ascii="Book Antiqua" w:eastAsia="Book Antiqua" w:hAnsi="Book Antiqua" w:cs="Book Antiqua"/>
          <w:i/>
          <w:color w:val="000000"/>
          <w:sz w:val="20"/>
          <w:szCs w:val="20"/>
        </w:rPr>
        <w:t xml:space="preserve"> moslem</w:t>
      </w:r>
      <w:r w:rsidRPr="004F2505">
        <w:rPr>
          <w:rFonts w:ascii="Book Antiqua" w:eastAsia="Book Antiqua" w:hAnsi="Book Antiqua" w:cs="Book Antiqua"/>
          <w:i/>
          <w:color w:val="000000"/>
          <w:sz w:val="20"/>
          <w:szCs w:val="20"/>
        </w:rPr>
        <w:t xml:space="preserve"> millennials' financial well-being. Furthermore, this research also explains that factors affecting their financial well-being are financial literacy, financial behavior, and financial stress. The findings contribute to a deeper understanding of the complexities surrounding financial well-being in the millennial cohort, offering insights for policymakers, financial institutions, and individuals to foster improved financial health and resilience within this demographic</w:t>
      </w:r>
      <w:r>
        <w:rPr>
          <w:rFonts w:ascii="Book Antiqua" w:eastAsia="Book Antiqua" w:hAnsi="Book Antiqua" w:cs="Book Antiqua"/>
          <w:i/>
          <w:color w:val="000000"/>
          <w:sz w:val="20"/>
          <w:szCs w:val="20"/>
          <w:highlight w:val="white"/>
        </w:rPr>
        <w:t xml:space="preserve">. </w:t>
      </w:r>
      <w:bookmarkStart w:id="7" w:name="bookmark=id.2s8eyo1" w:colFirst="0" w:colLast="0"/>
      <w:bookmarkStart w:id="8" w:name="bookmark=id.4d34og8" w:colFirst="0" w:colLast="0"/>
      <w:bookmarkEnd w:id="7"/>
      <w:bookmarkEnd w:id="8"/>
    </w:p>
    <w:p w14:paraId="06E85AE7" w14:textId="77777777" w:rsidR="008825D4" w:rsidRPr="004F2505" w:rsidRDefault="00000000">
      <w:pPr>
        <w:pBdr>
          <w:top w:val="nil"/>
          <w:left w:val="nil"/>
          <w:bottom w:val="nil"/>
          <w:right w:val="nil"/>
          <w:between w:val="nil"/>
        </w:pBdr>
        <w:jc w:val="center"/>
        <w:rPr>
          <w:rFonts w:ascii="Book Antiqua" w:eastAsia="Book Antiqua" w:hAnsi="Book Antiqua" w:cs="Book Antiqua"/>
          <w:color w:val="FFFFFF" w:themeColor="background1"/>
        </w:rPr>
      </w:pPr>
      <w:bookmarkStart w:id="9" w:name="_heading=h.26in1rg" w:colFirst="0" w:colLast="0"/>
      <w:bookmarkEnd w:id="9"/>
      <w:r w:rsidRPr="004F2505">
        <w:rPr>
          <w:rFonts w:ascii="Book Antiqua" w:eastAsia="Book Antiqua" w:hAnsi="Book Antiqua" w:cs="Book Antiqua"/>
          <w:color w:val="FFFFFF" w:themeColor="background1"/>
        </w:rPr>
        <w:t>(12pt point blank line)</w:t>
      </w:r>
    </w:p>
    <w:p w14:paraId="1AF3FA8E" w14:textId="5DB5848A" w:rsidR="008825D4" w:rsidRDefault="00000000">
      <w:pPr>
        <w:pBdr>
          <w:top w:val="nil"/>
          <w:left w:val="nil"/>
          <w:bottom w:val="nil"/>
          <w:right w:val="nil"/>
          <w:between w:val="nil"/>
        </w:pBdr>
        <w:jc w:val="both"/>
        <w:rPr>
          <w:rFonts w:ascii="Book Antiqua" w:eastAsia="Book Antiqua" w:hAnsi="Book Antiqua" w:cs="Book Antiqua"/>
          <w:color w:val="000000"/>
          <w:sz w:val="22"/>
          <w:szCs w:val="22"/>
        </w:rPr>
      </w:pPr>
      <w:r>
        <w:rPr>
          <w:rFonts w:ascii="Book Antiqua" w:eastAsia="Book Antiqua" w:hAnsi="Book Antiqua" w:cs="Book Antiqua"/>
          <w:b/>
          <w:color w:val="000000"/>
          <w:sz w:val="20"/>
          <w:szCs w:val="20"/>
        </w:rPr>
        <w:t xml:space="preserve">Keywords </w:t>
      </w:r>
      <w:bookmarkStart w:id="10" w:name="bookmark=id.17dp8vu" w:colFirst="0" w:colLast="0"/>
      <w:bookmarkStart w:id="11" w:name="bookmark=id.3rdcrjn" w:colFirst="0" w:colLast="0"/>
      <w:bookmarkEnd w:id="10"/>
      <w:bookmarkEnd w:id="11"/>
      <w:r>
        <w:rPr>
          <w:rFonts w:ascii="Book Antiqua" w:eastAsia="Book Antiqua" w:hAnsi="Book Antiqua" w:cs="Book Antiqua"/>
          <w:b/>
          <w:color w:val="FF0000"/>
          <w:sz w:val="20"/>
          <w:szCs w:val="20"/>
        </w:rPr>
        <w:t>(10pt &amp; Bold &amp; Justified</w:t>
      </w:r>
      <w:r>
        <w:rPr>
          <w:rFonts w:ascii="Book Antiqua" w:eastAsia="Book Antiqua" w:hAnsi="Book Antiqua" w:cs="Book Antiqua"/>
          <w:i/>
          <w:color w:val="FF0000"/>
          <w:sz w:val="20"/>
          <w:szCs w:val="20"/>
        </w:rPr>
        <w:t>)</w:t>
      </w:r>
      <w:r>
        <w:rPr>
          <w:rFonts w:ascii="Book Antiqua" w:eastAsia="Book Antiqua" w:hAnsi="Book Antiqua" w:cs="Book Antiqua"/>
          <w:color w:val="000000"/>
          <w:sz w:val="20"/>
          <w:szCs w:val="20"/>
        </w:rPr>
        <w:t>:</w:t>
      </w:r>
      <w:r>
        <w:rPr>
          <w:rFonts w:ascii="Book Antiqua" w:eastAsia="Book Antiqua" w:hAnsi="Book Antiqua" w:cs="Book Antiqua"/>
          <w:color w:val="000000"/>
          <w:sz w:val="22"/>
          <w:szCs w:val="22"/>
        </w:rPr>
        <w:t xml:space="preserve"> </w:t>
      </w:r>
      <w:r w:rsidR="00EE1C45">
        <w:rPr>
          <w:rFonts w:ascii="Book Antiqua" w:eastAsia="Book Antiqua" w:hAnsi="Book Antiqua" w:cs="Book Antiqua"/>
          <w:color w:val="000000"/>
          <w:sz w:val="20"/>
          <w:szCs w:val="20"/>
        </w:rPr>
        <w:t>financial well being, millennials, qualitative</w:t>
      </w:r>
    </w:p>
    <w:p w14:paraId="1CDFDAA0" w14:textId="77777777" w:rsidR="008825D4" w:rsidRDefault="00000000">
      <w:pPr>
        <w:pBdr>
          <w:top w:val="nil"/>
          <w:left w:val="nil"/>
          <w:bottom w:val="nil"/>
          <w:right w:val="nil"/>
          <w:between w:val="nil"/>
        </w:pBdr>
        <w:jc w:val="center"/>
        <w:rPr>
          <w:rFonts w:ascii="Book Antiqua" w:eastAsia="Book Antiqua" w:hAnsi="Book Antiqua" w:cs="Book Antiqua"/>
          <w:color w:val="4472C4"/>
        </w:rPr>
      </w:pPr>
      <w:r>
        <w:rPr>
          <w:rFonts w:ascii="Book Antiqua" w:eastAsia="Book Antiqua" w:hAnsi="Book Antiqua" w:cs="Book Antiqua"/>
          <w:color w:val="4472C4"/>
        </w:rPr>
        <w:t>(12pt point blank line)</w:t>
      </w:r>
    </w:p>
    <w:p w14:paraId="52D2F913" w14:textId="77777777" w:rsidR="008825D4" w:rsidRDefault="00000000">
      <w:pPr>
        <w:jc w:val="both"/>
        <w:rPr>
          <w:rFonts w:ascii="Book Antiqua" w:eastAsia="Book Antiqua" w:hAnsi="Book Antiqua" w:cs="Book Antiqua"/>
          <w:sz w:val="20"/>
          <w:szCs w:val="20"/>
        </w:rPr>
      </w:pPr>
      <w:bookmarkStart w:id="12" w:name="bookmark=id.1ksv4uv" w:colFirst="0" w:colLast="0"/>
      <w:bookmarkStart w:id="13" w:name="bookmark=id.44sinio" w:colFirst="0" w:colLast="0"/>
      <w:bookmarkEnd w:id="12"/>
      <w:bookmarkEnd w:id="13"/>
      <w:r>
        <w:rPr>
          <w:rFonts w:ascii="Book Antiqua" w:eastAsia="Book Antiqua" w:hAnsi="Book Antiqua" w:cs="Book Antiqua"/>
          <w:b/>
          <w:sz w:val="20"/>
          <w:szCs w:val="20"/>
        </w:rPr>
        <w:t xml:space="preserve">JEL Classification Code </w:t>
      </w:r>
      <w:r>
        <w:rPr>
          <w:rFonts w:ascii="Book Antiqua" w:eastAsia="Book Antiqua" w:hAnsi="Book Antiqua" w:cs="Book Antiqua"/>
          <w:b/>
          <w:color w:val="FF0000"/>
          <w:sz w:val="20"/>
          <w:szCs w:val="20"/>
        </w:rPr>
        <w:t>(10pt &amp; Bold &amp; Justified</w:t>
      </w:r>
      <w:r>
        <w:rPr>
          <w:rFonts w:ascii="Book Antiqua" w:eastAsia="Book Antiqua" w:hAnsi="Book Antiqua" w:cs="Book Antiqua"/>
          <w:b/>
          <w:i/>
          <w:color w:val="FF0000"/>
          <w:sz w:val="20"/>
          <w:szCs w:val="20"/>
        </w:rPr>
        <w:t>)</w:t>
      </w:r>
      <w:r>
        <w:rPr>
          <w:rFonts w:ascii="Book Antiqua" w:eastAsia="Book Antiqua" w:hAnsi="Book Antiqua" w:cs="Book Antiqua"/>
          <w:b/>
          <w:sz w:val="20"/>
          <w:szCs w:val="20"/>
        </w:rPr>
        <w:t xml:space="preserve">: </w:t>
      </w:r>
      <w:r>
        <w:rPr>
          <w:rFonts w:ascii="Book Antiqua" w:eastAsia="Book Antiqua" w:hAnsi="Book Antiqua" w:cs="Book Antiqua"/>
          <w:sz w:val="20"/>
          <w:szCs w:val="20"/>
        </w:rPr>
        <w:t xml:space="preserve">Put your </w:t>
      </w:r>
      <w:bookmarkStart w:id="14" w:name="bookmark=id.2jxsxqh" w:colFirst="0" w:colLast="0"/>
      <w:bookmarkEnd w:id="14"/>
      <w:r>
        <w:rPr>
          <w:rFonts w:ascii="Book Antiqua" w:eastAsia="Book Antiqua" w:hAnsi="Book Antiqua" w:cs="Book Antiqua"/>
          <w:sz w:val="20"/>
          <w:szCs w:val="20"/>
        </w:rPr>
        <w:t>JEL Classification Code here, JEL Classification Codes are separated by comma up to five code</w:t>
      </w:r>
      <w:r>
        <w:rPr>
          <w:rFonts w:ascii="Book Antiqua" w:eastAsia="Book Antiqua" w:hAnsi="Book Antiqua" w:cs="Book Antiqua"/>
          <w:b/>
          <w:sz w:val="20"/>
          <w:szCs w:val="20"/>
        </w:rPr>
        <w:t xml:space="preserve"> (</w:t>
      </w:r>
      <w:r>
        <w:rPr>
          <w:rFonts w:ascii="Book Antiqua" w:eastAsia="Book Antiqua" w:hAnsi="Book Antiqua" w:cs="Book Antiqua"/>
          <w:sz w:val="20"/>
          <w:szCs w:val="20"/>
        </w:rPr>
        <w:t>for example:</w:t>
      </w:r>
      <w:r>
        <w:rPr>
          <w:rFonts w:ascii="Book Antiqua" w:eastAsia="Book Antiqua" w:hAnsi="Book Antiqua" w:cs="Book Antiqua"/>
          <w:color w:val="323232"/>
          <w:sz w:val="20"/>
          <w:szCs w:val="20"/>
          <w:highlight w:val="white"/>
        </w:rPr>
        <w:t xml:space="preserve"> </w:t>
      </w:r>
      <w:r>
        <w:rPr>
          <w:rFonts w:ascii="Book Antiqua" w:eastAsia="Book Antiqua" w:hAnsi="Book Antiqua" w:cs="Book Antiqua"/>
          <w:sz w:val="20"/>
          <w:szCs w:val="20"/>
        </w:rPr>
        <w:t>G17, G18, O16</w:t>
      </w:r>
      <w:r>
        <w:rPr>
          <w:rFonts w:ascii="Book Antiqua" w:eastAsia="Book Antiqua" w:hAnsi="Book Antiqua" w:cs="Book Antiqua"/>
          <w:b/>
          <w:sz w:val="20"/>
          <w:szCs w:val="20"/>
        </w:rPr>
        <w:t xml:space="preserve">) </w:t>
      </w:r>
      <w:r>
        <w:rPr>
          <w:rFonts w:ascii="Book Antiqua" w:eastAsia="Book Antiqua" w:hAnsi="Book Antiqua" w:cs="Book Antiqua"/>
          <w:color w:val="FF0000"/>
          <w:sz w:val="20"/>
          <w:szCs w:val="20"/>
        </w:rPr>
        <w:t xml:space="preserve">(10pt &amp; Justified), </w:t>
      </w:r>
      <w:r>
        <w:rPr>
          <w:rFonts w:ascii="Book Antiqua" w:eastAsia="Book Antiqua" w:hAnsi="Book Antiqua" w:cs="Book Antiqua"/>
          <w:sz w:val="20"/>
          <w:szCs w:val="20"/>
        </w:rPr>
        <w:t>Find it</w:t>
      </w:r>
      <w:r>
        <w:rPr>
          <w:rFonts w:ascii="Book Antiqua" w:eastAsia="Book Antiqua" w:hAnsi="Book Antiqua" w:cs="Book Antiqua"/>
          <w:color w:val="FF0000"/>
          <w:sz w:val="20"/>
          <w:szCs w:val="20"/>
        </w:rPr>
        <w:t xml:space="preserve"> </w:t>
      </w:r>
      <w:r>
        <w:rPr>
          <w:rFonts w:ascii="Book Antiqua" w:eastAsia="Book Antiqua" w:hAnsi="Book Antiqua" w:cs="Book Antiqua"/>
          <w:color w:val="4472C4"/>
          <w:sz w:val="20"/>
          <w:szCs w:val="20"/>
        </w:rPr>
        <w:t>(</w:t>
      </w:r>
      <w:hyperlink r:id="rId8">
        <w:r>
          <w:rPr>
            <w:rFonts w:ascii="Book Antiqua" w:eastAsia="Book Antiqua" w:hAnsi="Book Antiqua" w:cs="Book Antiqua"/>
            <w:color w:val="4472C4"/>
            <w:sz w:val="20"/>
            <w:szCs w:val="20"/>
            <w:u w:val="single"/>
          </w:rPr>
          <w:t>https://www.aeaweb.org/econlit/jelCodes.php?view=jel</w:t>
        </w:r>
      </w:hyperlink>
      <w:r>
        <w:rPr>
          <w:rFonts w:ascii="Book Antiqua" w:eastAsia="Book Antiqua" w:hAnsi="Book Antiqua" w:cs="Book Antiqua"/>
          <w:color w:val="4472C4"/>
          <w:sz w:val="20"/>
          <w:szCs w:val="20"/>
        </w:rPr>
        <w:t>)</w:t>
      </w:r>
    </w:p>
    <w:p w14:paraId="02AA3CA7" w14:textId="77777777" w:rsidR="008825D4" w:rsidRDefault="00000000">
      <w:pPr>
        <w:pBdr>
          <w:top w:val="nil"/>
          <w:left w:val="nil"/>
          <w:bottom w:val="nil"/>
          <w:right w:val="nil"/>
          <w:between w:val="nil"/>
        </w:pBdr>
        <w:jc w:val="center"/>
        <w:rPr>
          <w:rFonts w:ascii="Book Antiqua" w:eastAsia="Book Antiqua" w:hAnsi="Book Antiqua" w:cs="Book Antiqua"/>
          <w:color w:val="4472C4"/>
        </w:rPr>
      </w:pPr>
      <w:r>
        <w:rPr>
          <w:rFonts w:ascii="Book Antiqua" w:eastAsia="Book Antiqua" w:hAnsi="Book Antiqua" w:cs="Book Antiqua"/>
          <w:color w:val="4472C4"/>
        </w:rPr>
        <w:t>(12pt point blank line)</w:t>
      </w:r>
    </w:p>
    <w:p w14:paraId="57E5719D" w14:textId="77777777" w:rsidR="008825D4" w:rsidRDefault="00000000">
      <w:pPr>
        <w:pBdr>
          <w:top w:val="nil"/>
          <w:left w:val="nil"/>
          <w:bottom w:val="nil"/>
          <w:right w:val="nil"/>
          <w:between w:val="nil"/>
        </w:pBdr>
        <w:jc w:val="center"/>
        <w:rPr>
          <w:rFonts w:ascii="Book Antiqua" w:eastAsia="Book Antiqua" w:hAnsi="Book Antiqua" w:cs="Book Antiqua"/>
          <w:color w:val="4472C4"/>
        </w:rPr>
      </w:pPr>
      <w:r>
        <w:rPr>
          <w:rFonts w:ascii="Book Antiqua" w:eastAsia="Book Antiqua" w:hAnsi="Book Antiqua" w:cs="Book Antiqua"/>
          <w:color w:val="4472C4"/>
        </w:rPr>
        <w:t>(12pt point blank line)</w:t>
      </w:r>
    </w:p>
    <w:p w14:paraId="18446E8E" w14:textId="3AE57B3A" w:rsidR="008825D4" w:rsidRDefault="00000000">
      <w:pPr>
        <w:numPr>
          <w:ilvl w:val="0"/>
          <w:numId w:val="1"/>
        </w:numPr>
        <w:ind w:left="270" w:hanging="270"/>
        <w:rPr>
          <w:rFonts w:ascii="Book Antiqua" w:eastAsia="Book Antiqua" w:hAnsi="Book Antiqua" w:cs="Book Antiqua"/>
          <w:b/>
        </w:rPr>
      </w:pPr>
      <w:r>
        <w:rPr>
          <w:rFonts w:ascii="Book Antiqua" w:eastAsia="Book Antiqua" w:hAnsi="Book Antiqua" w:cs="Book Antiqua"/>
          <w:b/>
        </w:rPr>
        <w:t xml:space="preserve">Introduction </w:t>
      </w:r>
      <w:bookmarkStart w:id="15" w:name="bookmark=id.z337ya" w:colFirst="0" w:colLast="0"/>
      <w:bookmarkEnd w:id="15"/>
    </w:p>
    <w:p w14:paraId="133F1409" w14:textId="77777777" w:rsidR="004F2505" w:rsidRDefault="004F2505">
      <w:pPr>
        <w:pBdr>
          <w:top w:val="nil"/>
          <w:left w:val="nil"/>
          <w:bottom w:val="nil"/>
          <w:right w:val="nil"/>
          <w:between w:val="nil"/>
        </w:pBdr>
        <w:ind w:firstLine="720"/>
        <w:jc w:val="both"/>
        <w:rPr>
          <w:rFonts w:ascii="Book Antiqua" w:eastAsia="Book Antiqua" w:hAnsi="Book Antiqua" w:cs="Book Antiqua"/>
          <w:color w:val="4472C4"/>
        </w:rPr>
      </w:pPr>
    </w:p>
    <w:p w14:paraId="679BD587" w14:textId="26BCD8F4" w:rsidR="004F2505" w:rsidRPr="004F2505" w:rsidRDefault="004F2505" w:rsidP="004F2505">
      <w:pPr>
        <w:pBdr>
          <w:top w:val="nil"/>
          <w:left w:val="nil"/>
          <w:bottom w:val="nil"/>
          <w:right w:val="nil"/>
          <w:between w:val="nil"/>
        </w:pBdr>
        <w:ind w:firstLine="720"/>
        <w:jc w:val="both"/>
        <w:rPr>
          <w:rFonts w:ascii="Book Antiqua" w:eastAsia="Book Antiqua" w:hAnsi="Book Antiqua" w:cs="Book Antiqua"/>
          <w:color w:val="000000"/>
        </w:rPr>
      </w:pPr>
      <w:r w:rsidRPr="004F2505">
        <w:rPr>
          <w:rFonts w:ascii="Book Antiqua" w:eastAsia="Book Antiqua" w:hAnsi="Book Antiqua" w:cs="Book Antiqua"/>
          <w:color w:val="000000"/>
        </w:rPr>
        <w:t xml:space="preserve">The </w:t>
      </w:r>
      <w:r w:rsidR="00F96579">
        <w:rPr>
          <w:rFonts w:ascii="Book Antiqua" w:eastAsia="Book Antiqua" w:hAnsi="Book Antiqua" w:cs="Book Antiqua"/>
          <w:color w:val="000000"/>
        </w:rPr>
        <w:t>Badan Pusat Statistik</w:t>
      </w:r>
      <w:r w:rsidRPr="004F2505">
        <w:rPr>
          <w:rFonts w:ascii="Book Antiqua" w:eastAsia="Book Antiqua" w:hAnsi="Book Antiqua" w:cs="Book Antiqua"/>
          <w:color w:val="000000"/>
        </w:rPr>
        <w:t xml:space="preserve"> (BPS) survey results in 2020 showed that the millennial generation (Gen Y) is the generation that dominates the population in Indonesia after Gen Z with 69.90 million or around 25.87%. With such a large number, Indonesia will face demographic bonus conditions where people of productive age will dominate the overall population. </w:t>
      </w:r>
      <w:r w:rsidR="00B23409">
        <w:rPr>
          <w:rFonts w:ascii="Book Antiqua" w:eastAsia="Book Antiqua" w:hAnsi="Book Antiqua" w:cs="Book Antiqua"/>
          <w:color w:val="000000"/>
        </w:rPr>
        <w:t xml:space="preserve">Also, Indonesia has the largest Muslim citizens in the world. </w:t>
      </w:r>
      <w:r w:rsidRPr="004F2505">
        <w:rPr>
          <w:rFonts w:ascii="Book Antiqua" w:eastAsia="Book Antiqua" w:hAnsi="Book Antiqua" w:cs="Book Antiqua"/>
          <w:color w:val="000000"/>
        </w:rPr>
        <w:t>If this condition can be managed well, it will be an important capital to build 100 years towards the Indonesia Emas in 2045.</w:t>
      </w:r>
      <w:r w:rsidR="00F96579">
        <w:rPr>
          <w:rFonts w:ascii="Book Antiqua" w:eastAsia="Book Antiqua" w:hAnsi="Book Antiqua" w:cs="Book Antiqua"/>
          <w:color w:val="000000"/>
        </w:rPr>
        <w:t xml:space="preserve"> </w:t>
      </w:r>
      <w:r w:rsidRPr="004F2505">
        <w:rPr>
          <w:rFonts w:ascii="Book Antiqua" w:eastAsia="Book Antiqua" w:hAnsi="Book Antiqua" w:cs="Book Antiqua"/>
          <w:color w:val="000000"/>
        </w:rPr>
        <w:tab/>
      </w:r>
    </w:p>
    <w:p w14:paraId="605B7847" w14:textId="43CB00AF" w:rsidR="004F2505" w:rsidRPr="004F2505" w:rsidRDefault="004F2505" w:rsidP="004F2505">
      <w:pPr>
        <w:pBdr>
          <w:top w:val="nil"/>
          <w:left w:val="nil"/>
          <w:bottom w:val="nil"/>
          <w:right w:val="nil"/>
          <w:between w:val="nil"/>
        </w:pBdr>
        <w:ind w:firstLine="720"/>
        <w:jc w:val="both"/>
        <w:rPr>
          <w:rFonts w:ascii="Book Antiqua" w:eastAsia="Book Antiqua" w:hAnsi="Book Antiqua" w:cs="Book Antiqua"/>
          <w:color w:val="000000"/>
        </w:rPr>
      </w:pPr>
      <w:r w:rsidRPr="004F2505">
        <w:rPr>
          <w:rFonts w:ascii="Book Antiqua" w:eastAsia="Book Antiqua" w:hAnsi="Book Antiqua" w:cs="Book Antiqua"/>
          <w:color w:val="000000"/>
        </w:rPr>
        <w:t xml:space="preserve">Millennials have created a lifestyle that cannot be separated from internet-based digital technology products. Whether they use it to enjoy video streaming services, exchange messages using applications, verbal communication through video calls or play games. And </w:t>
      </w:r>
      <w:proofErr w:type="gramStart"/>
      <w:r w:rsidRPr="004F2505">
        <w:rPr>
          <w:rFonts w:ascii="Book Antiqua" w:eastAsia="Book Antiqua" w:hAnsi="Book Antiqua" w:cs="Book Antiqua"/>
          <w:color w:val="000000"/>
        </w:rPr>
        <w:t>also</w:t>
      </w:r>
      <w:proofErr w:type="gramEnd"/>
      <w:r w:rsidRPr="004F2505">
        <w:rPr>
          <w:rFonts w:ascii="Book Antiqua" w:eastAsia="Book Antiqua" w:hAnsi="Book Antiqua" w:cs="Book Antiqua"/>
          <w:color w:val="000000"/>
        </w:rPr>
        <w:t xml:space="preserve"> a picture of millennials who are familiar with the internet to do online shopping, buying various clothing products or services that lead them to consumptive shopping patterns and tend to </w:t>
      </w:r>
      <w:r w:rsidR="00F96579">
        <w:rPr>
          <w:rFonts w:ascii="Book Antiqua" w:eastAsia="Book Antiqua" w:hAnsi="Book Antiqua" w:cs="Book Antiqua"/>
          <w:color w:val="000000"/>
        </w:rPr>
        <w:t xml:space="preserve">have a </w:t>
      </w:r>
      <w:r w:rsidRPr="004F2505">
        <w:rPr>
          <w:rFonts w:ascii="Book Antiqua" w:eastAsia="Book Antiqua" w:hAnsi="Book Antiqua" w:cs="Book Antiqua"/>
          <w:color w:val="000000"/>
        </w:rPr>
        <w:t>hedon</w:t>
      </w:r>
      <w:r w:rsidR="00F96579">
        <w:rPr>
          <w:rFonts w:ascii="Book Antiqua" w:eastAsia="Book Antiqua" w:hAnsi="Book Antiqua" w:cs="Book Antiqua"/>
          <w:color w:val="000000"/>
        </w:rPr>
        <w:t>ism style</w:t>
      </w:r>
      <w:r w:rsidRPr="004F2505">
        <w:rPr>
          <w:rFonts w:ascii="Book Antiqua" w:eastAsia="Book Antiqua" w:hAnsi="Book Antiqua" w:cs="Book Antiqua"/>
          <w:color w:val="000000"/>
        </w:rPr>
        <w:t xml:space="preserve">. This behavior is supported by several factors, namely the first is peer pressure from the community or friendship environment. A millennial will feel pressured if he does not buy certain items if friends in his community use or own </w:t>
      </w:r>
      <w:r w:rsidRPr="004F2505">
        <w:rPr>
          <w:rFonts w:ascii="Book Antiqua" w:eastAsia="Book Antiqua" w:hAnsi="Book Antiqua" w:cs="Book Antiqua"/>
          <w:color w:val="000000"/>
        </w:rPr>
        <w:lastRenderedPageBreak/>
        <w:t>these items. The second factor is the influence of influencers on social media. Many millennials have influencers that they follow depending on their passions and interests. In other words, this generation is synonymous with the feeling of FOMO (Fear of Missing Out), which is a feeling of dissatisfaction and it is triggered by the use of social media. Most people often upload pictures with the aim of "competing" with others. This leads to comparison</w:t>
      </w:r>
      <w:r w:rsidR="00F96579">
        <w:rPr>
          <w:rFonts w:ascii="Book Antiqua" w:eastAsia="Book Antiqua" w:hAnsi="Book Antiqua" w:cs="Book Antiqua"/>
          <w:color w:val="000000"/>
        </w:rPr>
        <w:t>—</w:t>
      </w:r>
      <w:r w:rsidRPr="004F2505">
        <w:rPr>
          <w:rFonts w:ascii="Book Antiqua" w:eastAsia="Book Antiqua" w:hAnsi="Book Antiqua" w:cs="Book Antiqua"/>
          <w:color w:val="000000"/>
        </w:rPr>
        <w:t>comparison</w:t>
      </w:r>
      <w:r w:rsidR="00F96579">
        <w:rPr>
          <w:rFonts w:ascii="Book Antiqua" w:eastAsia="Book Antiqua" w:hAnsi="Book Antiqua" w:cs="Book Antiqua"/>
          <w:color w:val="000000"/>
        </w:rPr>
        <w:t xml:space="preserve"> </w:t>
      </w:r>
      <w:r w:rsidRPr="004F2505">
        <w:rPr>
          <w:rFonts w:ascii="Book Antiqua" w:eastAsia="Book Antiqua" w:hAnsi="Book Antiqua" w:cs="Book Antiqua"/>
          <w:color w:val="000000"/>
        </w:rPr>
        <w:t>of achievements which can result in decreased self-confidence and cause anxiety because it often thinks about how life should be based on the responses of others. Databoks survey (2022) shows that Generation Y is the largest internet user. Even with most social media users being Gen Y, the symptoms of FOMO will dominate this generation faster. This is a weak point that can jeopardize their lives.</w:t>
      </w:r>
    </w:p>
    <w:p w14:paraId="30222CA3" w14:textId="40742FCB" w:rsidR="004F2505" w:rsidRPr="004F2505" w:rsidRDefault="004F2505" w:rsidP="004F2505">
      <w:pPr>
        <w:pBdr>
          <w:top w:val="nil"/>
          <w:left w:val="nil"/>
          <w:bottom w:val="nil"/>
          <w:right w:val="nil"/>
          <w:between w:val="nil"/>
        </w:pBdr>
        <w:ind w:firstLine="720"/>
        <w:jc w:val="both"/>
        <w:rPr>
          <w:rFonts w:ascii="Book Antiqua" w:eastAsia="Book Antiqua" w:hAnsi="Book Antiqua" w:cs="Book Antiqua"/>
          <w:color w:val="000000"/>
        </w:rPr>
      </w:pPr>
      <w:r w:rsidRPr="004F2505">
        <w:rPr>
          <w:rFonts w:ascii="Book Antiqua" w:eastAsia="Book Antiqua" w:hAnsi="Book Antiqua" w:cs="Book Antiqua"/>
          <w:color w:val="000000"/>
        </w:rPr>
        <w:t xml:space="preserve">With a behavior that tends to be consumptive compared to other generations, this millennial generation is faced with the fact that they have to fight for their lives which tend not to be easy because of fierce job competition and soaring property prices that have an impact on the difficulty of this generation in property ownership. This was conveyed by Khalawi Abdul Hamid, Director General of Housing Provision, </w:t>
      </w:r>
      <w:r w:rsidR="00073ACA" w:rsidRPr="00073ACA">
        <w:rPr>
          <w:rFonts w:ascii="Book Antiqua" w:eastAsia="Book Antiqua" w:hAnsi="Book Antiqua" w:cs="Book Antiqua"/>
          <w:color w:val="000000"/>
        </w:rPr>
        <w:t>Ministry of Public Works and Public Housing, Republic of Indonesia</w:t>
      </w:r>
      <w:r w:rsidRPr="004F2505">
        <w:rPr>
          <w:rFonts w:ascii="Book Antiqua" w:eastAsia="Book Antiqua" w:hAnsi="Book Antiqua" w:cs="Book Antiqua"/>
          <w:color w:val="000000"/>
        </w:rPr>
        <w:t>. The gap between millennial behavior and the demands of life raises the view of how millennials view their welfare. Well-being can be indicated in financial well-being. Financial Well-Being is a state where a person has been able to meet current and future financial obligations, has preparations for the fulfillment of future financial needs, and is able to make choices that can be enjoyed in his life (CFPB, 2015).</w:t>
      </w:r>
    </w:p>
    <w:p w14:paraId="2A1731D2" w14:textId="77777777" w:rsidR="004F2505" w:rsidRPr="004F2505" w:rsidRDefault="004F2505" w:rsidP="004F2505">
      <w:pPr>
        <w:pBdr>
          <w:top w:val="nil"/>
          <w:left w:val="nil"/>
          <w:bottom w:val="nil"/>
          <w:right w:val="nil"/>
          <w:between w:val="nil"/>
        </w:pBdr>
        <w:ind w:firstLine="720"/>
        <w:jc w:val="both"/>
        <w:rPr>
          <w:rFonts w:ascii="Book Antiqua" w:eastAsia="Book Antiqua" w:hAnsi="Book Antiqua" w:cs="Book Antiqua"/>
          <w:color w:val="000000"/>
        </w:rPr>
      </w:pPr>
      <w:r w:rsidRPr="004F2505">
        <w:rPr>
          <w:rFonts w:ascii="Book Antiqua" w:eastAsia="Book Antiqua" w:hAnsi="Book Antiqua" w:cs="Book Antiqua"/>
          <w:color w:val="000000"/>
        </w:rPr>
        <w:t>Financial well-being is a very important issue considering that several previous studies have shown that financial well-being will have an impact on both physical health and mental health (Rea et al., 2019; Riitsalu, Atkinson, et al., 2023; Shim et al., 2009). Therefore, it is important to explore what factors influence a person's financial well-being. Several previous studies have proven that a person's financial behavior greatly affects their financial well-being (Estela-Delgado et al., 2023; Ravikumar et al., 2022; Sabri et al., 2023; Sakyi-Nyarko et al., 2022; Zhang &amp; Chatterjee, 2023). Financial well-being is seen as the ultimate goal of financial education (Riitsalu, Sulg, et al., 2023). Therefore, Financial Education institutions have started to focus more on financial well-being, rather than just teaching financial knowledge and skills. Moreover, the younger group's perspective on financial well-being is different from that of the middle-aged group. The younger group considers financial well-being to consist of 3 components: maintaining the current lifestyle and fulfilling needs; achieving the desired lifestyle; and achieving financial freedom. The middle-aged group considers financial well-being to consist of only 2 components, namely maintaining and achieving current and future lifestyles. Furthermore, the younger group aspires to be financially independent, while the middle-aged group prioritizes supporting their children, and being a parent without being a financial burden to their children (Riitsalu, Atkinson, et al., 2023; Riitsalu, Sulg, et al., 2023; Riitsalu &amp; van Raaij, 2022).</w:t>
      </w:r>
    </w:p>
    <w:p w14:paraId="26B96310" w14:textId="28BA35AE" w:rsidR="008825D4" w:rsidRDefault="004F2505" w:rsidP="004F2505">
      <w:pPr>
        <w:pBdr>
          <w:top w:val="nil"/>
          <w:left w:val="nil"/>
          <w:bottom w:val="nil"/>
          <w:right w:val="nil"/>
          <w:between w:val="nil"/>
        </w:pBdr>
        <w:ind w:firstLine="720"/>
        <w:jc w:val="both"/>
        <w:rPr>
          <w:rFonts w:ascii="Book Antiqua" w:eastAsia="Book Antiqua" w:hAnsi="Book Antiqua" w:cs="Book Antiqua"/>
          <w:color w:val="000000"/>
        </w:rPr>
      </w:pPr>
      <w:r w:rsidRPr="004F2505">
        <w:rPr>
          <w:rFonts w:ascii="Book Antiqua" w:eastAsia="Book Antiqua" w:hAnsi="Book Antiqua" w:cs="Book Antiqua"/>
          <w:color w:val="000000"/>
        </w:rPr>
        <w:t xml:space="preserve">Responding to the challenges and potential of millennials above, the researcher focuses on exploring their views regarding the existence of the concept of financial well-being and what factors influence financial well-being. Most studies examining financial well-being use quantitative methods (Bilal &amp; Zulfiqar, 2016; Ilyas &amp; Djawahir, 2021; Strömbäck et al., 2017; Xiao &amp; Porto, 2017), only a few </w:t>
      </w:r>
      <w:proofErr w:type="gramStart"/>
      <w:r w:rsidRPr="004F2505">
        <w:rPr>
          <w:rFonts w:ascii="Book Antiqua" w:eastAsia="Book Antiqua" w:hAnsi="Book Antiqua" w:cs="Book Antiqua"/>
          <w:color w:val="000000"/>
        </w:rPr>
        <w:t>use</w:t>
      </w:r>
      <w:proofErr w:type="gramEnd"/>
      <w:r w:rsidRPr="004F2505">
        <w:rPr>
          <w:rFonts w:ascii="Book Antiqua" w:eastAsia="Book Antiqua" w:hAnsi="Book Antiqua" w:cs="Book Antiqua"/>
          <w:color w:val="000000"/>
        </w:rPr>
        <w:t xml:space="preserve"> qualitative such as Rea et al., (2019); Riitsalu, Sulg, et al., (2023); Salignac et al., (2020). </w:t>
      </w:r>
      <w:r>
        <w:rPr>
          <w:rFonts w:ascii="Book Antiqua" w:eastAsia="Book Antiqua" w:hAnsi="Book Antiqua" w:cs="Book Antiqua"/>
          <w:color w:val="000000"/>
        </w:rPr>
        <w:t xml:space="preserve">The previous </w:t>
      </w:r>
      <w:r w:rsidRPr="004F2505">
        <w:rPr>
          <w:rFonts w:ascii="Book Antiqua" w:eastAsia="Book Antiqua" w:hAnsi="Book Antiqua" w:cs="Book Antiqua"/>
          <w:color w:val="000000"/>
        </w:rPr>
        <w:t>studies still do not discuss how the millennial generation's point of view. Given that this generation is very important for the future of a country and if it is not optimized, it will have a serious impact on economic development</w:t>
      </w:r>
      <w:r>
        <w:rPr>
          <w:rFonts w:ascii="Book Antiqua" w:eastAsia="Book Antiqua" w:hAnsi="Book Antiqua" w:cs="Book Antiqua"/>
          <w:color w:val="000000"/>
        </w:rPr>
        <w:t xml:space="preserve">. </w:t>
      </w:r>
      <w:bookmarkStart w:id="16" w:name="bookmark=id.1y810tw" w:colFirst="0" w:colLast="0"/>
      <w:bookmarkStart w:id="17" w:name="bookmark=id.2xcytpi" w:colFirst="0" w:colLast="0"/>
      <w:bookmarkStart w:id="18" w:name="bookmark=id.3j2qqm3" w:colFirst="0" w:colLast="0"/>
      <w:bookmarkStart w:id="19" w:name="bookmark=id.4i7ojhp" w:colFirst="0" w:colLast="0"/>
      <w:bookmarkEnd w:id="16"/>
      <w:bookmarkEnd w:id="17"/>
      <w:bookmarkEnd w:id="18"/>
      <w:bookmarkEnd w:id="19"/>
    </w:p>
    <w:p w14:paraId="25ECF6C6" w14:textId="77777777" w:rsidR="004F2505" w:rsidRDefault="004F2505" w:rsidP="004F2505">
      <w:pPr>
        <w:pBdr>
          <w:top w:val="nil"/>
          <w:left w:val="nil"/>
          <w:bottom w:val="nil"/>
          <w:right w:val="nil"/>
          <w:between w:val="nil"/>
        </w:pBdr>
        <w:ind w:firstLine="720"/>
        <w:jc w:val="both"/>
        <w:rPr>
          <w:rFonts w:ascii="Book Antiqua" w:eastAsia="Book Antiqua" w:hAnsi="Book Antiqua" w:cs="Book Antiqua"/>
          <w:color w:val="FF0000"/>
        </w:rPr>
      </w:pPr>
    </w:p>
    <w:p w14:paraId="5492E324" w14:textId="77777777" w:rsidR="008825D4" w:rsidRPr="003D77E2" w:rsidRDefault="00000000">
      <w:pPr>
        <w:numPr>
          <w:ilvl w:val="0"/>
          <w:numId w:val="1"/>
        </w:numPr>
        <w:pBdr>
          <w:top w:val="nil"/>
          <w:left w:val="nil"/>
          <w:bottom w:val="nil"/>
          <w:right w:val="nil"/>
          <w:between w:val="nil"/>
        </w:pBdr>
        <w:ind w:left="270" w:hanging="270"/>
        <w:jc w:val="both"/>
        <w:rPr>
          <w:rFonts w:ascii="Book Antiqua" w:eastAsia="Book Antiqua" w:hAnsi="Book Antiqua" w:cs="Book Antiqua"/>
          <w:b/>
          <w:color w:val="FFFFFF" w:themeColor="background1"/>
        </w:rPr>
      </w:pPr>
      <w:r>
        <w:rPr>
          <w:rFonts w:ascii="Book Antiqua" w:eastAsia="Book Antiqua" w:hAnsi="Book Antiqua" w:cs="Book Antiqua"/>
          <w:b/>
          <w:color w:val="000000"/>
        </w:rPr>
        <w:t xml:space="preserve">Literature Review </w:t>
      </w:r>
      <w:r w:rsidRPr="003D77E2">
        <w:rPr>
          <w:rFonts w:ascii="Book Antiqua" w:eastAsia="Book Antiqua" w:hAnsi="Book Antiqua" w:cs="Book Antiqua"/>
          <w:b/>
          <w:color w:val="FFFFFF" w:themeColor="background1"/>
        </w:rPr>
        <w:t>(</w:t>
      </w:r>
      <w:bookmarkStart w:id="20" w:name="bookmark=id.1ci93xb" w:colFirst="0" w:colLast="0"/>
      <w:bookmarkStart w:id="21" w:name="bookmark=id.3whwml4" w:colFirst="0" w:colLast="0"/>
      <w:bookmarkEnd w:id="20"/>
      <w:bookmarkEnd w:id="21"/>
      <w:r w:rsidRPr="003D77E2">
        <w:rPr>
          <w:rFonts w:ascii="Book Antiqua" w:eastAsia="Book Antiqua" w:hAnsi="Book Antiqua" w:cs="Book Antiqua"/>
          <w:b/>
          <w:color w:val="FFFFFF" w:themeColor="background1"/>
        </w:rPr>
        <w:t>Heading - 12pt &amp; Bold &amp; Justified)</w:t>
      </w:r>
    </w:p>
    <w:p w14:paraId="2220CDD2" w14:textId="77777777" w:rsidR="008825D4" w:rsidRPr="003D77E2" w:rsidRDefault="00000000">
      <w:pPr>
        <w:pBdr>
          <w:top w:val="nil"/>
          <w:left w:val="nil"/>
          <w:bottom w:val="nil"/>
          <w:right w:val="nil"/>
          <w:between w:val="nil"/>
        </w:pBdr>
        <w:jc w:val="center"/>
        <w:rPr>
          <w:rFonts w:ascii="Book Antiqua" w:eastAsia="Book Antiqua" w:hAnsi="Book Antiqua" w:cs="Book Antiqua"/>
          <w:color w:val="FFFFFF" w:themeColor="background1"/>
        </w:rPr>
      </w:pPr>
      <w:r w:rsidRPr="003D77E2">
        <w:rPr>
          <w:rFonts w:ascii="Book Antiqua" w:eastAsia="Book Antiqua" w:hAnsi="Book Antiqua" w:cs="Book Antiqua"/>
          <w:color w:val="FFFFFF" w:themeColor="background1"/>
        </w:rPr>
        <w:t>(12pt point blank line)</w:t>
      </w:r>
    </w:p>
    <w:p w14:paraId="02E4D483" w14:textId="39238FC8" w:rsidR="008825D4" w:rsidRDefault="003D77E2" w:rsidP="003D77E2">
      <w:pPr>
        <w:pBdr>
          <w:top w:val="nil"/>
          <w:left w:val="nil"/>
          <w:bottom w:val="nil"/>
          <w:right w:val="nil"/>
          <w:between w:val="nil"/>
        </w:pBdr>
        <w:ind w:firstLine="720"/>
        <w:jc w:val="both"/>
        <w:rPr>
          <w:rFonts w:ascii="Book Antiqua" w:eastAsia="Book Antiqua" w:hAnsi="Book Antiqua" w:cs="Book Antiqua"/>
          <w:color w:val="4472C4"/>
        </w:rPr>
      </w:pPr>
      <w:r w:rsidRPr="003D77E2">
        <w:rPr>
          <w:rFonts w:ascii="Book Antiqua" w:eastAsia="Book Antiqua" w:hAnsi="Book Antiqua" w:cs="Book Antiqua"/>
        </w:rPr>
        <w:t xml:space="preserve">Well-being is a concept that consists of many parts. According to Van Praag et al. (2003), well-being is provided by individual satisfaction in six areas: business, finance, home, leisure, health, and environment. McGregor and Goldsmith (1998) recognize that well-being includes economic, physical, social, emotional, environmental, political, and spiritual factors. As mentioned in both references, material well-being is one aspect of well-being and comfort. Fergusson et al. (1981) describe financial well-being as the level of income and financial assets. Williams (1983) indicated financial well-being as a function of both the material and spiritual aspects of one's financial status. Well-being as an attitude towards financial status based on objective aspects and judging it based on standards is the definition of Porter (1990). Meanwhile, Joo (1998) revealed that welfare will vary along with changes in the level of people's lives. In the past, welfare meant overall happiness or satisfaction with their financial status or assets. However, today the concept of welfare has changed. The concept of well-being has changed to material and non-material aspects of a person's perception of their financial status, their rising standard of living which includes: the ability to fulfill needs, feel safe, feel comfortable and satisfied with income and the reward distribution system. From the definitions above, the researcher concludes that financial well-being is a reflection of a person's financial status where he or she has sufficient resources to live a comfortable life. Financial well-being means being financially healthy and happy without worrying about future needs. Several subjective and objective measurements can be used to determine whether someone is financially well off. For example, objective measures include income, expenses, debt, assets owned, and so on (Van Praaget al., 2003). For subjective measurement is to measure financial satisfaction or satisfaction with some financial aspects such as satisfaction with income, satisfaction with savings and satisfaction with financial status (Xiao, 2016; Iramani &amp; Lutfi, 2021). </w:t>
      </w:r>
      <w:r w:rsidRPr="003D77E2">
        <w:rPr>
          <w:rFonts w:ascii="Book Antiqua" w:eastAsia="Book Antiqua" w:hAnsi="Book Antiqua" w:cs="Book Antiqua"/>
          <w:color w:val="FFFFFF" w:themeColor="background1"/>
        </w:rPr>
        <w:t>(12pt point blank line)</w:t>
      </w:r>
    </w:p>
    <w:p w14:paraId="1FFEB4D2" w14:textId="77777777" w:rsidR="008825D4" w:rsidRPr="003D77E2" w:rsidRDefault="00000000">
      <w:pPr>
        <w:numPr>
          <w:ilvl w:val="0"/>
          <w:numId w:val="1"/>
        </w:numPr>
        <w:ind w:left="270" w:hanging="270"/>
        <w:rPr>
          <w:rFonts w:ascii="Book Antiqua" w:eastAsia="Book Antiqua" w:hAnsi="Book Antiqua" w:cs="Book Antiqua"/>
          <w:b/>
          <w:color w:val="FFFFFF" w:themeColor="background1"/>
        </w:rPr>
      </w:pPr>
      <w:r>
        <w:rPr>
          <w:rFonts w:ascii="Book Antiqua" w:eastAsia="Book Antiqua" w:hAnsi="Book Antiqua" w:cs="Book Antiqua"/>
          <w:b/>
        </w:rPr>
        <w:t xml:space="preserve">Research Methods </w:t>
      </w:r>
      <w:r w:rsidRPr="003D77E2">
        <w:rPr>
          <w:rFonts w:ascii="Book Antiqua" w:eastAsia="Book Antiqua" w:hAnsi="Book Antiqua" w:cs="Book Antiqua"/>
          <w:b/>
          <w:color w:val="FFFFFF" w:themeColor="background1"/>
        </w:rPr>
        <w:t>(12pt &amp; Bold &amp; Justified)</w:t>
      </w:r>
    </w:p>
    <w:p w14:paraId="096B928A" w14:textId="77777777" w:rsidR="008825D4" w:rsidRPr="003D77E2" w:rsidRDefault="00000000">
      <w:pPr>
        <w:pBdr>
          <w:top w:val="nil"/>
          <w:left w:val="nil"/>
          <w:bottom w:val="nil"/>
          <w:right w:val="nil"/>
          <w:between w:val="nil"/>
        </w:pBdr>
        <w:jc w:val="center"/>
        <w:rPr>
          <w:rFonts w:ascii="Book Antiqua" w:eastAsia="Book Antiqua" w:hAnsi="Book Antiqua" w:cs="Book Antiqua"/>
          <w:color w:val="FFFFFF" w:themeColor="background1"/>
        </w:rPr>
      </w:pPr>
      <w:r w:rsidRPr="003D77E2">
        <w:rPr>
          <w:rFonts w:ascii="Book Antiqua" w:eastAsia="Book Antiqua" w:hAnsi="Book Antiqua" w:cs="Book Antiqua"/>
          <w:color w:val="FFFFFF" w:themeColor="background1"/>
        </w:rPr>
        <w:t>(12pt point blank line)</w:t>
      </w:r>
    </w:p>
    <w:p w14:paraId="2BD56FB8" w14:textId="39086354" w:rsidR="003D77E2" w:rsidRDefault="003D77E2" w:rsidP="003D77E2">
      <w:pPr>
        <w:pBdr>
          <w:top w:val="nil"/>
          <w:left w:val="nil"/>
          <w:bottom w:val="nil"/>
          <w:right w:val="nil"/>
          <w:between w:val="nil"/>
        </w:pBdr>
        <w:ind w:firstLine="720"/>
        <w:jc w:val="both"/>
        <w:rPr>
          <w:rFonts w:ascii="Book Antiqua" w:eastAsia="Book Antiqua" w:hAnsi="Book Antiqua" w:cs="Book Antiqua"/>
          <w:color w:val="000000"/>
        </w:rPr>
      </w:pPr>
      <w:r w:rsidRPr="003D77E2">
        <w:rPr>
          <w:rFonts w:ascii="Book Antiqua" w:eastAsia="Book Antiqua" w:hAnsi="Book Antiqua" w:cs="Book Antiqua"/>
          <w:color w:val="000000"/>
        </w:rPr>
        <w:t xml:space="preserve">This research uses a phenomenological approach. The main focus of this research is to interpret experiences, events, and statuses owned by informants. This approach aims to explore personal experiences and focuses on individual perceptions or opinions about experiences on objects or events. </w:t>
      </w:r>
      <w:r w:rsidR="008C4CF0">
        <w:rPr>
          <w:rFonts w:ascii="Book Antiqua" w:eastAsia="Book Antiqua" w:hAnsi="Book Antiqua" w:cs="Book Antiqua"/>
          <w:color w:val="000000"/>
        </w:rPr>
        <w:t xml:space="preserve">We </w:t>
      </w:r>
      <w:r w:rsidR="002F0FA7">
        <w:rPr>
          <w:rFonts w:ascii="Book Antiqua" w:eastAsia="Book Antiqua" w:hAnsi="Book Antiqua" w:cs="Book Antiqua"/>
          <w:color w:val="000000"/>
        </w:rPr>
        <w:tab/>
        <w:t>determine</w:t>
      </w:r>
      <w:r w:rsidRPr="003D77E2">
        <w:rPr>
          <w:rFonts w:ascii="Book Antiqua" w:eastAsia="Book Antiqua" w:hAnsi="Book Antiqua" w:cs="Book Antiqua"/>
          <w:color w:val="000000"/>
        </w:rPr>
        <w:t xml:space="preserve"> the criteria for informants, namely the Millennial Generation (born between 1981-1996). Eligible informants will be informed about the purpose of the study and invited to meet if they give consent to participate. We use semi-structured in-depth interviews to collect data and gain a deeper understanding of the informants' views and experiences (Kvale, 2006). The interviews were fully recorded and transcribed in Bahasa Indonesia and the informants were coded to protect their privacy.</w:t>
      </w:r>
    </w:p>
    <w:p w14:paraId="4F8C5F96" w14:textId="77777777" w:rsidR="003D77E2" w:rsidRDefault="003D77E2" w:rsidP="003D77E2">
      <w:pPr>
        <w:pBdr>
          <w:top w:val="nil"/>
          <w:left w:val="nil"/>
          <w:bottom w:val="nil"/>
          <w:right w:val="nil"/>
          <w:between w:val="nil"/>
        </w:pBdr>
        <w:ind w:firstLine="720"/>
        <w:jc w:val="both"/>
        <w:rPr>
          <w:rFonts w:ascii="Book Antiqua" w:eastAsia="Book Antiqua" w:hAnsi="Book Antiqua" w:cs="Book Antiqua"/>
          <w:color w:val="000000"/>
        </w:rPr>
      </w:pPr>
    </w:p>
    <w:tbl>
      <w:tblPr>
        <w:tblStyle w:val="TableGrid"/>
        <w:tblpPr w:leftFromText="180" w:rightFromText="180" w:vertAnchor="page" w:horzAnchor="margin" w:tblpXSpec="center" w:tblpY="6160"/>
        <w:tblW w:w="0" w:type="auto"/>
        <w:tblLook w:val="04A0" w:firstRow="1" w:lastRow="0" w:firstColumn="1" w:lastColumn="0" w:noHBand="0" w:noVBand="1"/>
      </w:tblPr>
      <w:tblGrid>
        <w:gridCol w:w="2518"/>
        <w:gridCol w:w="5387"/>
      </w:tblGrid>
      <w:tr w:rsidR="003D77E2" w:rsidRPr="003D77E2" w14:paraId="56A9CE13" w14:textId="77777777" w:rsidTr="003D77E2">
        <w:tc>
          <w:tcPr>
            <w:tcW w:w="2518" w:type="dxa"/>
          </w:tcPr>
          <w:p w14:paraId="00F749FF" w14:textId="7364B632" w:rsidR="003D77E2" w:rsidRPr="003D77E2" w:rsidRDefault="003D77E2" w:rsidP="003D77E2">
            <w:pPr>
              <w:spacing w:line="23" w:lineRule="atLeast"/>
              <w:ind w:hanging="2"/>
              <w:jc w:val="both"/>
              <w:rPr>
                <w:rFonts w:ascii="Book Antiqua" w:eastAsia="SimSun" w:hAnsi="Book Antiqua"/>
                <w:b/>
                <w:bCs/>
                <w:color w:val="000000"/>
                <w:lang w:val="en-ID"/>
              </w:rPr>
            </w:pPr>
            <w:r w:rsidRPr="003D77E2">
              <w:rPr>
                <w:rFonts w:ascii="Book Antiqua" w:eastAsia="SimSun" w:hAnsi="Book Antiqua"/>
                <w:b/>
                <w:bCs/>
                <w:color w:val="000000"/>
                <w:lang w:val="en-ID"/>
              </w:rPr>
              <w:t>Informan</w:t>
            </w:r>
            <w:r>
              <w:rPr>
                <w:rFonts w:ascii="Book Antiqua" w:eastAsia="SimSun" w:hAnsi="Book Antiqua"/>
                <w:b/>
                <w:bCs/>
                <w:color w:val="000000"/>
                <w:lang w:val="en-ID"/>
              </w:rPr>
              <w:t>ts</w:t>
            </w:r>
          </w:p>
        </w:tc>
        <w:tc>
          <w:tcPr>
            <w:tcW w:w="5387" w:type="dxa"/>
          </w:tcPr>
          <w:p w14:paraId="29DE77E1" w14:textId="62763AFD" w:rsidR="003D77E2" w:rsidRPr="003D77E2" w:rsidRDefault="003D77E2" w:rsidP="003D77E2">
            <w:pPr>
              <w:spacing w:line="23" w:lineRule="atLeast"/>
              <w:ind w:hanging="2"/>
              <w:jc w:val="both"/>
              <w:rPr>
                <w:rFonts w:ascii="Book Antiqua" w:eastAsia="SimSun" w:hAnsi="Book Antiqua"/>
                <w:b/>
                <w:bCs/>
                <w:color w:val="000000"/>
                <w:lang w:val="en-ID"/>
              </w:rPr>
            </w:pPr>
            <w:r>
              <w:rPr>
                <w:rFonts w:ascii="Book Antiqua" w:eastAsia="SimSun" w:hAnsi="Book Antiqua"/>
                <w:b/>
                <w:bCs/>
                <w:color w:val="000000"/>
                <w:lang w:val="en-ID"/>
              </w:rPr>
              <w:t>Description</w:t>
            </w:r>
          </w:p>
        </w:tc>
      </w:tr>
      <w:tr w:rsidR="003D77E2" w:rsidRPr="003D77E2" w14:paraId="1E7B2CD4" w14:textId="77777777" w:rsidTr="003D77E2">
        <w:tc>
          <w:tcPr>
            <w:tcW w:w="2518" w:type="dxa"/>
          </w:tcPr>
          <w:p w14:paraId="4B53A45A" w14:textId="77777777" w:rsidR="003D77E2" w:rsidRPr="003D77E2" w:rsidRDefault="003D77E2" w:rsidP="003D77E2">
            <w:pPr>
              <w:spacing w:line="23" w:lineRule="atLeast"/>
              <w:ind w:hanging="2"/>
              <w:jc w:val="both"/>
              <w:rPr>
                <w:rFonts w:ascii="Book Antiqua" w:eastAsia="SimSun" w:hAnsi="Book Antiqua"/>
                <w:color w:val="000000"/>
                <w:lang w:val="en-ID"/>
              </w:rPr>
            </w:pPr>
            <w:r w:rsidRPr="003D77E2">
              <w:rPr>
                <w:rFonts w:ascii="Book Antiqua" w:eastAsia="SimSun" w:hAnsi="Book Antiqua"/>
                <w:color w:val="000000"/>
                <w:lang w:val="en-ID"/>
              </w:rPr>
              <w:t>A</w:t>
            </w:r>
          </w:p>
        </w:tc>
        <w:tc>
          <w:tcPr>
            <w:tcW w:w="5387" w:type="dxa"/>
          </w:tcPr>
          <w:p w14:paraId="62D4F300" w14:textId="054EFC6D" w:rsidR="003D77E2" w:rsidRPr="003D77E2" w:rsidRDefault="003D77E2" w:rsidP="003D77E2">
            <w:pPr>
              <w:spacing w:line="23" w:lineRule="atLeast"/>
              <w:ind w:hanging="2"/>
              <w:jc w:val="both"/>
              <w:rPr>
                <w:rFonts w:ascii="Book Antiqua" w:eastAsia="SimSun" w:hAnsi="Book Antiqua"/>
                <w:color w:val="000000"/>
                <w:lang w:val="en-ID"/>
              </w:rPr>
            </w:pPr>
            <w:r>
              <w:rPr>
                <w:rFonts w:ascii="Book Antiqua" w:eastAsia="SimSun" w:hAnsi="Book Antiqua"/>
                <w:color w:val="000000"/>
                <w:lang w:val="en-ID"/>
              </w:rPr>
              <w:t>Male</w:t>
            </w:r>
            <w:r w:rsidRPr="003D77E2">
              <w:rPr>
                <w:rFonts w:ascii="Book Antiqua" w:eastAsia="SimSun" w:hAnsi="Book Antiqua"/>
                <w:color w:val="000000"/>
                <w:lang w:val="en-ID"/>
              </w:rPr>
              <w:t xml:space="preserve">, </w:t>
            </w:r>
            <w:r>
              <w:rPr>
                <w:rFonts w:ascii="Book Antiqua" w:eastAsia="SimSun" w:hAnsi="Book Antiqua"/>
                <w:color w:val="000000"/>
                <w:lang w:val="en-ID"/>
              </w:rPr>
              <w:t>married</w:t>
            </w:r>
            <w:r w:rsidRPr="003D77E2">
              <w:rPr>
                <w:rFonts w:ascii="Book Antiqua" w:eastAsia="SimSun" w:hAnsi="Book Antiqua"/>
                <w:color w:val="000000"/>
                <w:lang w:val="en-ID"/>
              </w:rPr>
              <w:t xml:space="preserve">, </w:t>
            </w:r>
            <w:r>
              <w:rPr>
                <w:rFonts w:ascii="Book Antiqua" w:eastAsia="SimSun" w:hAnsi="Book Antiqua"/>
                <w:color w:val="000000"/>
                <w:lang w:val="en-ID"/>
              </w:rPr>
              <w:t>businessman</w:t>
            </w:r>
          </w:p>
        </w:tc>
      </w:tr>
      <w:tr w:rsidR="003D77E2" w:rsidRPr="003D77E2" w14:paraId="5523F851" w14:textId="77777777" w:rsidTr="003D77E2">
        <w:tc>
          <w:tcPr>
            <w:tcW w:w="2518" w:type="dxa"/>
          </w:tcPr>
          <w:p w14:paraId="76739515" w14:textId="77777777" w:rsidR="003D77E2" w:rsidRPr="003D77E2" w:rsidRDefault="003D77E2" w:rsidP="003D77E2">
            <w:pPr>
              <w:spacing w:line="23" w:lineRule="atLeast"/>
              <w:ind w:hanging="2"/>
              <w:jc w:val="both"/>
              <w:rPr>
                <w:rFonts w:ascii="Book Antiqua" w:eastAsia="SimSun" w:hAnsi="Book Antiqua"/>
                <w:color w:val="000000"/>
                <w:lang w:val="en-ID"/>
              </w:rPr>
            </w:pPr>
            <w:r w:rsidRPr="003D77E2">
              <w:rPr>
                <w:rFonts w:ascii="Book Antiqua" w:eastAsia="SimSun" w:hAnsi="Book Antiqua"/>
                <w:color w:val="000000"/>
                <w:lang w:val="en-ID"/>
              </w:rPr>
              <w:t>B</w:t>
            </w:r>
          </w:p>
        </w:tc>
        <w:tc>
          <w:tcPr>
            <w:tcW w:w="5387" w:type="dxa"/>
          </w:tcPr>
          <w:p w14:paraId="4B2B3F30" w14:textId="04FB86A4" w:rsidR="003D77E2" w:rsidRPr="003D77E2" w:rsidRDefault="003D77E2" w:rsidP="003D77E2">
            <w:pPr>
              <w:spacing w:line="23" w:lineRule="atLeast"/>
              <w:ind w:hanging="2"/>
              <w:jc w:val="both"/>
              <w:rPr>
                <w:rFonts w:ascii="Book Antiqua" w:eastAsia="SimSun" w:hAnsi="Book Antiqua"/>
                <w:color w:val="000000"/>
                <w:lang w:val="en-ID"/>
              </w:rPr>
            </w:pPr>
            <w:r>
              <w:rPr>
                <w:rFonts w:ascii="Book Antiqua" w:eastAsia="SimSun" w:hAnsi="Book Antiqua"/>
                <w:color w:val="000000"/>
                <w:lang w:val="en-ID"/>
              </w:rPr>
              <w:t>Female</w:t>
            </w:r>
            <w:r w:rsidRPr="003D77E2">
              <w:rPr>
                <w:rFonts w:ascii="Book Antiqua" w:eastAsia="SimSun" w:hAnsi="Book Antiqua"/>
                <w:color w:val="000000"/>
                <w:lang w:val="en-ID"/>
              </w:rPr>
              <w:t xml:space="preserve">, </w:t>
            </w:r>
            <w:r>
              <w:rPr>
                <w:rFonts w:ascii="Book Antiqua" w:eastAsia="SimSun" w:hAnsi="Book Antiqua"/>
                <w:color w:val="000000"/>
                <w:lang w:val="en-ID"/>
              </w:rPr>
              <w:t>married</w:t>
            </w:r>
            <w:r w:rsidRPr="003D77E2">
              <w:rPr>
                <w:rFonts w:ascii="Book Antiqua" w:eastAsia="SimSun" w:hAnsi="Book Antiqua"/>
                <w:color w:val="000000"/>
                <w:lang w:val="en-ID"/>
              </w:rPr>
              <w:t xml:space="preserve">, </w:t>
            </w:r>
            <w:r>
              <w:rPr>
                <w:rFonts w:ascii="Book Antiqua" w:eastAsia="SimSun" w:hAnsi="Book Antiqua"/>
                <w:color w:val="000000"/>
                <w:lang w:val="en-ID"/>
              </w:rPr>
              <w:t xml:space="preserve">midwifery </w:t>
            </w:r>
          </w:p>
        </w:tc>
      </w:tr>
      <w:tr w:rsidR="003D77E2" w:rsidRPr="003D77E2" w14:paraId="047F5629" w14:textId="77777777" w:rsidTr="003D77E2">
        <w:tc>
          <w:tcPr>
            <w:tcW w:w="2518" w:type="dxa"/>
          </w:tcPr>
          <w:p w14:paraId="5FFA1A22" w14:textId="77777777" w:rsidR="003D77E2" w:rsidRPr="003D77E2" w:rsidRDefault="003D77E2" w:rsidP="003D77E2">
            <w:pPr>
              <w:spacing w:line="23" w:lineRule="atLeast"/>
              <w:ind w:hanging="2"/>
              <w:jc w:val="both"/>
              <w:rPr>
                <w:rFonts w:ascii="Book Antiqua" w:eastAsia="SimSun" w:hAnsi="Book Antiqua"/>
                <w:color w:val="000000"/>
                <w:lang w:val="en-ID"/>
              </w:rPr>
            </w:pPr>
            <w:r w:rsidRPr="003D77E2">
              <w:rPr>
                <w:rFonts w:ascii="Book Antiqua" w:eastAsia="SimSun" w:hAnsi="Book Antiqua"/>
                <w:color w:val="000000"/>
                <w:lang w:val="en-ID"/>
              </w:rPr>
              <w:t>C</w:t>
            </w:r>
          </w:p>
        </w:tc>
        <w:tc>
          <w:tcPr>
            <w:tcW w:w="5387" w:type="dxa"/>
          </w:tcPr>
          <w:p w14:paraId="18C97AF9" w14:textId="3CA4873D" w:rsidR="003D77E2" w:rsidRPr="003D77E2" w:rsidRDefault="003D77E2" w:rsidP="003D77E2">
            <w:pPr>
              <w:spacing w:line="23" w:lineRule="atLeast"/>
              <w:ind w:hanging="2"/>
              <w:jc w:val="both"/>
              <w:rPr>
                <w:rFonts w:ascii="Book Antiqua" w:eastAsia="SimSun" w:hAnsi="Book Antiqua"/>
                <w:color w:val="000000"/>
                <w:lang w:val="en-ID"/>
              </w:rPr>
            </w:pPr>
            <w:r>
              <w:rPr>
                <w:rFonts w:ascii="Book Antiqua" w:eastAsia="SimSun" w:hAnsi="Book Antiqua"/>
                <w:color w:val="000000"/>
                <w:lang w:val="en-ID"/>
              </w:rPr>
              <w:t>Female</w:t>
            </w:r>
            <w:r w:rsidRPr="003D77E2">
              <w:rPr>
                <w:rFonts w:ascii="Book Antiqua" w:eastAsia="SimSun" w:hAnsi="Book Antiqua"/>
                <w:color w:val="000000"/>
                <w:lang w:val="en-ID"/>
              </w:rPr>
              <w:t xml:space="preserve">, </w:t>
            </w:r>
            <w:r>
              <w:rPr>
                <w:rFonts w:ascii="Book Antiqua" w:eastAsia="SimSun" w:hAnsi="Book Antiqua"/>
                <w:color w:val="000000"/>
                <w:lang w:val="en-ID"/>
              </w:rPr>
              <w:t>married, lecturer</w:t>
            </w:r>
            <w:r w:rsidRPr="003D77E2">
              <w:rPr>
                <w:rFonts w:ascii="Book Antiqua" w:eastAsia="SimSun" w:hAnsi="Book Antiqua"/>
                <w:color w:val="000000"/>
                <w:lang w:val="en-ID"/>
              </w:rPr>
              <w:t xml:space="preserve">, </w:t>
            </w:r>
            <w:r w:rsidRPr="003D77E2">
              <w:rPr>
                <w:rFonts w:ascii="Book Antiqua" w:eastAsia="SimSun" w:hAnsi="Book Antiqua"/>
                <w:i/>
                <w:iCs/>
                <w:color w:val="000000"/>
                <w:lang w:val="en-ID"/>
              </w:rPr>
              <w:t>sandwich generation</w:t>
            </w:r>
          </w:p>
        </w:tc>
      </w:tr>
    </w:tbl>
    <w:p w14:paraId="0F5795F8" w14:textId="214A77FC" w:rsidR="008825D4" w:rsidRPr="006E6EB3" w:rsidRDefault="00000000" w:rsidP="006E6EB3">
      <w:pPr>
        <w:numPr>
          <w:ilvl w:val="0"/>
          <w:numId w:val="1"/>
        </w:numPr>
        <w:pBdr>
          <w:top w:val="nil"/>
          <w:left w:val="nil"/>
          <w:bottom w:val="nil"/>
          <w:right w:val="nil"/>
          <w:between w:val="nil"/>
        </w:pBdr>
        <w:ind w:left="270" w:hanging="270"/>
        <w:jc w:val="both"/>
        <w:rPr>
          <w:rFonts w:ascii="Book Antiqua" w:eastAsia="Book Antiqua" w:hAnsi="Book Antiqua" w:cs="Book Antiqua"/>
          <w:color w:val="4472C4"/>
        </w:rPr>
      </w:pPr>
      <w:r>
        <w:rPr>
          <w:rFonts w:ascii="Book Antiqua" w:eastAsia="Book Antiqua" w:hAnsi="Book Antiqua" w:cs="Book Antiqua"/>
          <w:b/>
          <w:color w:val="000000"/>
        </w:rPr>
        <w:t xml:space="preserve">Finding and Discussion </w:t>
      </w:r>
      <w:bookmarkStart w:id="22" w:name="bookmark=id.ihv636" w:colFirst="0" w:colLast="0"/>
      <w:bookmarkStart w:id="23" w:name="bookmark=id.23ckvvd" w:colFirst="0" w:colLast="0"/>
      <w:bookmarkEnd w:id="22"/>
      <w:bookmarkEnd w:id="23"/>
    </w:p>
    <w:p w14:paraId="0505B008" w14:textId="77777777" w:rsidR="006E6EB3" w:rsidRPr="006E6EB3" w:rsidRDefault="006E6EB3" w:rsidP="006E6EB3">
      <w:pPr>
        <w:pBdr>
          <w:top w:val="nil"/>
          <w:left w:val="nil"/>
          <w:bottom w:val="nil"/>
          <w:right w:val="nil"/>
          <w:between w:val="nil"/>
        </w:pBdr>
        <w:ind w:left="270"/>
        <w:jc w:val="both"/>
        <w:rPr>
          <w:rFonts w:ascii="Book Antiqua" w:eastAsia="Book Antiqua" w:hAnsi="Book Antiqua" w:cs="Book Antiqua"/>
          <w:color w:val="4472C4"/>
        </w:rPr>
      </w:pPr>
    </w:p>
    <w:p w14:paraId="4830CB3F" w14:textId="69638223" w:rsidR="006E6EB3" w:rsidRPr="006E6EB3" w:rsidRDefault="006E6EB3" w:rsidP="006E6EB3">
      <w:pPr>
        <w:pBdr>
          <w:top w:val="nil"/>
          <w:left w:val="nil"/>
          <w:bottom w:val="nil"/>
          <w:right w:val="nil"/>
          <w:between w:val="nil"/>
        </w:pBdr>
        <w:jc w:val="both"/>
        <w:rPr>
          <w:rFonts w:ascii="Book Antiqua" w:eastAsia="Book Antiqua" w:hAnsi="Book Antiqua" w:cs="Book Antiqua"/>
          <w:b/>
        </w:rPr>
      </w:pPr>
      <w:r w:rsidRPr="006E6EB3">
        <w:rPr>
          <w:rFonts w:ascii="Book Antiqua" w:eastAsia="Book Antiqua" w:hAnsi="Book Antiqua" w:cs="Book Antiqua"/>
          <w:b/>
        </w:rPr>
        <w:t xml:space="preserve">4.1 </w:t>
      </w:r>
      <w:r>
        <w:rPr>
          <w:rFonts w:ascii="Book Antiqua" w:eastAsia="Book Antiqua" w:hAnsi="Book Antiqua" w:cs="Book Antiqua"/>
          <w:b/>
        </w:rPr>
        <w:tab/>
      </w:r>
      <w:r w:rsidRPr="006E6EB3">
        <w:rPr>
          <w:rFonts w:ascii="Book Antiqua" w:eastAsia="Book Antiqua" w:hAnsi="Book Antiqua" w:cs="Book Antiqua"/>
          <w:b/>
        </w:rPr>
        <w:t>Millennials' Point of View on the Concept of Financial Wellbeing</w:t>
      </w:r>
    </w:p>
    <w:p w14:paraId="24F94692" w14:textId="77777777" w:rsidR="006E6EB3" w:rsidRPr="006E6EB3" w:rsidRDefault="006E6EB3" w:rsidP="006E6EB3">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Financial well-being is a reflection of a person's financial status where they have enough resources to live a comfortable life. Financial well-being means being financially healthy and happy without worrying about future needs. Several subjective and objective measures can be used to determine whether someone is financially well off. For example, objective measures include income, expenses, debt, assets owned, and so on (Van Praaget al., 2003). For subjective measurement is to measure satisfaction with finances or satisfaction with some financial aspects such as satisfaction with income, satisfaction with savings and satisfaction with financial status (Xiao, 2016; Iramani &amp; Lutfi, 2021).</w:t>
      </w:r>
    </w:p>
    <w:p w14:paraId="0A150C09" w14:textId="77777777" w:rsidR="006E6EB3" w:rsidRPr="006E6EB3" w:rsidRDefault="006E6EB3" w:rsidP="006E6EB3">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In this study, the authors used subjective measures for the financial well-being variable. As defined earlier, financial well-being is seen as a sense of satisfaction with income and savings or even financial status. In more detail, this can be reflected in a sense of satisfaction with the income he receives and the savings he has. This sense of satisfaction is very subjective, so it cannot be generalized with other people's sense of satisfaction. This feeling is reflected in how adequately one's needs and wants are met. The interview results from several informants show that fulfilling needs and being able to save are important parts of financial well-being. These results are in line with several previous studies which state the same thing (Bilal &amp; Zulfiqar, 2016; Kamakia et al., 2017; Philippas &amp; Avdoulas, 2020; Rahman et al., 2021).</w:t>
      </w:r>
    </w:p>
    <w:p w14:paraId="647B6333" w14:textId="77777777" w:rsidR="006E6EB3" w:rsidRPr="006E6EB3" w:rsidRDefault="006E6EB3" w:rsidP="006E6EB3">
      <w:pPr>
        <w:pBdr>
          <w:top w:val="nil"/>
          <w:left w:val="nil"/>
          <w:bottom w:val="nil"/>
          <w:right w:val="nil"/>
          <w:between w:val="nil"/>
        </w:pBdr>
        <w:ind w:left="720"/>
        <w:jc w:val="both"/>
        <w:rPr>
          <w:rFonts w:ascii="Book Antiqua" w:eastAsia="Book Antiqua" w:hAnsi="Book Antiqua" w:cs="Book Antiqua"/>
          <w:bCs/>
          <w:i/>
          <w:iCs/>
        </w:rPr>
      </w:pPr>
      <w:r w:rsidRPr="006E6EB3">
        <w:rPr>
          <w:rFonts w:ascii="Book Antiqua" w:eastAsia="Book Antiqua" w:hAnsi="Book Antiqua" w:cs="Book Antiqua"/>
          <w:bCs/>
          <w:i/>
          <w:iCs/>
        </w:rPr>
        <w:t>I'm a wife and I'm provided for by my husband, but I think I'm financially well off when I get a paycheck from my job, that money can be used for other things outside of basic needs, for example, I have a desire or lifestyle, well I can do that with the results of my hard work when that is achieved then I think my financial wellbeing has been achieved... (Informant C)</w:t>
      </w:r>
    </w:p>
    <w:p w14:paraId="5961E994" w14:textId="77777777" w:rsidR="006E6EB3" w:rsidRDefault="006E6EB3" w:rsidP="006E6EB3">
      <w:pPr>
        <w:pBdr>
          <w:top w:val="nil"/>
          <w:left w:val="nil"/>
          <w:bottom w:val="nil"/>
          <w:right w:val="nil"/>
          <w:between w:val="nil"/>
        </w:pBdr>
        <w:jc w:val="both"/>
        <w:rPr>
          <w:rFonts w:ascii="Book Antiqua" w:eastAsia="Book Antiqua" w:hAnsi="Book Antiqua" w:cs="Book Antiqua"/>
          <w:bCs/>
        </w:rPr>
      </w:pPr>
    </w:p>
    <w:p w14:paraId="6C9982A0" w14:textId="17D523D2" w:rsid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This leads to having enough income (both from their main job and side hustle) to fulfill their primary and secondary needs (including debt repayment). Being able to set aside money at the end of the month for savings is also considered part of financial well-being. The informants revealed that they do not want to live 'from paycheck to paycheck' every month, which means that the salary always runs out before the time and hope that the next month's salary will come soon. Therefore, informants who belong to the millennial generation decide to look for additional work outside of their main job to meet their needs, including for vacation or recreation. In their view, vacation and recreation are also included in the needs that must be met as well as primary needs. And this is natural for millennials who really like vacations to refresh the work routine.</w:t>
      </w:r>
    </w:p>
    <w:p w14:paraId="783F82CE" w14:textId="7777777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p>
    <w:p w14:paraId="583531EE" w14:textId="77777777" w:rsidR="006E6EB3" w:rsidRDefault="006E6EB3" w:rsidP="006E6EB3">
      <w:pPr>
        <w:pBdr>
          <w:top w:val="nil"/>
          <w:left w:val="nil"/>
          <w:bottom w:val="nil"/>
          <w:right w:val="nil"/>
          <w:between w:val="nil"/>
        </w:pBdr>
        <w:ind w:left="720"/>
        <w:jc w:val="both"/>
        <w:rPr>
          <w:rFonts w:ascii="Book Antiqua" w:eastAsia="Book Antiqua" w:hAnsi="Book Antiqua" w:cs="Book Antiqua"/>
          <w:bCs/>
          <w:i/>
          <w:iCs/>
        </w:rPr>
      </w:pPr>
      <w:r w:rsidRPr="006E6EB3">
        <w:rPr>
          <w:rFonts w:ascii="Book Antiqua" w:eastAsia="Book Antiqua" w:hAnsi="Book Antiqua" w:cs="Book Antiqua"/>
          <w:bCs/>
          <w:i/>
          <w:iCs/>
        </w:rPr>
        <w:t>Primary needs, fulfilled, clothing, food, shelter, transportation, telecommunications, recreation. Right now, it's fulfilled plus the installments are paid on time, it's enough (Informant B).</w:t>
      </w:r>
    </w:p>
    <w:p w14:paraId="46293AD0" w14:textId="77777777" w:rsidR="006E6EB3" w:rsidRPr="006E6EB3" w:rsidRDefault="006E6EB3" w:rsidP="006E6EB3">
      <w:pPr>
        <w:pBdr>
          <w:top w:val="nil"/>
          <w:left w:val="nil"/>
          <w:bottom w:val="nil"/>
          <w:right w:val="nil"/>
          <w:between w:val="nil"/>
        </w:pBdr>
        <w:ind w:left="720"/>
        <w:jc w:val="both"/>
        <w:rPr>
          <w:rFonts w:ascii="Book Antiqua" w:eastAsia="Book Antiqua" w:hAnsi="Book Antiqua" w:cs="Book Antiqua"/>
          <w:bCs/>
          <w:i/>
          <w:iCs/>
        </w:rPr>
      </w:pPr>
    </w:p>
    <w:p w14:paraId="0BC95068" w14:textId="77777777" w:rsidR="006E6EB3" w:rsidRDefault="006E6EB3" w:rsidP="006E6EB3">
      <w:pPr>
        <w:pBdr>
          <w:top w:val="nil"/>
          <w:left w:val="nil"/>
          <w:bottom w:val="nil"/>
          <w:right w:val="nil"/>
          <w:between w:val="nil"/>
        </w:pBdr>
        <w:ind w:left="720"/>
        <w:jc w:val="both"/>
        <w:rPr>
          <w:rFonts w:ascii="Book Antiqua" w:eastAsia="Book Antiqua" w:hAnsi="Book Antiqua" w:cs="Book Antiqua"/>
          <w:bCs/>
          <w:i/>
          <w:iCs/>
        </w:rPr>
      </w:pPr>
      <w:r w:rsidRPr="006E6EB3">
        <w:rPr>
          <w:rFonts w:ascii="Book Antiqua" w:eastAsia="Book Antiqua" w:hAnsi="Book Antiqua" w:cs="Book Antiqua"/>
          <w:bCs/>
          <w:i/>
          <w:iCs/>
        </w:rPr>
        <w:t>As long as the needs are met. Having a comfortable house, a car. We can buy what we think we need to buy. What we don't think is necessary, we don't buy. And traveling is also a need, hehehe... (Informant A)</w:t>
      </w:r>
    </w:p>
    <w:p w14:paraId="4FDA72A6" w14:textId="77777777" w:rsidR="006E6EB3" w:rsidRPr="006E6EB3" w:rsidRDefault="006E6EB3" w:rsidP="006E6EB3">
      <w:pPr>
        <w:pBdr>
          <w:top w:val="nil"/>
          <w:left w:val="nil"/>
          <w:bottom w:val="nil"/>
          <w:right w:val="nil"/>
          <w:between w:val="nil"/>
        </w:pBdr>
        <w:ind w:left="720"/>
        <w:jc w:val="both"/>
        <w:rPr>
          <w:rFonts w:ascii="Book Antiqua" w:eastAsia="Book Antiqua" w:hAnsi="Book Antiqua" w:cs="Book Antiqua"/>
          <w:bCs/>
        </w:rPr>
      </w:pPr>
    </w:p>
    <w:p w14:paraId="451E4A32" w14:textId="77777777" w:rsidR="006E6EB3" w:rsidRDefault="006E6EB3" w:rsidP="006E6EB3">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 xml:space="preserve">Riitsalu, Atkinson, et al. (2023); Riitsalu, Sulg, et al. (2023) and Riitsalu &amp; van Raaij (2022) stated that there are different views of young and middle-aged people regarding financial well-being. The middle-aged group considers financial well-being to consist of maintaining and achieving a lifestyle in the present and in the future so that they want to reach a state where they are able to prioritize supporting their children and being a parent without being a financial burden to their children. Furthermore, the younger group aspires to be financially independent. However, this view does not seem to match what Informant C feels. The informant who is also a sandwich generation struggles not only with his own needs but </w:t>
      </w:r>
      <w:proofErr w:type="gramStart"/>
      <w:r w:rsidRPr="006E6EB3">
        <w:rPr>
          <w:rFonts w:ascii="Book Antiqua" w:eastAsia="Book Antiqua" w:hAnsi="Book Antiqua" w:cs="Book Antiqua"/>
          <w:bCs/>
        </w:rPr>
        <w:t>also</w:t>
      </w:r>
      <w:proofErr w:type="gramEnd"/>
      <w:r w:rsidRPr="006E6EB3">
        <w:rPr>
          <w:rFonts w:ascii="Book Antiqua" w:eastAsia="Book Antiqua" w:hAnsi="Book Antiqua" w:cs="Book Antiqua"/>
          <w:bCs/>
        </w:rPr>
        <w:t xml:space="preserve"> he needs to think about how to fulfill the needs of his parents. He said that the concept of financial well-being also needs to think about future needs or when in retirement.</w:t>
      </w:r>
    </w:p>
    <w:p w14:paraId="18E8076B" w14:textId="77777777" w:rsidR="006E6EB3" w:rsidRPr="006E6EB3" w:rsidRDefault="006E6EB3" w:rsidP="006E6EB3">
      <w:pPr>
        <w:pBdr>
          <w:top w:val="nil"/>
          <w:left w:val="nil"/>
          <w:bottom w:val="nil"/>
          <w:right w:val="nil"/>
          <w:between w:val="nil"/>
        </w:pBdr>
        <w:ind w:firstLine="720"/>
        <w:jc w:val="both"/>
        <w:rPr>
          <w:rFonts w:ascii="Book Antiqua" w:eastAsia="Book Antiqua" w:hAnsi="Book Antiqua" w:cs="Book Antiqua"/>
          <w:bCs/>
        </w:rPr>
      </w:pPr>
    </w:p>
    <w:p w14:paraId="361144A5" w14:textId="77777777" w:rsidR="006E6EB3" w:rsidRDefault="006E6EB3" w:rsidP="006E6EB3">
      <w:pPr>
        <w:pBdr>
          <w:top w:val="nil"/>
          <w:left w:val="nil"/>
          <w:bottom w:val="nil"/>
          <w:right w:val="nil"/>
          <w:between w:val="nil"/>
        </w:pBdr>
        <w:ind w:left="720"/>
        <w:jc w:val="both"/>
        <w:rPr>
          <w:rFonts w:ascii="Book Antiqua" w:eastAsia="Book Antiqua" w:hAnsi="Book Antiqua" w:cs="Book Antiqua"/>
          <w:bCs/>
          <w:i/>
          <w:iCs/>
        </w:rPr>
      </w:pPr>
      <w:r w:rsidRPr="006E6EB3">
        <w:rPr>
          <w:rFonts w:ascii="Book Antiqua" w:eastAsia="Book Antiqua" w:hAnsi="Book Antiqua" w:cs="Book Antiqua"/>
          <w:bCs/>
          <w:i/>
          <w:iCs/>
        </w:rPr>
        <w:t>I prepare for retirement because I learned from my parents. I also saw from some</w:t>
      </w:r>
      <w:r w:rsidRPr="006E6EB3">
        <w:rPr>
          <w:rFonts w:ascii="Book Antiqua" w:eastAsia="Book Antiqua" w:hAnsi="Book Antiqua" w:cs="Book Antiqua"/>
          <w:bCs/>
        </w:rPr>
        <w:t xml:space="preserve"> </w:t>
      </w:r>
      <w:r w:rsidRPr="006E6EB3">
        <w:rPr>
          <w:rFonts w:ascii="Book Antiqua" w:eastAsia="Book Antiqua" w:hAnsi="Book Antiqua" w:cs="Book Antiqua"/>
          <w:bCs/>
          <w:i/>
          <w:iCs/>
        </w:rPr>
        <w:t>of my relatives who did not plan for old age well, for example, so when retirement and old age come, it will be very useful. Yes, I think that can also be called financial well-being. Not limited to being prosperous during the working period (currently), I think having old age savings or a pension fund is my goal in achieving financial well-being (Informant C).</w:t>
      </w:r>
    </w:p>
    <w:p w14:paraId="359D6B27" w14:textId="77777777" w:rsidR="009A1DAD" w:rsidRPr="006E6EB3" w:rsidRDefault="009A1DAD" w:rsidP="006E6EB3">
      <w:pPr>
        <w:pBdr>
          <w:top w:val="nil"/>
          <w:left w:val="nil"/>
          <w:bottom w:val="nil"/>
          <w:right w:val="nil"/>
          <w:between w:val="nil"/>
        </w:pBdr>
        <w:ind w:left="720"/>
        <w:jc w:val="both"/>
        <w:rPr>
          <w:rFonts w:ascii="Book Antiqua" w:eastAsia="Book Antiqua" w:hAnsi="Book Antiqua" w:cs="Book Antiqua"/>
          <w:bCs/>
          <w:i/>
          <w:iCs/>
        </w:rPr>
      </w:pPr>
    </w:p>
    <w:p w14:paraId="4F8337AC" w14:textId="340AC386" w:rsidR="006E6EB3" w:rsidRDefault="00E92C43" w:rsidP="006E6EB3">
      <w:pPr>
        <w:pBdr>
          <w:top w:val="nil"/>
          <w:left w:val="nil"/>
          <w:bottom w:val="nil"/>
          <w:right w:val="nil"/>
          <w:between w:val="nil"/>
        </w:pBdr>
        <w:jc w:val="both"/>
        <w:rPr>
          <w:rFonts w:ascii="Book Antiqua" w:eastAsia="Book Antiqua" w:hAnsi="Book Antiqua" w:cs="Book Antiqua"/>
          <w:b/>
        </w:rPr>
      </w:pPr>
      <w:r w:rsidRPr="00E92C43">
        <w:rPr>
          <w:rFonts w:ascii="Book Antiqua" w:eastAsia="Book Antiqua" w:hAnsi="Book Antiqua" w:cs="Book Antiqua"/>
          <w:b/>
        </w:rPr>
        <w:t>4.2</w:t>
      </w:r>
      <w:r w:rsidRPr="00E92C43">
        <w:rPr>
          <w:rFonts w:ascii="Book Antiqua" w:eastAsia="Book Antiqua" w:hAnsi="Book Antiqua" w:cs="Book Antiqua"/>
          <w:b/>
        </w:rPr>
        <w:tab/>
      </w:r>
      <w:r w:rsidR="006E6EB3" w:rsidRPr="00E92C43">
        <w:rPr>
          <w:rFonts w:ascii="Book Antiqua" w:eastAsia="Book Antiqua" w:hAnsi="Book Antiqua" w:cs="Book Antiqua"/>
          <w:b/>
        </w:rPr>
        <w:t xml:space="preserve">Factors that Affect Financial Well-Being According to </w:t>
      </w:r>
      <w:r>
        <w:rPr>
          <w:rFonts w:ascii="Book Antiqua" w:eastAsia="Book Antiqua" w:hAnsi="Book Antiqua" w:cs="Book Antiqua"/>
          <w:b/>
        </w:rPr>
        <w:t xml:space="preserve">Moslem </w:t>
      </w:r>
      <w:r w:rsidR="006E6EB3" w:rsidRPr="00E92C43">
        <w:rPr>
          <w:rFonts w:ascii="Book Antiqua" w:eastAsia="Book Antiqua" w:hAnsi="Book Antiqua" w:cs="Book Antiqua"/>
          <w:b/>
        </w:rPr>
        <w:t xml:space="preserve">Millennial </w:t>
      </w:r>
      <w:r w:rsidR="004F0269">
        <w:rPr>
          <w:rFonts w:ascii="Book Antiqua" w:eastAsia="Book Antiqua" w:hAnsi="Book Antiqua" w:cs="Book Antiqua"/>
          <w:b/>
        </w:rPr>
        <w:t>Perspective</w:t>
      </w:r>
    </w:p>
    <w:p w14:paraId="448C6259" w14:textId="77777777" w:rsidR="00015D5B" w:rsidRPr="00E92C43" w:rsidRDefault="00015D5B" w:rsidP="006E6EB3">
      <w:pPr>
        <w:pBdr>
          <w:top w:val="nil"/>
          <w:left w:val="nil"/>
          <w:bottom w:val="nil"/>
          <w:right w:val="nil"/>
          <w:between w:val="nil"/>
        </w:pBdr>
        <w:jc w:val="both"/>
        <w:rPr>
          <w:rFonts w:ascii="Book Antiqua" w:eastAsia="Book Antiqua" w:hAnsi="Book Antiqua" w:cs="Book Antiqua"/>
          <w:b/>
        </w:rPr>
      </w:pPr>
    </w:p>
    <w:p w14:paraId="77FB9121" w14:textId="77777777" w:rsid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Several factors can affect financial wellbeing, namely financial experience (Iramani &amp; Lutfi, 2021), financial literacy (Apriansah et al., 2022; Bilal &amp; Zulfiqar, 2016; Brillianti &amp; Kautsar, 2020; Kamakia et al., 2017; Philippas &amp; Avdoulas, 2020; Taft et al., 2013), financial behavior (Rahman et al., 2021; Gutter &amp; Copur, 2011; Kavita &amp; Riyaz, 2021; Prameswar et al., 2023; Xiao &amp; Porto, 2017) and financial stress (Ismail &amp; Zaki, 2019; Muat &amp; Henry, 2023; Pratama &amp; Widoatmodjo, 2023; Rahman et al., 2021; Zhang &amp; Chatterjee, 2023).</w:t>
      </w:r>
    </w:p>
    <w:p w14:paraId="6E016C5B" w14:textId="77777777" w:rsidR="00015D5B" w:rsidRPr="006E6EB3" w:rsidRDefault="00015D5B" w:rsidP="00015D5B">
      <w:pPr>
        <w:pBdr>
          <w:top w:val="nil"/>
          <w:left w:val="nil"/>
          <w:bottom w:val="nil"/>
          <w:right w:val="nil"/>
          <w:between w:val="nil"/>
        </w:pBdr>
        <w:ind w:firstLine="720"/>
        <w:jc w:val="both"/>
        <w:rPr>
          <w:rFonts w:ascii="Book Antiqua" w:eastAsia="Book Antiqua" w:hAnsi="Book Antiqua" w:cs="Book Antiqua"/>
          <w:bCs/>
        </w:rPr>
      </w:pPr>
    </w:p>
    <w:p w14:paraId="08FBA26B" w14:textId="7777777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a.</w:t>
      </w:r>
      <w:r w:rsidRPr="006E6EB3">
        <w:rPr>
          <w:rFonts w:ascii="Book Antiqua" w:eastAsia="Book Antiqua" w:hAnsi="Book Antiqua" w:cs="Book Antiqua"/>
          <w:bCs/>
        </w:rPr>
        <w:tab/>
        <w:t>Financial Experience</w:t>
      </w:r>
    </w:p>
    <w:p w14:paraId="38928710"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Financial experience is the experience of doing traditional loans, alternative loans, and investment activities. Someone who has financial experience will engage in activities such as opening checking accounts, buying bonds and stocks, and borrowing from traditional and alternative credit providers (Lusardi &amp; Tufano, 2015). This experience can be used as a learning process for individuals in managing financial problems and decision-making in the future. Therefore, this financial experience will influence financial behavior (Darmawan et al., 2016; Lusardi &amp; Tufano, 2015; Purwidianti &amp; Tubastuvi, 2019) and will also indirectly determine a person's financial well-being (Herdjiono et al., 2011; Khan &amp; Surisetti, 2021).</w:t>
      </w:r>
    </w:p>
    <w:p w14:paraId="68544062" w14:textId="77777777" w:rsid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 xml:space="preserve">As the saying goes Experience is the Best Teacher, the financial experience possessed by the informant makes the informant wiser in deciding something. The results of the interviews </w:t>
      </w:r>
      <w:proofErr w:type="gramStart"/>
      <w:r w:rsidRPr="006E6EB3">
        <w:rPr>
          <w:rFonts w:ascii="Book Antiqua" w:eastAsia="Book Antiqua" w:hAnsi="Book Antiqua" w:cs="Book Antiqua"/>
          <w:bCs/>
        </w:rPr>
        <w:t>conducted,</w:t>
      </w:r>
      <w:proofErr w:type="gramEnd"/>
      <w:r w:rsidRPr="006E6EB3">
        <w:rPr>
          <w:rFonts w:ascii="Book Antiqua" w:eastAsia="Book Antiqua" w:hAnsi="Book Antiqua" w:cs="Book Antiqua"/>
          <w:bCs/>
        </w:rPr>
        <w:t xml:space="preserve"> informants who are self-employed have a principle to never get into debt even though the debt is for productive activities (business development). But this informant has another experience, namely he decided to buy a Deposit as an investment. This experience, although included in a financial experience that is not too risky, will have an impact on the financial management that he will do each period. This is by Sina's (2012) statement that financial experience in making investment decisions will have an impact on the practicality of financial management now and later.</w:t>
      </w:r>
    </w:p>
    <w:p w14:paraId="666285A5" w14:textId="77777777" w:rsidR="00015D5B" w:rsidRPr="006E6EB3" w:rsidRDefault="00015D5B" w:rsidP="00015D5B">
      <w:pPr>
        <w:pBdr>
          <w:top w:val="nil"/>
          <w:left w:val="nil"/>
          <w:bottom w:val="nil"/>
          <w:right w:val="nil"/>
          <w:between w:val="nil"/>
        </w:pBdr>
        <w:ind w:firstLine="720"/>
        <w:jc w:val="both"/>
        <w:rPr>
          <w:rFonts w:ascii="Book Antiqua" w:eastAsia="Book Antiqua" w:hAnsi="Book Antiqua" w:cs="Book Antiqua"/>
          <w:bCs/>
        </w:rPr>
      </w:pPr>
    </w:p>
    <w:p w14:paraId="0336EC10" w14:textId="77777777" w:rsidR="006E6EB3"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 xml:space="preserve">Nope, I still don't want to get into debt even for productive purposes, hehe. </w:t>
      </w:r>
      <w:proofErr w:type="gramStart"/>
      <w:r w:rsidRPr="00015D5B">
        <w:rPr>
          <w:rFonts w:ascii="Book Antiqua" w:eastAsia="Book Antiqua" w:hAnsi="Book Antiqua" w:cs="Book Antiqua"/>
          <w:bCs/>
          <w:i/>
          <w:iCs/>
        </w:rPr>
        <w:t>So</w:t>
      </w:r>
      <w:proofErr w:type="gramEnd"/>
      <w:r w:rsidRPr="00015D5B">
        <w:rPr>
          <w:rFonts w:ascii="Book Antiqua" w:eastAsia="Book Antiqua" w:hAnsi="Book Antiqua" w:cs="Book Antiqua"/>
          <w:bCs/>
          <w:i/>
          <w:iCs/>
        </w:rPr>
        <w:t xml:space="preserve"> you can be sure, if the business results, we will not share if the company is still not financially healthy (requires additional capital funds). Not that our business capital is strong. All from 0 with the strategies we took, alhamdulillah can develop the business, hehe (Informant A)</w:t>
      </w:r>
    </w:p>
    <w:p w14:paraId="68288791" w14:textId="77777777" w:rsidR="00015D5B" w:rsidRPr="00015D5B" w:rsidRDefault="00015D5B" w:rsidP="00015D5B">
      <w:pPr>
        <w:pBdr>
          <w:top w:val="nil"/>
          <w:left w:val="nil"/>
          <w:bottom w:val="nil"/>
          <w:right w:val="nil"/>
          <w:between w:val="nil"/>
        </w:pBdr>
        <w:ind w:left="720"/>
        <w:jc w:val="both"/>
        <w:rPr>
          <w:rFonts w:ascii="Book Antiqua" w:eastAsia="Book Antiqua" w:hAnsi="Book Antiqua" w:cs="Book Antiqua"/>
          <w:bCs/>
          <w:i/>
          <w:iCs/>
        </w:rPr>
      </w:pPr>
    </w:p>
    <w:p w14:paraId="6D0AC9F9" w14:textId="4616DE12" w:rsid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Another financial experience in the form of loan ownership in financial services has been felt by one of the informants. The decision to go into debt indirectly forces a person to manage their finances well each month. Previously, the informant surveyed several banks regarding the loan he would take and weighed the percentage of interest offered by the party. In the end, he found that the loan at the cooperative where he worked provided a loan with the lowest interest rate and the highest ceiling compared to the bank's offer. With this experience, the informant was aware of several loan alternatives so t</w:t>
      </w:r>
      <w:r w:rsidR="00015D5B">
        <w:rPr>
          <w:rFonts w:ascii="Book Antiqua" w:eastAsia="Book Antiqua" w:hAnsi="Book Antiqua" w:cs="Book Antiqua"/>
          <w:bCs/>
        </w:rPr>
        <w:t xml:space="preserve">hey </w:t>
      </w:r>
      <w:proofErr w:type="gramStart"/>
      <w:r w:rsidRPr="006E6EB3">
        <w:rPr>
          <w:rFonts w:ascii="Book Antiqua" w:eastAsia="Book Antiqua" w:hAnsi="Book Antiqua" w:cs="Book Antiqua"/>
          <w:bCs/>
        </w:rPr>
        <w:t>was</w:t>
      </w:r>
      <w:proofErr w:type="gramEnd"/>
      <w:r w:rsidRPr="006E6EB3">
        <w:rPr>
          <w:rFonts w:ascii="Book Antiqua" w:eastAsia="Book Antiqua" w:hAnsi="Book Antiqua" w:cs="Book Antiqua"/>
          <w:bCs/>
        </w:rPr>
        <w:t xml:space="preserve"> able to decide which loan offered the lowest fees.</w:t>
      </w:r>
    </w:p>
    <w:p w14:paraId="05A3D6F0" w14:textId="77777777" w:rsidR="00015D5B" w:rsidRPr="006E6EB3" w:rsidRDefault="00015D5B" w:rsidP="006E6EB3">
      <w:pPr>
        <w:pBdr>
          <w:top w:val="nil"/>
          <w:left w:val="nil"/>
          <w:bottom w:val="nil"/>
          <w:right w:val="nil"/>
          <w:between w:val="nil"/>
        </w:pBdr>
        <w:jc w:val="both"/>
        <w:rPr>
          <w:rFonts w:ascii="Book Antiqua" w:eastAsia="Book Antiqua" w:hAnsi="Book Antiqua" w:cs="Book Antiqua"/>
          <w:bCs/>
        </w:rPr>
      </w:pPr>
    </w:p>
    <w:p w14:paraId="51F33D16" w14:textId="7777777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b.</w:t>
      </w:r>
      <w:r w:rsidRPr="006E6EB3">
        <w:rPr>
          <w:rFonts w:ascii="Book Antiqua" w:eastAsia="Book Antiqua" w:hAnsi="Book Antiqua" w:cs="Book Antiqua"/>
          <w:bCs/>
        </w:rPr>
        <w:tab/>
        <w:t>Financial Literacy</w:t>
      </w:r>
    </w:p>
    <w:p w14:paraId="7B7B477C"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 xml:space="preserve">Financial literacy is the knowledge, skills, and beliefs that influence attitudes and behaviors to improve the quality of decision making and financial management to achieve public financial welfare (OJK, 2013). Several previous studies have shown that financial literacy affects financial well-being (Apriansah et al., 2022; Bilal &amp; Zulfiqar, 2016; Brillianti &amp; Kautsar, 2020; Kamakia et al., 2017; Philippas &amp; Avdoulas, 2020; Taft et al., 2013). With good financial literacy, a person will have good financial experience and financial behavior so that they will avoid financial constraints and be able to achieve financial well-being. </w:t>
      </w:r>
    </w:p>
    <w:p w14:paraId="43725FBA"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 xml:space="preserve">The Financial Services Authority (OJK) states that there are 2 indicators of financial literacy, namely 1) Basic financial literacy; 2) Advanced financial literacy. Basic financial literacy indicators include knowledge related to mathematical calculations, interest rates, inflation, time value of money and financial illusions. Advanced financial literacy indicators include knowledge of stocks and their functions, mutual funds, benchmark interest rates and their relation to bonds, risks of financial assets in the capital market, rates of return on financial assets in the capital market and the concept of diversification. </w:t>
      </w:r>
    </w:p>
    <w:p w14:paraId="15CF29D4"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Based on interviews from the three informants, only one is an investor in the capital market. He is an investor who started investing during the pandemic several years ago. The Covid 19 pandemic forced them to stay at home and the impact was that a lot of content on social media appeared. The same goes for investment-related content. Whether it's investing in cryptocurrency or stocks in the capital market. With the existence of these contents, there is a surge in the number of new investors, the majority of which are dominated by generation Z (OJK, 2022).</w:t>
      </w:r>
    </w:p>
    <w:p w14:paraId="478479E4" w14:textId="77777777" w:rsid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As mentioned earlier, informant A is a businessman and he admitted that he did not really understand the concept of investing in the capital market. For this reason, he only invests (or more precisely, saves) in time deposits.</w:t>
      </w:r>
    </w:p>
    <w:p w14:paraId="48529CB5" w14:textId="77777777" w:rsidR="00015D5B" w:rsidRPr="006E6EB3" w:rsidRDefault="00015D5B" w:rsidP="00015D5B">
      <w:pPr>
        <w:pBdr>
          <w:top w:val="nil"/>
          <w:left w:val="nil"/>
          <w:bottom w:val="nil"/>
          <w:right w:val="nil"/>
          <w:between w:val="nil"/>
        </w:pBdr>
        <w:ind w:firstLine="720"/>
        <w:jc w:val="both"/>
        <w:rPr>
          <w:rFonts w:ascii="Book Antiqua" w:eastAsia="Book Antiqua" w:hAnsi="Book Antiqua" w:cs="Book Antiqua"/>
          <w:bCs/>
        </w:rPr>
      </w:pPr>
    </w:p>
    <w:p w14:paraId="4044EB6E" w14:textId="77777777" w:rsidR="006E6EB3"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I just haven't found an investment that is productive, safe, and does not take up my time and mind. It ended up being time deposits (Informant A).</w:t>
      </w:r>
    </w:p>
    <w:p w14:paraId="104319EE" w14:textId="77777777" w:rsidR="00015D5B" w:rsidRPr="00015D5B" w:rsidRDefault="00015D5B" w:rsidP="00015D5B">
      <w:pPr>
        <w:pBdr>
          <w:top w:val="nil"/>
          <w:left w:val="nil"/>
          <w:bottom w:val="nil"/>
          <w:right w:val="nil"/>
          <w:between w:val="nil"/>
        </w:pBdr>
        <w:ind w:left="720"/>
        <w:jc w:val="both"/>
        <w:rPr>
          <w:rFonts w:ascii="Book Antiqua" w:eastAsia="Book Antiqua" w:hAnsi="Book Antiqua" w:cs="Book Antiqua"/>
          <w:bCs/>
          <w:i/>
          <w:iCs/>
        </w:rPr>
      </w:pPr>
    </w:p>
    <w:p w14:paraId="2F08BF5E" w14:textId="77777777" w:rsid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The correlation with understanding financial concepts both basic and advanced will provide benefits to individuals on their financial decision-making abilities. Being able to manage assets well has an impact on these assets can continue to grow to produce positive returns and ultimately the financial well-being of the individual can be achieved.</w:t>
      </w:r>
    </w:p>
    <w:p w14:paraId="207A5E6E" w14:textId="77777777" w:rsidR="00015D5B" w:rsidRPr="006E6EB3" w:rsidRDefault="00015D5B" w:rsidP="006E6EB3">
      <w:pPr>
        <w:pBdr>
          <w:top w:val="nil"/>
          <w:left w:val="nil"/>
          <w:bottom w:val="nil"/>
          <w:right w:val="nil"/>
          <w:between w:val="nil"/>
        </w:pBdr>
        <w:jc w:val="both"/>
        <w:rPr>
          <w:rFonts w:ascii="Book Antiqua" w:eastAsia="Book Antiqua" w:hAnsi="Book Antiqua" w:cs="Book Antiqua"/>
          <w:bCs/>
        </w:rPr>
      </w:pPr>
    </w:p>
    <w:p w14:paraId="7DA23BE8" w14:textId="77777777" w:rsidR="006E6EB3" w:rsidRPr="00015D5B"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 xml:space="preserve">I realized it during the pandemic yesterday. There were many sudden needs. From there I thought that all this time I hadn't set aside money for investment. At </w:t>
      </w:r>
      <w:proofErr w:type="gramStart"/>
      <w:r w:rsidRPr="00015D5B">
        <w:rPr>
          <w:rFonts w:ascii="Book Antiqua" w:eastAsia="Book Antiqua" w:hAnsi="Book Antiqua" w:cs="Book Antiqua"/>
          <w:bCs/>
          <w:i/>
          <w:iCs/>
        </w:rPr>
        <w:t>first</w:t>
      </w:r>
      <w:proofErr w:type="gramEnd"/>
      <w:r w:rsidRPr="00015D5B">
        <w:rPr>
          <w:rFonts w:ascii="Book Antiqua" w:eastAsia="Book Antiqua" w:hAnsi="Book Antiqua" w:cs="Book Antiqua"/>
          <w:bCs/>
          <w:i/>
          <w:iCs/>
        </w:rPr>
        <w:t xml:space="preserve"> I tried gold, I've done it before, now I'm trying mutual funds. That's okay. Little by little. The important thing is to be consistent. Later, when I really understand, I will allocate more (funds) (Informant B).</w:t>
      </w:r>
    </w:p>
    <w:p w14:paraId="43427A53" w14:textId="77777777" w:rsidR="00015D5B" w:rsidRPr="006E6EB3" w:rsidRDefault="00015D5B" w:rsidP="006E6EB3">
      <w:pPr>
        <w:pBdr>
          <w:top w:val="nil"/>
          <w:left w:val="nil"/>
          <w:bottom w:val="nil"/>
          <w:right w:val="nil"/>
          <w:between w:val="nil"/>
        </w:pBdr>
        <w:jc w:val="both"/>
        <w:rPr>
          <w:rFonts w:ascii="Book Antiqua" w:eastAsia="Book Antiqua" w:hAnsi="Book Antiqua" w:cs="Book Antiqua"/>
          <w:bCs/>
        </w:rPr>
      </w:pPr>
    </w:p>
    <w:p w14:paraId="53E12D6A" w14:textId="7777777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c.</w:t>
      </w:r>
      <w:r w:rsidRPr="006E6EB3">
        <w:rPr>
          <w:rFonts w:ascii="Book Antiqua" w:eastAsia="Book Antiqua" w:hAnsi="Book Antiqua" w:cs="Book Antiqua"/>
          <w:bCs/>
        </w:rPr>
        <w:tab/>
        <w:t>Financial Behavior</w:t>
      </w:r>
    </w:p>
    <w:p w14:paraId="00981859" w14:textId="77777777" w:rsid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Financial behavior encompasses a person's actions in managing their money in daily life. It relates to the way a person organizes and utilizes available financial resources. Financial behavior also involves a person's financial responsibility in managing their finances effectively (OJK, 2013). Managing money is the same as managing finances.</w:t>
      </w:r>
    </w:p>
    <w:p w14:paraId="1E39E86A" w14:textId="77777777" w:rsidR="00015D5B" w:rsidRPr="006E6EB3" w:rsidRDefault="00015D5B" w:rsidP="00015D5B">
      <w:pPr>
        <w:pBdr>
          <w:top w:val="nil"/>
          <w:left w:val="nil"/>
          <w:bottom w:val="nil"/>
          <w:right w:val="nil"/>
          <w:between w:val="nil"/>
        </w:pBdr>
        <w:ind w:firstLine="720"/>
        <w:jc w:val="both"/>
        <w:rPr>
          <w:rFonts w:ascii="Book Antiqua" w:eastAsia="Book Antiqua" w:hAnsi="Book Antiqua" w:cs="Book Antiqua"/>
          <w:bCs/>
        </w:rPr>
      </w:pPr>
    </w:p>
    <w:p w14:paraId="65EAC3D4" w14:textId="77777777" w:rsidR="006E6EB3"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I have a great financial responsibility towards my family members, hence the importance for them to manage their finances well. Proper financial management will help me prepare for retirement, meet my personal financial needs, and even plan for my children's inheritance. (Informant C)</w:t>
      </w:r>
    </w:p>
    <w:p w14:paraId="45DC64F2" w14:textId="77777777" w:rsidR="00015D5B" w:rsidRPr="00015D5B" w:rsidRDefault="00015D5B" w:rsidP="00015D5B">
      <w:pPr>
        <w:pBdr>
          <w:top w:val="nil"/>
          <w:left w:val="nil"/>
          <w:bottom w:val="nil"/>
          <w:right w:val="nil"/>
          <w:between w:val="nil"/>
        </w:pBdr>
        <w:ind w:left="720"/>
        <w:jc w:val="both"/>
        <w:rPr>
          <w:rFonts w:ascii="Book Antiqua" w:eastAsia="Book Antiqua" w:hAnsi="Book Antiqua" w:cs="Book Antiqua"/>
          <w:bCs/>
          <w:i/>
          <w:iCs/>
        </w:rPr>
      </w:pPr>
    </w:p>
    <w:p w14:paraId="7A679061"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One of the important responsibilities in financial management is to make a budget that aims to enable a person to manage their finances well by using the income they earn (Herdjiono et al., 2011; Junça Silva &amp; Dias, 2023). To be financially healthy, individuals must engage in good and correct behaviors as they impact financial well-being (Brüggen et al., 2017; Junça Silva &amp; Dias, 2023; Xiao, 2008; Xiao &amp; Porto, 2017). Thus, financial knowledge or literacy is irrelevant if individuals do not use it (Drever et al., 2015). This is not only the financial dimension of well-being but also other domains (Xiao et al., 2009) such as physical health. It has been shown that financial behaviors positively impact financial satisfaction (Gutter and Copur, 2011; Joo, 2008; Shim et al., 2009; Xiao et al., 2009), expected future financial security (Netemeyer et al., 2018), and decreased financial stress (Gutter and Copur, 2011). For example, impulsive behavior also results in poor financial behavior (Fernandes, et al., 2014). In addition, Joo and Grable (2004) proved that financial behavior is a major predictor of financial satisfaction, which is also part of financial well-being.</w:t>
      </w:r>
    </w:p>
    <w:p w14:paraId="721AC1E9" w14:textId="3319616B"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The interview results show that the informants do budgeting but it is not written down and not recorded. They divide their expenses into different items. They also separate income based on the needs that must be met.</w:t>
      </w:r>
    </w:p>
    <w:p w14:paraId="078DFE69" w14:textId="762729BB" w:rsidR="006E6EB3"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 xml:space="preserve">Our </w:t>
      </w:r>
      <w:r w:rsidR="00015D5B">
        <w:rPr>
          <w:rFonts w:ascii="Book Antiqua" w:eastAsia="Book Antiqua" w:hAnsi="Book Antiqua" w:cs="Book Antiqua"/>
          <w:bCs/>
          <w:i/>
          <w:iCs/>
        </w:rPr>
        <w:t xml:space="preserve">daily needs </w:t>
      </w:r>
      <w:r w:rsidRPr="00015D5B">
        <w:rPr>
          <w:rFonts w:ascii="Book Antiqua" w:eastAsia="Book Antiqua" w:hAnsi="Book Antiqua" w:cs="Book Antiqua"/>
          <w:bCs/>
          <w:i/>
          <w:iCs/>
        </w:rPr>
        <w:t>are obtained from my wife's and my salary. The budget for saving is from business profit sharing. .... (Informant A)</w:t>
      </w:r>
    </w:p>
    <w:p w14:paraId="552F0C0B" w14:textId="77777777" w:rsidR="00015D5B" w:rsidRPr="00015D5B" w:rsidRDefault="00015D5B" w:rsidP="00015D5B">
      <w:pPr>
        <w:pBdr>
          <w:top w:val="nil"/>
          <w:left w:val="nil"/>
          <w:bottom w:val="nil"/>
          <w:right w:val="nil"/>
          <w:between w:val="nil"/>
        </w:pBdr>
        <w:ind w:left="720"/>
        <w:jc w:val="both"/>
        <w:rPr>
          <w:rFonts w:ascii="Book Antiqua" w:eastAsia="Book Antiqua" w:hAnsi="Book Antiqua" w:cs="Book Antiqua"/>
          <w:bCs/>
          <w:i/>
          <w:iCs/>
        </w:rPr>
      </w:pPr>
    </w:p>
    <w:p w14:paraId="6D65B1DF" w14:textId="77777777" w:rsid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Another informant emphasized that she also makes budgeting every month. At the beginning of the month, she will pay for some needs according to the priority scale that she and her husband have set.</w:t>
      </w:r>
    </w:p>
    <w:p w14:paraId="2AAF748B" w14:textId="77777777" w:rsidR="00015D5B" w:rsidRPr="006E6EB3" w:rsidRDefault="00015D5B" w:rsidP="00015D5B">
      <w:pPr>
        <w:pBdr>
          <w:top w:val="nil"/>
          <w:left w:val="nil"/>
          <w:bottom w:val="nil"/>
          <w:right w:val="nil"/>
          <w:between w:val="nil"/>
        </w:pBdr>
        <w:ind w:firstLine="720"/>
        <w:jc w:val="both"/>
        <w:rPr>
          <w:rFonts w:ascii="Book Antiqua" w:eastAsia="Book Antiqua" w:hAnsi="Book Antiqua" w:cs="Book Antiqua"/>
          <w:bCs/>
        </w:rPr>
      </w:pPr>
    </w:p>
    <w:p w14:paraId="7165ACE6" w14:textId="77777777" w:rsidR="006E6EB3" w:rsidRDefault="006E6EB3" w:rsidP="00015D5B">
      <w:pPr>
        <w:pBdr>
          <w:top w:val="nil"/>
          <w:left w:val="nil"/>
          <w:bottom w:val="nil"/>
          <w:right w:val="nil"/>
          <w:between w:val="nil"/>
        </w:pBdr>
        <w:ind w:left="720"/>
        <w:jc w:val="both"/>
        <w:rPr>
          <w:rFonts w:ascii="Book Antiqua" w:eastAsia="Book Antiqua" w:hAnsi="Book Antiqua" w:cs="Book Antiqua"/>
          <w:bCs/>
          <w:i/>
          <w:iCs/>
        </w:rPr>
      </w:pPr>
      <w:r w:rsidRPr="00015D5B">
        <w:rPr>
          <w:rFonts w:ascii="Book Antiqua" w:eastAsia="Book Antiqua" w:hAnsi="Book Antiqua" w:cs="Book Antiqua"/>
          <w:bCs/>
          <w:i/>
          <w:iCs/>
        </w:rPr>
        <w:t>Paying installments, debts, daily routine bills, parent's needs, and then the rest for my family's needs. (Informant B)</w:t>
      </w:r>
    </w:p>
    <w:p w14:paraId="09D0159F" w14:textId="77777777" w:rsidR="00015D5B" w:rsidRPr="00015D5B" w:rsidRDefault="00015D5B" w:rsidP="00015D5B">
      <w:pPr>
        <w:pBdr>
          <w:top w:val="nil"/>
          <w:left w:val="nil"/>
          <w:bottom w:val="nil"/>
          <w:right w:val="nil"/>
          <w:between w:val="nil"/>
        </w:pBdr>
        <w:ind w:left="720"/>
        <w:jc w:val="both"/>
        <w:rPr>
          <w:rFonts w:ascii="Book Antiqua" w:eastAsia="Book Antiqua" w:hAnsi="Book Antiqua" w:cs="Book Antiqua"/>
          <w:bCs/>
          <w:i/>
          <w:iCs/>
        </w:rPr>
      </w:pPr>
    </w:p>
    <w:p w14:paraId="64A6DB2E" w14:textId="77777777" w:rsid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The skill to create a budget and stick to it requires a good set of self-control. Otherwise, it is very easy for individuals to follow their wants rather than their needs. Sometimes something we want will become so necessary or important even though we can ignore it. All informants agreed on the same thing, namely that environmental factors greatly influence the way an individual thinks and behaves. In this case, it is related to saving and spending behavior. As explained in the introduction, millennials are very thick with their FOMO attitude. All informants said the same thing to achieve financial well-being, they do not need to 'always' follow what is trending on social media. With this sense of FOMO, a person will be willing to spend their money on things that tend to be unimportant, which has a negative impact on one's financial condition.</w:t>
      </w:r>
    </w:p>
    <w:p w14:paraId="64BC0182" w14:textId="77777777" w:rsidR="00015D5B" w:rsidRPr="006E6EB3" w:rsidRDefault="00015D5B" w:rsidP="006E6EB3">
      <w:pPr>
        <w:pBdr>
          <w:top w:val="nil"/>
          <w:left w:val="nil"/>
          <w:bottom w:val="nil"/>
          <w:right w:val="nil"/>
          <w:between w:val="nil"/>
        </w:pBdr>
        <w:jc w:val="both"/>
        <w:rPr>
          <w:rFonts w:ascii="Book Antiqua" w:eastAsia="Book Antiqua" w:hAnsi="Book Antiqua" w:cs="Book Antiqua"/>
          <w:bCs/>
        </w:rPr>
      </w:pPr>
    </w:p>
    <w:p w14:paraId="703355A4" w14:textId="7777777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d.</w:t>
      </w:r>
      <w:r w:rsidRPr="006E6EB3">
        <w:rPr>
          <w:rFonts w:ascii="Book Antiqua" w:eastAsia="Book Antiqua" w:hAnsi="Book Antiqua" w:cs="Book Antiqua"/>
          <w:bCs/>
        </w:rPr>
        <w:tab/>
        <w:t>Financial Stress</w:t>
      </w:r>
    </w:p>
    <w:p w14:paraId="7C695DED" w14:textId="77777777" w:rsidR="006E6EB3" w:rsidRPr="006E6EB3" w:rsidRDefault="006E6EB3" w:rsidP="00015D5B">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Financial stress is when individuals experience an emergency condition where they need more money than they have. This condition is caused by a change in financial condition due to illness, accident, disaster, home foreclosure, business bankruptcy and so on (Muat &amp; Henry, 2023). There are several adverse effects if this condition of financial stress occurs, namely a decrease in performance among employees. Furthermore, this condition can adversely affect the physical and mental health of the individual (Ismail &amp; Zaki, 2019). Expected Utility Theory (EUT) states that rational individuals will make economic decisions that maximize their utility or welfare. Incomplete information will cause distortions in decision making so that they are unable to maximize their welfare. Therefore, it is very likely that someone who is experiencing financial stress has a pessimistic view of their financial future. Thus, decisions made based on uncertainty due to lack of information will limit the welfare they expect. This is commonly referred to as bounded rationality.</w:t>
      </w:r>
    </w:p>
    <w:p w14:paraId="714535EB" w14:textId="77777777" w:rsidR="006E6EB3" w:rsidRPr="006E6EB3" w:rsidRDefault="006E6EB3" w:rsidP="008C3041">
      <w:pPr>
        <w:pBdr>
          <w:top w:val="nil"/>
          <w:left w:val="nil"/>
          <w:bottom w:val="nil"/>
          <w:right w:val="nil"/>
          <w:between w:val="nil"/>
        </w:pBdr>
        <w:ind w:firstLine="720"/>
        <w:jc w:val="both"/>
        <w:rPr>
          <w:rFonts w:ascii="Book Antiqua" w:eastAsia="Book Antiqua" w:hAnsi="Book Antiqua" w:cs="Book Antiqua"/>
          <w:bCs/>
        </w:rPr>
      </w:pPr>
      <w:r w:rsidRPr="006E6EB3">
        <w:rPr>
          <w:rFonts w:ascii="Book Antiqua" w:eastAsia="Book Antiqua" w:hAnsi="Book Antiqua" w:cs="Book Antiqua"/>
          <w:bCs/>
        </w:rPr>
        <w:t>From the explanation above, it can be concluded that financial stress can have a negative influence on a person's financial well-being (Ismail &amp; Zaki, 2019; Muat &amp; Henry, 2023; Zhang &amp; Chatterjee, 2023). This is evident from the results of interviews from informants who stated that they experienced financial stress during the Covid-19 pandemic some time ago. An informant who is an entrepreneur in the field of medical devices stated that during the pandemic and the implementation of PPKM rules (Imposition of Restrictions on Community Activities) caused his monthly turnover to decrease. However, he overcame this with his other business portfolios.</w:t>
      </w:r>
    </w:p>
    <w:p w14:paraId="07327D13" w14:textId="77777777" w:rsidR="006E6EB3" w:rsidRDefault="006E6EB3" w:rsidP="008C3041">
      <w:pPr>
        <w:pBdr>
          <w:top w:val="nil"/>
          <w:left w:val="nil"/>
          <w:bottom w:val="nil"/>
          <w:right w:val="nil"/>
          <w:between w:val="nil"/>
        </w:pBdr>
        <w:ind w:left="720"/>
        <w:jc w:val="both"/>
        <w:rPr>
          <w:rFonts w:ascii="Book Antiqua" w:eastAsia="Book Antiqua" w:hAnsi="Book Antiqua" w:cs="Book Antiqua"/>
          <w:bCs/>
          <w:i/>
          <w:iCs/>
        </w:rPr>
      </w:pPr>
      <w:r w:rsidRPr="008C3041">
        <w:rPr>
          <w:rFonts w:ascii="Book Antiqua" w:eastAsia="Book Antiqua" w:hAnsi="Book Antiqua" w:cs="Book Antiqua"/>
          <w:bCs/>
          <w:i/>
          <w:iCs/>
        </w:rPr>
        <w:t>However, I see an opportunity from the covid pandemic, by selling APD (personal protective equipment) Masks, Handsanitizers, and many other medical equipment needs needed by hospitals for handling covid patients. (Informant A)</w:t>
      </w:r>
    </w:p>
    <w:p w14:paraId="74A2D208" w14:textId="77777777" w:rsidR="008C3041" w:rsidRPr="008C3041" w:rsidRDefault="008C3041" w:rsidP="008C3041">
      <w:pPr>
        <w:pBdr>
          <w:top w:val="nil"/>
          <w:left w:val="nil"/>
          <w:bottom w:val="nil"/>
          <w:right w:val="nil"/>
          <w:between w:val="nil"/>
        </w:pBdr>
        <w:ind w:left="720"/>
        <w:jc w:val="both"/>
        <w:rPr>
          <w:rFonts w:ascii="Book Antiqua" w:eastAsia="Book Antiqua" w:hAnsi="Book Antiqua" w:cs="Book Antiqua"/>
          <w:bCs/>
          <w:i/>
          <w:iCs/>
        </w:rPr>
      </w:pPr>
    </w:p>
    <w:p w14:paraId="36F4E964" w14:textId="77777777" w:rsid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In contrast to what informant B experienced, when Covid he was on leave from work to continue his education. He only gets a basic salary without benefits and often the scholarship money is unable to meet his educational needs so he uses his personal savings to cover the shortfall. A different thing was also conveyed by Informant C, who is a teacher, that when Covid-19 there were many expenses for health and protecting the family from being exposed to the virus so that he could not save enough as in previous conditions.</w:t>
      </w:r>
    </w:p>
    <w:p w14:paraId="7ED24DC4" w14:textId="77777777" w:rsidR="008C3041" w:rsidRPr="006E6EB3" w:rsidRDefault="008C3041" w:rsidP="006E6EB3">
      <w:pPr>
        <w:pBdr>
          <w:top w:val="nil"/>
          <w:left w:val="nil"/>
          <w:bottom w:val="nil"/>
          <w:right w:val="nil"/>
          <w:between w:val="nil"/>
        </w:pBdr>
        <w:jc w:val="both"/>
        <w:rPr>
          <w:rFonts w:ascii="Book Antiqua" w:eastAsia="Book Antiqua" w:hAnsi="Book Antiqua" w:cs="Book Antiqua"/>
          <w:bCs/>
        </w:rPr>
      </w:pPr>
    </w:p>
    <w:p w14:paraId="6CAA709A" w14:textId="77777777" w:rsidR="006E6EB3" w:rsidRDefault="006E6EB3" w:rsidP="008C3041">
      <w:pPr>
        <w:pBdr>
          <w:top w:val="nil"/>
          <w:left w:val="nil"/>
          <w:bottom w:val="nil"/>
          <w:right w:val="nil"/>
          <w:between w:val="nil"/>
        </w:pBdr>
        <w:ind w:left="720"/>
        <w:jc w:val="both"/>
        <w:rPr>
          <w:rFonts w:ascii="Book Antiqua" w:eastAsia="Book Antiqua" w:hAnsi="Book Antiqua" w:cs="Book Antiqua"/>
          <w:bCs/>
          <w:i/>
          <w:iCs/>
        </w:rPr>
      </w:pPr>
      <w:r w:rsidRPr="008C3041">
        <w:rPr>
          <w:rFonts w:ascii="Book Antiqua" w:eastAsia="Book Antiqua" w:hAnsi="Book Antiqua" w:cs="Book Antiqua"/>
          <w:bCs/>
          <w:i/>
          <w:iCs/>
        </w:rPr>
        <w:t>I was nervous at the beginning of every month because I had to pay the installments. But thank God, I can cover every month without having to increase my loan. I have to make sacrifices to delay pleasure and prioritize routine bills and installments. (Informant B)</w:t>
      </w:r>
    </w:p>
    <w:p w14:paraId="0970638A" w14:textId="77777777" w:rsidR="008C3041" w:rsidRPr="008C3041" w:rsidRDefault="008C3041" w:rsidP="008C3041">
      <w:pPr>
        <w:pBdr>
          <w:top w:val="nil"/>
          <w:left w:val="nil"/>
          <w:bottom w:val="nil"/>
          <w:right w:val="nil"/>
          <w:between w:val="nil"/>
        </w:pBdr>
        <w:ind w:left="720"/>
        <w:jc w:val="both"/>
        <w:rPr>
          <w:rFonts w:ascii="Book Antiqua" w:eastAsia="Book Antiqua" w:hAnsi="Book Antiqua" w:cs="Book Antiqua"/>
          <w:bCs/>
          <w:i/>
          <w:iCs/>
        </w:rPr>
      </w:pPr>
    </w:p>
    <w:p w14:paraId="596D7F0C" w14:textId="61AEA487" w:rsidR="006E6EB3" w:rsidRPr="006E6EB3" w:rsidRDefault="006E6EB3" w:rsidP="006E6EB3">
      <w:pPr>
        <w:pBdr>
          <w:top w:val="nil"/>
          <w:left w:val="nil"/>
          <w:bottom w:val="nil"/>
          <w:right w:val="nil"/>
          <w:between w:val="nil"/>
        </w:pBdr>
        <w:jc w:val="both"/>
        <w:rPr>
          <w:rFonts w:ascii="Book Antiqua" w:eastAsia="Book Antiqua" w:hAnsi="Book Antiqua" w:cs="Book Antiqua"/>
          <w:bCs/>
        </w:rPr>
      </w:pPr>
      <w:r w:rsidRPr="006E6EB3">
        <w:rPr>
          <w:rFonts w:ascii="Book Antiqua" w:eastAsia="Book Antiqua" w:hAnsi="Book Antiqua" w:cs="Book Antiqua"/>
          <w:bCs/>
        </w:rPr>
        <w:t>The concerns felt by most people (not only informants) during the Covid-19 pandemic yesterday are valid. In Indonesia itself, the Covid-19 pandemic has increased economic uncertainty tremendously. The uncertainty that occurs due to the Covid-19 pandemic occurs in various aspects, from income cuts to layoffs, so that people generally respond to this issue by being selective in the use of money. This then causes a decrease in demand for goods and services, which also has a negative impact on the profits of goods and services companies. Based on the results of the interviews above, informants experienced similar impacts of the pandemic, namely income cuts and decreased business turnover. This certainly has an impact on the view of financial well-being, which is no longer the same as before the COVID-19 pandemic. They are focusing on healthy living and setting aside money for savings because they do not know when the pandemic will end. With this uncertainty, savings and investments become one of the saviors if something bad happens.</w:t>
      </w:r>
    </w:p>
    <w:p w14:paraId="5D85C489" w14:textId="77777777" w:rsidR="006E6EB3" w:rsidRDefault="006E6EB3" w:rsidP="006E6EB3">
      <w:pPr>
        <w:pBdr>
          <w:top w:val="nil"/>
          <w:left w:val="nil"/>
          <w:bottom w:val="nil"/>
          <w:right w:val="nil"/>
          <w:between w:val="nil"/>
        </w:pBdr>
        <w:ind w:left="270"/>
        <w:jc w:val="both"/>
        <w:rPr>
          <w:rFonts w:ascii="Book Antiqua" w:eastAsia="Book Antiqua" w:hAnsi="Book Antiqua" w:cs="Book Antiqua"/>
          <w:color w:val="4472C4"/>
        </w:rPr>
      </w:pPr>
    </w:p>
    <w:p w14:paraId="31419BA8" w14:textId="77777777" w:rsidR="008C3041" w:rsidRPr="008C3041" w:rsidRDefault="00000000" w:rsidP="008C3041">
      <w:pPr>
        <w:numPr>
          <w:ilvl w:val="0"/>
          <w:numId w:val="1"/>
        </w:numPr>
        <w:ind w:left="270" w:hanging="270"/>
        <w:rPr>
          <w:rFonts w:ascii="Book Antiqua" w:eastAsia="Book Antiqua" w:hAnsi="Book Antiqua" w:cs="Book Antiqua"/>
          <w:b/>
          <w:color w:val="000000"/>
        </w:rPr>
      </w:pPr>
      <w:r>
        <w:rPr>
          <w:rFonts w:ascii="Book Antiqua" w:eastAsia="Book Antiqua" w:hAnsi="Book Antiqua" w:cs="Book Antiqua"/>
          <w:b/>
        </w:rPr>
        <w:t xml:space="preserve">Conclusions </w:t>
      </w:r>
      <w:bookmarkStart w:id="24" w:name="bookmark=id.3fwokq0" w:colFirst="0" w:colLast="0"/>
      <w:bookmarkEnd w:id="24"/>
    </w:p>
    <w:p w14:paraId="5AE8BF4F" w14:textId="77777777" w:rsidR="008C3041" w:rsidRDefault="008C3041" w:rsidP="008C3041">
      <w:pPr>
        <w:ind w:left="270"/>
        <w:rPr>
          <w:rFonts w:ascii="Book Antiqua" w:eastAsia="Book Antiqua" w:hAnsi="Book Antiqua" w:cs="Book Antiqua"/>
          <w:b/>
        </w:rPr>
      </w:pPr>
    </w:p>
    <w:p w14:paraId="5381AC3C" w14:textId="146BE82E" w:rsidR="008C3041" w:rsidRPr="00825CBD" w:rsidRDefault="00825CBD" w:rsidP="002F0FA7">
      <w:pPr>
        <w:ind w:firstLine="720"/>
        <w:jc w:val="both"/>
        <w:rPr>
          <w:rFonts w:ascii="Book Antiqua" w:eastAsia="Book Antiqua" w:hAnsi="Book Antiqua" w:cs="Book Antiqua"/>
          <w:bCs/>
        </w:rPr>
      </w:pPr>
      <w:r w:rsidRPr="00825CBD">
        <w:rPr>
          <w:rFonts w:ascii="Book Antiqua" w:eastAsia="Book Antiqua" w:hAnsi="Book Antiqua" w:cs="Book Antiqua"/>
          <w:bCs/>
        </w:rPr>
        <w:t>The millennial generation has unique characteristics compared to previous generations who are more open and cannot be separated from gadgets. This makes them have heavier social demands to continue to show consistency in the world of social media. FOMO is a trait that will have a more or less impact on the financial lives of this generation. This research uses a subjective approach to explore Gen Y's views on the concept of financial well-being. The research results show that financial well-being is not only able to meet daily needs but tertiary needs such as traveling or vacations are also included. Gen Y feels that if they are able to set aside money and invest in the assets they choose, such as deposits, mutual funds and so on, then they feel they have reached the prosperous stage. They argue that investment must be done with cold money and not money that is used for everyday use. Informants in this research stated that achieving financial prosperity can be done by understanding financial concepts well (increasing financial literacy), refraining from always following their desires and prioritizing their needs and resilience when experiencing financial stress. This research has limitations in the interview process with informants who are more diverse in terms of culture and religion. It is hoped that further research will be able to explore more deeply financial well-being from the perspective of various ages, cultures and religions.</w:t>
      </w:r>
    </w:p>
    <w:p w14:paraId="53AA44C7" w14:textId="77777777" w:rsidR="008C3041" w:rsidRDefault="008C3041" w:rsidP="008C3041">
      <w:pPr>
        <w:ind w:left="270"/>
        <w:rPr>
          <w:rFonts w:ascii="Book Antiqua" w:eastAsia="Book Antiqua" w:hAnsi="Book Antiqua" w:cs="Book Antiqua"/>
          <w:b/>
        </w:rPr>
      </w:pPr>
    </w:p>
    <w:p w14:paraId="5CB40F80" w14:textId="1AF01CD3" w:rsidR="008825D4" w:rsidRDefault="00000000" w:rsidP="008C3041">
      <w:pPr>
        <w:numPr>
          <w:ilvl w:val="0"/>
          <w:numId w:val="1"/>
        </w:numPr>
        <w:ind w:left="270" w:hanging="270"/>
        <w:rPr>
          <w:rFonts w:ascii="Book Antiqua" w:eastAsia="Book Antiqua" w:hAnsi="Book Antiqua" w:cs="Book Antiqua"/>
          <w:b/>
          <w:color w:val="000000"/>
        </w:rPr>
      </w:pPr>
      <w:r>
        <w:rPr>
          <w:rFonts w:ascii="Book Antiqua" w:eastAsia="Book Antiqua" w:hAnsi="Book Antiqua" w:cs="Book Antiqua"/>
          <w:b/>
          <w:color w:val="000000"/>
        </w:rPr>
        <w:t xml:space="preserve">References </w:t>
      </w:r>
    </w:p>
    <w:p w14:paraId="208AA857" w14:textId="77777777" w:rsidR="008825D4" w:rsidRDefault="008825D4">
      <w:pPr>
        <w:pBdr>
          <w:top w:val="nil"/>
          <w:left w:val="nil"/>
          <w:bottom w:val="nil"/>
          <w:right w:val="nil"/>
          <w:between w:val="nil"/>
        </w:pBdr>
        <w:jc w:val="both"/>
        <w:rPr>
          <w:rFonts w:ascii="Book Antiqua" w:eastAsia="Book Antiqua" w:hAnsi="Book Antiqua" w:cs="Book Antiqua"/>
          <w:color w:val="000000"/>
        </w:rPr>
      </w:pPr>
    </w:p>
    <w:p w14:paraId="1D16AE10"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
          <w:bCs/>
          <w:lang w:val="en-ID"/>
        </w:rPr>
        <w:fldChar w:fldCharType="begin" w:fldLock="1"/>
      </w:r>
      <w:r w:rsidRPr="00825CBD">
        <w:rPr>
          <w:rFonts w:ascii="Book Antiqua" w:hAnsi="Book Antiqua"/>
          <w:b/>
          <w:bCs/>
          <w:lang w:val="en-ID"/>
        </w:rPr>
        <w:instrText xml:space="preserve">ADDIN Mendeley Bibliography CSL_BIBLIOGRAPHY </w:instrText>
      </w:r>
      <w:r w:rsidRPr="00825CBD">
        <w:rPr>
          <w:rFonts w:ascii="Book Antiqua" w:hAnsi="Book Antiqua"/>
          <w:b/>
          <w:bCs/>
          <w:lang w:val="en-ID"/>
        </w:rPr>
        <w:fldChar w:fldCharType="separate"/>
      </w:r>
      <w:r w:rsidRPr="00825CBD">
        <w:rPr>
          <w:rFonts w:ascii="Book Antiqua" w:hAnsi="Book Antiqua"/>
          <w:bCs/>
          <w:lang w:val="en-ID"/>
        </w:rPr>
        <w:t xml:space="preserve">Bilal, M., &amp; Zulfiqar, M. (2016). Financial Wellbeing is the Goal of Financial Literacy. </w:t>
      </w:r>
      <w:r w:rsidRPr="00825CBD">
        <w:rPr>
          <w:rFonts w:ascii="Book Antiqua" w:hAnsi="Book Antiqua"/>
          <w:bCs/>
          <w:i/>
          <w:iCs/>
          <w:lang w:val="en-ID"/>
        </w:rPr>
        <w:t>Research Journal of Finance and Accounting</w:t>
      </w:r>
      <w:r w:rsidRPr="00825CBD">
        <w:rPr>
          <w:rFonts w:ascii="Book Antiqua" w:hAnsi="Book Antiqua"/>
          <w:bCs/>
          <w:lang w:val="en-ID"/>
        </w:rPr>
        <w:t xml:space="preserve">, </w:t>
      </w:r>
      <w:r w:rsidRPr="00825CBD">
        <w:rPr>
          <w:rFonts w:ascii="Book Antiqua" w:hAnsi="Book Antiqua"/>
          <w:bCs/>
          <w:i/>
          <w:iCs/>
          <w:lang w:val="en-ID"/>
        </w:rPr>
        <w:t>7</w:t>
      </w:r>
      <w:r w:rsidRPr="00825CBD">
        <w:rPr>
          <w:rFonts w:ascii="Book Antiqua" w:hAnsi="Book Antiqua"/>
          <w:bCs/>
          <w:lang w:val="en-ID"/>
        </w:rPr>
        <w:t>(11), 94–103.</w:t>
      </w:r>
    </w:p>
    <w:p w14:paraId="0A2051EA"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Brüggen, E. C., Hogreve, J., Holmlund, M., Kabadayi, S., &amp; Löfgren, M. (2017). Financial well-being: A conceptualization and research agenda. </w:t>
      </w:r>
      <w:r w:rsidRPr="00825CBD">
        <w:rPr>
          <w:rFonts w:ascii="Book Antiqua" w:hAnsi="Book Antiqua"/>
          <w:bCs/>
          <w:i/>
          <w:iCs/>
          <w:lang w:val="en-ID"/>
        </w:rPr>
        <w:t>Journal of Business Research</w:t>
      </w:r>
      <w:r w:rsidRPr="00825CBD">
        <w:rPr>
          <w:rFonts w:ascii="Book Antiqua" w:hAnsi="Book Antiqua"/>
          <w:bCs/>
          <w:lang w:val="en-ID"/>
        </w:rPr>
        <w:t xml:space="preserve">, </w:t>
      </w:r>
      <w:r w:rsidRPr="00825CBD">
        <w:rPr>
          <w:rFonts w:ascii="Book Antiqua" w:hAnsi="Book Antiqua"/>
          <w:bCs/>
          <w:i/>
          <w:iCs/>
          <w:lang w:val="en-ID"/>
        </w:rPr>
        <w:t>79</w:t>
      </w:r>
      <w:r w:rsidRPr="00825CBD">
        <w:rPr>
          <w:rFonts w:ascii="Book Antiqua" w:hAnsi="Book Antiqua"/>
          <w:bCs/>
          <w:lang w:val="en-ID"/>
        </w:rPr>
        <w:t>, 228–237. https://doi.org/10.1016/j.jbusres.2017.03.013</w:t>
      </w:r>
    </w:p>
    <w:p w14:paraId="14F33708"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Herdjiono, I., Siswantoyo, S., Sukiyono, K., Nggaruaka, T., Rahman, A., Awotkay, A. S., &amp; Arruanlola, M. (2011). Effect of Financial Behavior , Childhood Consumer Experience , And Financial Wellness on Financial Well-Being. </w:t>
      </w:r>
      <w:r w:rsidRPr="00825CBD">
        <w:rPr>
          <w:rFonts w:ascii="Book Antiqua" w:hAnsi="Book Antiqua"/>
          <w:bCs/>
          <w:i/>
          <w:iCs/>
          <w:lang w:val="en-ID"/>
        </w:rPr>
        <w:t>Management: Journal of Sustainable Business and Management Solutions in Emerging Economies</w:t>
      </w:r>
      <w:r w:rsidRPr="00825CBD">
        <w:rPr>
          <w:rFonts w:ascii="Book Antiqua" w:hAnsi="Book Antiqua"/>
          <w:bCs/>
          <w:lang w:val="en-ID"/>
        </w:rPr>
        <w:t>, 1–16. https://doi.org/10.7595/management.fon.2023.0010</w:t>
      </w:r>
    </w:p>
    <w:p w14:paraId="5192EA26"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Ilyas, M., &amp; Djawahir, A. H. (2021). The effect of financial knowledge and financial well-being on investment intention mediated by financial attitude: A study on millennial generation and Gen Z in Malang …. </w:t>
      </w:r>
      <w:r w:rsidRPr="00825CBD">
        <w:rPr>
          <w:rFonts w:ascii="Book Antiqua" w:hAnsi="Book Antiqua"/>
          <w:bCs/>
          <w:i/>
          <w:iCs/>
          <w:lang w:val="en-ID"/>
        </w:rPr>
        <w:t>International Journal of Research in Business …</w:t>
      </w:r>
      <w:r w:rsidRPr="00825CBD">
        <w:rPr>
          <w:rFonts w:ascii="Book Antiqua" w:hAnsi="Book Antiqua"/>
          <w:bCs/>
          <w:lang w:val="en-ID"/>
        </w:rPr>
        <w:t xml:space="preserve">, </w:t>
      </w:r>
      <w:r w:rsidRPr="00825CBD">
        <w:rPr>
          <w:rFonts w:ascii="Book Antiqua" w:hAnsi="Book Antiqua"/>
          <w:bCs/>
          <w:i/>
          <w:iCs/>
          <w:lang w:val="en-ID"/>
        </w:rPr>
        <w:t>10</w:t>
      </w:r>
      <w:r w:rsidRPr="00825CBD">
        <w:rPr>
          <w:rFonts w:ascii="Book Antiqua" w:hAnsi="Book Antiqua"/>
          <w:bCs/>
          <w:lang w:val="en-ID"/>
        </w:rPr>
        <w:t>(8), 175–188. http://www.ssbfnet.com/ojs/index.php/ijrbs/article/view/1530</w:t>
      </w:r>
    </w:p>
    <w:p w14:paraId="0C2D8F25"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Ismail, N., &amp; Zaki, A. N. D. (2019). Does Financial Literacy and Financial Stress Effect the Financial Wellness? </w:t>
      </w:r>
      <w:r w:rsidRPr="00825CBD">
        <w:rPr>
          <w:rFonts w:ascii="Book Antiqua" w:hAnsi="Book Antiqua"/>
          <w:bCs/>
          <w:i/>
          <w:iCs/>
          <w:lang w:val="en-ID"/>
        </w:rPr>
        <w:t>International Journal of Modern Trends in Social Sciences</w:t>
      </w:r>
      <w:r w:rsidRPr="00825CBD">
        <w:rPr>
          <w:rFonts w:ascii="Book Antiqua" w:hAnsi="Book Antiqua"/>
          <w:bCs/>
          <w:lang w:val="en-ID"/>
        </w:rPr>
        <w:t xml:space="preserve">, </w:t>
      </w:r>
      <w:r w:rsidRPr="00825CBD">
        <w:rPr>
          <w:rFonts w:ascii="Book Antiqua" w:hAnsi="Book Antiqua"/>
          <w:bCs/>
          <w:i/>
          <w:iCs/>
          <w:lang w:val="en-ID"/>
        </w:rPr>
        <w:t>July 2019</w:t>
      </w:r>
      <w:r w:rsidRPr="00825CBD">
        <w:rPr>
          <w:rFonts w:ascii="Book Antiqua" w:hAnsi="Book Antiqua"/>
          <w:bCs/>
          <w:lang w:val="en-ID"/>
        </w:rPr>
        <w:t>, 1–11. https://doi.org/10.35631/ijmtss.28001</w:t>
      </w:r>
    </w:p>
    <w:p w14:paraId="4AD94207"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Junça Silva, A., &amp; Dias, R. (2023). The role of financial status, attitudes, behaviours and knowledge for overall well-being in Portugal: the mediating role of financial well-being. </w:t>
      </w:r>
      <w:r w:rsidRPr="00825CBD">
        <w:rPr>
          <w:rFonts w:ascii="Book Antiqua" w:hAnsi="Book Antiqua"/>
          <w:bCs/>
          <w:i/>
          <w:iCs/>
          <w:lang w:val="en-ID"/>
        </w:rPr>
        <w:t>International Journal of Organizational Analysis</w:t>
      </w:r>
      <w:r w:rsidRPr="00825CBD">
        <w:rPr>
          <w:rFonts w:ascii="Book Antiqua" w:hAnsi="Book Antiqua"/>
          <w:bCs/>
          <w:lang w:val="en-ID"/>
        </w:rPr>
        <w:t xml:space="preserve">, </w:t>
      </w:r>
      <w:r w:rsidRPr="00825CBD">
        <w:rPr>
          <w:rFonts w:ascii="Book Antiqua" w:hAnsi="Book Antiqua"/>
          <w:bCs/>
          <w:i/>
          <w:iCs/>
          <w:lang w:val="en-ID"/>
        </w:rPr>
        <w:t>January</w:t>
      </w:r>
      <w:r w:rsidRPr="00825CBD">
        <w:rPr>
          <w:rFonts w:ascii="Book Antiqua" w:hAnsi="Book Antiqua"/>
          <w:bCs/>
          <w:lang w:val="en-ID"/>
        </w:rPr>
        <w:t>. https://doi.org/10.1108/IJOA-08-2022-3385</w:t>
      </w:r>
    </w:p>
    <w:p w14:paraId="0BC6DA3E"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Muat, S., &amp; Henry, K. (2023). Lecturers’ financial wellness: The role of religiosity, financial literacy, behavior, and stress with gender as the moderating variable. </w:t>
      </w:r>
      <w:r w:rsidRPr="00825CBD">
        <w:rPr>
          <w:rFonts w:ascii="Book Antiqua" w:hAnsi="Book Antiqua"/>
          <w:bCs/>
          <w:i/>
          <w:iCs/>
          <w:lang w:val="en-ID"/>
        </w:rPr>
        <w:t>Journal of Accounting and Investment</w:t>
      </w:r>
      <w:r w:rsidRPr="00825CBD">
        <w:rPr>
          <w:rFonts w:ascii="Book Antiqua" w:hAnsi="Book Antiqua"/>
          <w:bCs/>
          <w:lang w:val="en-ID"/>
        </w:rPr>
        <w:t xml:space="preserve">, </w:t>
      </w:r>
      <w:r w:rsidRPr="00825CBD">
        <w:rPr>
          <w:rFonts w:ascii="Book Antiqua" w:hAnsi="Book Antiqua"/>
          <w:bCs/>
          <w:i/>
          <w:iCs/>
          <w:lang w:val="en-ID"/>
        </w:rPr>
        <w:t>24</w:t>
      </w:r>
      <w:r w:rsidRPr="00825CBD">
        <w:rPr>
          <w:rFonts w:ascii="Book Antiqua" w:hAnsi="Book Antiqua"/>
          <w:bCs/>
          <w:lang w:val="en-ID"/>
        </w:rPr>
        <w:t>(2), 427–449. https://doi.org/10.18196/jai.v24i2.17428</w:t>
      </w:r>
    </w:p>
    <w:p w14:paraId="66AF2BE0"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Rea, J. K., Danes, S. M., Serido, J., Borden, L. M., &amp; Shim, S. (2019). “Being Able to Support Yourself”: Young Adults’ Meaning of Financial Well-Being Through Family Financial Socialization. </w:t>
      </w:r>
      <w:r w:rsidRPr="00825CBD">
        <w:rPr>
          <w:rFonts w:ascii="Book Antiqua" w:hAnsi="Book Antiqua"/>
          <w:bCs/>
          <w:i/>
          <w:iCs/>
          <w:lang w:val="en-ID"/>
        </w:rPr>
        <w:t>Journal of Family and Economic Issues</w:t>
      </w:r>
      <w:r w:rsidRPr="00825CBD">
        <w:rPr>
          <w:rFonts w:ascii="Book Antiqua" w:hAnsi="Book Antiqua"/>
          <w:bCs/>
          <w:lang w:val="en-ID"/>
        </w:rPr>
        <w:t xml:space="preserve">, </w:t>
      </w:r>
      <w:r w:rsidRPr="00825CBD">
        <w:rPr>
          <w:rFonts w:ascii="Book Antiqua" w:hAnsi="Book Antiqua"/>
          <w:bCs/>
          <w:i/>
          <w:iCs/>
          <w:lang w:val="en-ID"/>
        </w:rPr>
        <w:t>40</w:t>
      </w:r>
      <w:r w:rsidRPr="00825CBD">
        <w:rPr>
          <w:rFonts w:ascii="Book Antiqua" w:hAnsi="Book Antiqua"/>
          <w:bCs/>
          <w:lang w:val="en-ID"/>
        </w:rPr>
        <w:t>(2), 250–268. https://doi.org/10.1007/s10834-018-9602-7</w:t>
      </w:r>
    </w:p>
    <w:p w14:paraId="693328C8"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Riitsalu, L., Atkinson, A., &amp; Pello, R. (2023). The bottlenecks in making sense of financial well-being. </w:t>
      </w:r>
      <w:r w:rsidRPr="00825CBD">
        <w:rPr>
          <w:rFonts w:ascii="Book Antiqua" w:hAnsi="Book Antiqua"/>
          <w:bCs/>
          <w:i/>
          <w:iCs/>
          <w:lang w:val="en-ID"/>
        </w:rPr>
        <w:t>International Journal of Social Economics</w:t>
      </w:r>
      <w:r w:rsidRPr="00825CBD">
        <w:rPr>
          <w:rFonts w:ascii="Book Antiqua" w:hAnsi="Book Antiqua"/>
          <w:bCs/>
          <w:lang w:val="en-ID"/>
        </w:rPr>
        <w:t>. https://doi.org/10.1108/IJSE-11-2022-0741</w:t>
      </w:r>
    </w:p>
    <w:p w14:paraId="6AB07CE3"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Riitsalu, L., Sulg, R., Lindal, H., Remmik, M., &amp; Vain, K. (2023). From Security to Freedom— The Meaning of Financial Well-being Changes with Age. </w:t>
      </w:r>
      <w:r w:rsidRPr="00825CBD">
        <w:rPr>
          <w:rFonts w:ascii="Book Antiqua" w:hAnsi="Book Antiqua"/>
          <w:bCs/>
          <w:i/>
          <w:iCs/>
          <w:lang w:val="en-ID"/>
        </w:rPr>
        <w:t>Journal of Family and Economic Issues</w:t>
      </w:r>
      <w:r w:rsidRPr="00825CBD">
        <w:rPr>
          <w:rFonts w:ascii="Book Antiqua" w:hAnsi="Book Antiqua"/>
          <w:bCs/>
          <w:lang w:val="en-ID"/>
        </w:rPr>
        <w:t>. https://doi.org/10.1007/s10834-023-09886-z</w:t>
      </w:r>
    </w:p>
    <w:p w14:paraId="0FB3F074"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Riitsalu, L., &amp; van Raaij, W. F. (2022). Current and Future Financial Well-Being in 16 Countries. </w:t>
      </w:r>
      <w:r w:rsidRPr="00825CBD">
        <w:rPr>
          <w:rFonts w:ascii="Book Antiqua" w:hAnsi="Book Antiqua"/>
          <w:bCs/>
          <w:i/>
          <w:iCs/>
          <w:lang w:val="en-ID"/>
        </w:rPr>
        <w:t>Journal of International Marketing</w:t>
      </w:r>
      <w:r w:rsidRPr="00825CBD">
        <w:rPr>
          <w:rFonts w:ascii="Book Antiqua" w:hAnsi="Book Antiqua"/>
          <w:bCs/>
          <w:lang w:val="en-ID"/>
        </w:rPr>
        <w:t xml:space="preserve">, </w:t>
      </w:r>
      <w:r w:rsidRPr="00825CBD">
        <w:rPr>
          <w:rFonts w:ascii="Book Antiqua" w:hAnsi="Book Antiqua"/>
          <w:bCs/>
          <w:i/>
          <w:iCs/>
          <w:lang w:val="en-ID"/>
        </w:rPr>
        <w:t>30</w:t>
      </w:r>
      <w:r w:rsidRPr="00825CBD">
        <w:rPr>
          <w:rFonts w:ascii="Book Antiqua" w:hAnsi="Book Antiqua"/>
          <w:bCs/>
          <w:lang w:val="en-ID"/>
        </w:rPr>
        <w:t>(3), 35–56. https://doi.org/10.1177/1069031X221095076</w:t>
      </w:r>
    </w:p>
    <w:p w14:paraId="051C3968"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Shim, S., Xiao, J. J., Barber, B. L., &amp; Lyons, A. C. (2009). Pathways to life success: A conceptual model of financial well-being for young adults. </w:t>
      </w:r>
      <w:r w:rsidRPr="00825CBD">
        <w:rPr>
          <w:rFonts w:ascii="Book Antiqua" w:hAnsi="Book Antiqua"/>
          <w:bCs/>
          <w:i/>
          <w:iCs/>
          <w:lang w:val="en-ID"/>
        </w:rPr>
        <w:t>Journal of Applied Developmental Psychology</w:t>
      </w:r>
      <w:r w:rsidRPr="00825CBD">
        <w:rPr>
          <w:rFonts w:ascii="Book Antiqua" w:hAnsi="Book Antiqua"/>
          <w:bCs/>
          <w:lang w:val="en-ID"/>
        </w:rPr>
        <w:t xml:space="preserve">, </w:t>
      </w:r>
      <w:r w:rsidRPr="00825CBD">
        <w:rPr>
          <w:rFonts w:ascii="Book Antiqua" w:hAnsi="Book Antiqua"/>
          <w:bCs/>
          <w:i/>
          <w:iCs/>
          <w:lang w:val="en-ID"/>
        </w:rPr>
        <w:t>30</w:t>
      </w:r>
      <w:r w:rsidRPr="00825CBD">
        <w:rPr>
          <w:rFonts w:ascii="Book Antiqua" w:hAnsi="Book Antiqua"/>
          <w:bCs/>
          <w:lang w:val="en-ID"/>
        </w:rPr>
        <w:t>(6), 708–723. https://doi.org/10.1016/j.appdev.2009.02.003</w:t>
      </w:r>
    </w:p>
    <w:p w14:paraId="26D30527"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Strömbäck, C., Lind, T., Skagerlund, K., Västfjäll, D., &amp; Tinghög, G. (2017). Does self-control predict financial behavior and financial well-being? </w:t>
      </w:r>
      <w:r w:rsidRPr="00825CBD">
        <w:rPr>
          <w:rFonts w:ascii="Book Antiqua" w:hAnsi="Book Antiqua"/>
          <w:bCs/>
          <w:i/>
          <w:iCs/>
          <w:lang w:val="en-ID"/>
        </w:rPr>
        <w:t>Journal of Behavioral and Experimental Finance</w:t>
      </w:r>
      <w:r w:rsidRPr="00825CBD">
        <w:rPr>
          <w:rFonts w:ascii="Book Antiqua" w:hAnsi="Book Antiqua"/>
          <w:bCs/>
          <w:lang w:val="en-ID"/>
        </w:rPr>
        <w:t xml:space="preserve">, </w:t>
      </w:r>
      <w:r w:rsidRPr="00825CBD">
        <w:rPr>
          <w:rFonts w:ascii="Book Antiqua" w:hAnsi="Book Antiqua"/>
          <w:bCs/>
          <w:i/>
          <w:iCs/>
          <w:lang w:val="en-ID"/>
        </w:rPr>
        <w:t>14</w:t>
      </w:r>
      <w:r w:rsidRPr="00825CBD">
        <w:rPr>
          <w:rFonts w:ascii="Book Antiqua" w:hAnsi="Book Antiqua"/>
          <w:bCs/>
          <w:lang w:val="en-ID"/>
        </w:rPr>
        <w:t>, 30–38. https://doi.org/10.1016/j.jbef.2017.04.002</w:t>
      </w:r>
    </w:p>
    <w:p w14:paraId="08796FC1"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Xiao. (2008). Applying Behavior Theories to Financial Behavior Applying Behavior Theories to Financial. </w:t>
      </w:r>
      <w:r w:rsidRPr="00825CBD">
        <w:rPr>
          <w:rFonts w:ascii="Book Antiqua" w:hAnsi="Book Antiqua"/>
          <w:bCs/>
          <w:i/>
          <w:iCs/>
          <w:lang w:val="en-ID"/>
        </w:rPr>
        <w:t>Handbook of Consumer Finance Research</w:t>
      </w:r>
      <w:r w:rsidRPr="00825CBD">
        <w:rPr>
          <w:rFonts w:ascii="Book Antiqua" w:hAnsi="Book Antiqua"/>
          <w:bCs/>
          <w:lang w:val="en-ID"/>
        </w:rPr>
        <w:t xml:space="preserve">, </w:t>
      </w:r>
      <w:r w:rsidRPr="00825CBD">
        <w:rPr>
          <w:rFonts w:ascii="Book Antiqua" w:hAnsi="Book Antiqua"/>
          <w:bCs/>
          <w:i/>
          <w:iCs/>
          <w:lang w:val="en-ID"/>
        </w:rPr>
        <w:t>Chapter 5</w:t>
      </w:r>
      <w:r w:rsidRPr="00825CBD">
        <w:rPr>
          <w:rFonts w:ascii="Book Antiqua" w:hAnsi="Book Antiqua"/>
          <w:bCs/>
          <w:lang w:val="en-ID"/>
        </w:rPr>
        <w:t>, 69–81.</w:t>
      </w:r>
    </w:p>
    <w:p w14:paraId="35C0F6A3"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Xiao, J. J., &amp; Porto, N. (2017). Financial education and financial satisfaction: Financial literacy, behavior, and capability as mediators. </w:t>
      </w:r>
      <w:r w:rsidRPr="00825CBD">
        <w:rPr>
          <w:rFonts w:ascii="Book Antiqua" w:hAnsi="Book Antiqua"/>
          <w:bCs/>
          <w:i/>
          <w:iCs/>
          <w:lang w:val="en-ID"/>
        </w:rPr>
        <w:t>International Journal of Bank Marketing</w:t>
      </w:r>
      <w:r w:rsidRPr="00825CBD">
        <w:rPr>
          <w:rFonts w:ascii="Book Antiqua" w:hAnsi="Book Antiqua"/>
          <w:bCs/>
          <w:lang w:val="en-ID"/>
        </w:rPr>
        <w:t xml:space="preserve">, </w:t>
      </w:r>
      <w:r w:rsidRPr="00825CBD">
        <w:rPr>
          <w:rFonts w:ascii="Book Antiqua" w:hAnsi="Book Antiqua"/>
          <w:bCs/>
          <w:i/>
          <w:iCs/>
          <w:lang w:val="en-ID"/>
        </w:rPr>
        <w:t>35</w:t>
      </w:r>
      <w:r w:rsidRPr="00825CBD">
        <w:rPr>
          <w:rFonts w:ascii="Book Antiqua" w:hAnsi="Book Antiqua"/>
          <w:bCs/>
          <w:lang w:val="en-ID"/>
        </w:rPr>
        <w:t>(5), 805–817. https://doi.org/10.1108/IJBM-01-2016-0009</w:t>
      </w:r>
    </w:p>
    <w:p w14:paraId="46C2958B"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lang w:val="en-ID"/>
        </w:rPr>
        <w:t xml:space="preserve">Zhang, Y., &amp; Chatterjee, S. (2023). Financial Well-Being in the United States: The Roles of Financial Literacy and Financial Stress. </w:t>
      </w:r>
      <w:r w:rsidRPr="00825CBD">
        <w:rPr>
          <w:rFonts w:ascii="Book Antiqua" w:hAnsi="Book Antiqua"/>
          <w:bCs/>
          <w:i/>
          <w:iCs/>
          <w:lang w:val="en-ID"/>
        </w:rPr>
        <w:t>Sustainability (Switzerland)</w:t>
      </w:r>
      <w:r w:rsidRPr="00825CBD">
        <w:rPr>
          <w:rFonts w:ascii="Book Antiqua" w:hAnsi="Book Antiqua"/>
          <w:bCs/>
          <w:lang w:val="en-ID"/>
        </w:rPr>
        <w:t xml:space="preserve">, </w:t>
      </w:r>
      <w:r w:rsidRPr="00825CBD">
        <w:rPr>
          <w:rFonts w:ascii="Book Antiqua" w:hAnsi="Book Antiqua"/>
          <w:bCs/>
          <w:i/>
          <w:iCs/>
          <w:lang w:val="en-ID"/>
        </w:rPr>
        <w:t>15</w:t>
      </w:r>
      <w:r w:rsidRPr="00825CBD">
        <w:rPr>
          <w:rFonts w:ascii="Book Antiqua" w:hAnsi="Book Antiqua"/>
          <w:bCs/>
          <w:lang w:val="en-ID"/>
        </w:rPr>
        <w:t>(5). https://doi.org/10.3390/su15054505</w:t>
      </w:r>
    </w:p>
    <w:p w14:paraId="31EFD688" w14:textId="77777777" w:rsidR="00825CBD" w:rsidRPr="00825CBD" w:rsidRDefault="00825CBD" w:rsidP="00825CBD">
      <w:pPr>
        <w:spacing w:line="23" w:lineRule="atLeast"/>
        <w:ind w:left="851" w:hanging="851"/>
        <w:jc w:val="both"/>
        <w:rPr>
          <w:rFonts w:ascii="Book Antiqua" w:hAnsi="Book Antiqua"/>
          <w:bCs/>
          <w:lang w:val="en-ID"/>
        </w:rPr>
      </w:pPr>
      <w:r w:rsidRPr="00825CBD">
        <w:rPr>
          <w:rFonts w:ascii="Book Antiqua" w:hAnsi="Book Antiqua"/>
          <w:bCs/>
        </w:rPr>
        <w:fldChar w:fldCharType="end"/>
      </w:r>
      <w:r w:rsidRPr="00825CBD">
        <w:rPr>
          <w:rFonts w:ascii="Book Antiqua" w:hAnsi="Book Antiqua"/>
          <w:bCs/>
          <w:lang w:val="en-ID"/>
        </w:rPr>
        <w:t>Mayoritas pengguna internet di Indonesia berasal dari kelompok usia pekerja. (2023, September 6). Databoks. Retrieved November 8, 2023, from https://databoks.katadata.co.id/datapublish/2023/09/06/mayoritas-pengguna-internet-di-indonesia-berasal-dari-kelompok-usia-pekerja</w:t>
      </w:r>
    </w:p>
    <w:p w14:paraId="774452C7" w14:textId="77777777" w:rsidR="008825D4" w:rsidRDefault="008825D4"/>
    <w:p w14:paraId="13288B0A" w14:textId="77777777" w:rsidR="008825D4" w:rsidRDefault="00000000">
      <w:pPr>
        <w:rPr>
          <w:b/>
        </w:rPr>
      </w:pPr>
      <w:r>
        <w:rPr>
          <w:b/>
        </w:rPr>
        <w:t>NOTE:</w:t>
      </w:r>
    </w:p>
    <w:p w14:paraId="156AC418" w14:textId="77777777" w:rsidR="008825D4" w:rsidRDefault="00000000">
      <w:pPr>
        <w:jc w:val="both"/>
        <w:rPr>
          <w:rFonts w:ascii="Book Antiqua" w:eastAsia="Book Antiqua" w:hAnsi="Book Antiqua" w:cs="Book Antiqua"/>
        </w:rPr>
      </w:pPr>
      <w:r>
        <w:rPr>
          <w:rFonts w:ascii="Book Antiqua" w:eastAsia="Book Antiqua" w:hAnsi="Book Antiqua" w:cs="Book Antiqua"/>
          <w:b/>
          <w:noProof/>
        </w:rPr>
        <mc:AlternateContent>
          <mc:Choice Requires="wps">
            <w:drawing>
              <wp:inline distT="0" distB="0" distL="0" distR="0" wp14:anchorId="5107C6CF" wp14:editId="3262E41E">
                <wp:extent cx="5476875" cy="2529251"/>
                <wp:effectExtent l="0" t="0" r="0" b="0"/>
                <wp:docPr id="13" name="Rectangle 13"/>
                <wp:cNvGraphicFramePr/>
                <a:graphic xmlns:a="http://schemas.openxmlformats.org/drawingml/2006/main">
                  <a:graphicData uri="http://schemas.microsoft.com/office/word/2010/wordprocessingShape">
                    <wps:wsp>
                      <wps:cNvSpPr/>
                      <wps:spPr>
                        <a:xfrm>
                          <a:off x="2612325" y="2301950"/>
                          <a:ext cx="5467500" cy="251460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EA81373" w14:textId="77777777" w:rsidR="008825D4" w:rsidRDefault="00000000">
                            <w:pPr>
                              <w:ind w:left="288"/>
                              <w:textDirection w:val="btLr"/>
                            </w:pPr>
                            <w:r>
                              <w:rPr>
                                <w:rFonts w:ascii="Book Antiqua" w:eastAsia="Book Antiqua" w:hAnsi="Book Antiqua" w:cs="Book Antiqua"/>
                                <w:b/>
                                <w:color w:val="000000"/>
                                <w:sz w:val="22"/>
                              </w:rPr>
                              <w:t>Page Layout</w:t>
                            </w:r>
                          </w:p>
                          <w:p w14:paraId="70FF0DFF" w14:textId="77777777" w:rsidR="008825D4" w:rsidRDefault="00000000">
                            <w:pPr>
                              <w:ind w:left="216" w:firstLine="216"/>
                              <w:textDirection w:val="btLr"/>
                            </w:pPr>
                            <w:r>
                              <w:rPr>
                                <w:rFonts w:ascii="Book Antiqua" w:eastAsia="Book Antiqua" w:hAnsi="Book Antiqua" w:cs="Book Antiqua"/>
                                <w:color w:val="000000"/>
                                <w:sz w:val="22"/>
                              </w:rPr>
                              <w:t xml:space="preserve">Your paper must use a page size corresponding to </w:t>
                            </w:r>
                            <w:r>
                              <w:rPr>
                                <w:rFonts w:ascii="Book Antiqua" w:eastAsia="Book Antiqua" w:hAnsi="Book Antiqua" w:cs="Book Antiqua"/>
                                <w:b/>
                                <w:color w:val="000000"/>
                                <w:sz w:val="22"/>
                              </w:rPr>
                              <w:t>A4</w:t>
                            </w:r>
                            <w:r>
                              <w:rPr>
                                <w:rFonts w:ascii="Book Antiqua" w:eastAsia="Book Antiqua" w:hAnsi="Book Antiqua" w:cs="Book Antiqua"/>
                                <w:color w:val="000000"/>
                                <w:sz w:val="22"/>
                              </w:rPr>
                              <w:t xml:space="preserve"> which is </w:t>
                            </w:r>
                            <w:r>
                              <w:rPr>
                                <w:rFonts w:ascii="Book Antiqua" w:eastAsia="Book Antiqua" w:hAnsi="Book Antiqua" w:cs="Book Antiqua"/>
                                <w:b/>
                                <w:color w:val="000000"/>
                                <w:sz w:val="22"/>
                              </w:rPr>
                              <w:t>210mm (8.27")</w:t>
                            </w:r>
                            <w:r>
                              <w:rPr>
                                <w:rFonts w:ascii="Book Antiqua" w:eastAsia="Book Antiqua" w:hAnsi="Book Antiqua" w:cs="Book Antiqua"/>
                                <w:color w:val="000000"/>
                                <w:sz w:val="22"/>
                              </w:rPr>
                              <w:t xml:space="preserve"> wide and </w:t>
                            </w:r>
                            <w:r>
                              <w:rPr>
                                <w:rFonts w:ascii="Book Antiqua" w:eastAsia="Book Antiqua" w:hAnsi="Book Antiqua" w:cs="Book Antiqua"/>
                                <w:b/>
                                <w:color w:val="000000"/>
                                <w:sz w:val="22"/>
                              </w:rPr>
                              <w:t>297mm (11.69")</w:t>
                            </w:r>
                            <w:r>
                              <w:rPr>
                                <w:rFonts w:ascii="Book Antiqua" w:eastAsia="Book Antiqua" w:hAnsi="Book Antiqua" w:cs="Book Antiqua"/>
                                <w:color w:val="000000"/>
                                <w:sz w:val="22"/>
                              </w:rPr>
                              <w:t xml:space="preserve"> long.  The margins must be set as follows:</w:t>
                            </w:r>
                          </w:p>
                          <w:p w14:paraId="03C8ED12" w14:textId="77777777" w:rsidR="008825D4" w:rsidRDefault="00000000">
                            <w:pPr>
                              <w:ind w:left="504" w:firstLine="287"/>
                              <w:textDirection w:val="btLr"/>
                            </w:pPr>
                            <w:r>
                              <w:rPr>
                                <w:rFonts w:ascii="Book Antiqua" w:eastAsia="Book Antiqua" w:hAnsi="Book Antiqua" w:cs="Book Antiqua"/>
                                <w:b/>
                                <w:color w:val="000000"/>
                                <w:sz w:val="22"/>
                              </w:rPr>
                              <w:t>Top = 35.01mm (1.38")</w:t>
                            </w:r>
                          </w:p>
                          <w:p w14:paraId="4E3B81B6" w14:textId="77777777" w:rsidR="008825D4" w:rsidRDefault="00000000">
                            <w:pPr>
                              <w:ind w:left="504" w:firstLine="287"/>
                              <w:textDirection w:val="btLr"/>
                            </w:pPr>
                            <w:r>
                              <w:rPr>
                                <w:rFonts w:ascii="Book Antiqua" w:eastAsia="Book Antiqua" w:hAnsi="Book Antiqua" w:cs="Book Antiqua"/>
                                <w:b/>
                                <w:color w:val="000000"/>
                                <w:sz w:val="22"/>
                              </w:rPr>
                              <w:t>Bottom = 35.01mm (1.38")</w:t>
                            </w:r>
                          </w:p>
                          <w:p w14:paraId="5BEC0978" w14:textId="77777777" w:rsidR="008825D4" w:rsidRDefault="00000000">
                            <w:pPr>
                              <w:ind w:left="504" w:firstLine="287"/>
                              <w:textDirection w:val="btLr"/>
                            </w:pPr>
                            <w:r>
                              <w:rPr>
                                <w:rFonts w:ascii="Book Antiqua" w:eastAsia="Book Antiqua" w:hAnsi="Book Antiqua" w:cs="Book Antiqua"/>
                                <w:b/>
                                <w:color w:val="000000"/>
                                <w:sz w:val="22"/>
                              </w:rPr>
                              <w:t>Left = Right = 30.00mm (1.18")</w:t>
                            </w:r>
                          </w:p>
                          <w:p w14:paraId="09341F15" w14:textId="77777777" w:rsidR="008825D4" w:rsidRDefault="00000000">
                            <w:pPr>
                              <w:ind w:left="504" w:firstLine="287"/>
                              <w:textDirection w:val="btLr"/>
                            </w:pPr>
                            <w:r>
                              <w:rPr>
                                <w:rFonts w:ascii="Book Antiqua" w:eastAsia="Book Antiqua" w:hAnsi="Book Antiqua" w:cs="Book Antiqua"/>
                                <w:b/>
                                <w:color w:val="000000"/>
                                <w:sz w:val="22"/>
                              </w:rPr>
                              <w:t>Font in paper</w:t>
                            </w:r>
                            <w:r>
                              <w:rPr>
                                <w:rFonts w:ascii="Book Antiqua" w:eastAsia="Book Antiqua" w:hAnsi="Book Antiqua" w:cs="Book Antiqua"/>
                                <w:color w:val="000000"/>
                                <w:sz w:val="22"/>
                              </w:rPr>
                              <w:t xml:space="preserve"> must be in </w:t>
                            </w:r>
                            <w:r>
                              <w:rPr>
                                <w:rFonts w:ascii="Book Antiqua" w:eastAsia="Book Antiqua" w:hAnsi="Book Antiqua" w:cs="Book Antiqua"/>
                                <w:b/>
                                <w:color w:val="000000"/>
                                <w:sz w:val="22"/>
                              </w:rPr>
                              <w:t>Book Antiqua</w:t>
                            </w:r>
                          </w:p>
                          <w:p w14:paraId="2F991DFB" w14:textId="77777777" w:rsidR="008825D4" w:rsidRDefault="00000000">
                            <w:pPr>
                              <w:ind w:left="504" w:firstLine="287"/>
                              <w:textDirection w:val="btLr"/>
                            </w:pPr>
                            <w:r>
                              <w:rPr>
                                <w:rFonts w:ascii="Book Antiqua" w:eastAsia="Book Antiqua" w:hAnsi="Book Antiqua" w:cs="Book Antiqua"/>
                                <w:b/>
                                <w:color w:val="000000"/>
                                <w:sz w:val="22"/>
                              </w:rPr>
                              <w:t>Line Spacing</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Single (1.0)</w:t>
                            </w:r>
                          </w:p>
                          <w:p w14:paraId="201FE640" w14:textId="77777777" w:rsidR="008825D4" w:rsidRDefault="00000000">
                            <w:pPr>
                              <w:ind w:left="504" w:firstLine="287"/>
                              <w:textDirection w:val="btLr"/>
                            </w:pPr>
                            <w:r>
                              <w:rPr>
                                <w:rFonts w:ascii="Book Antiqua" w:eastAsia="Book Antiqua" w:hAnsi="Book Antiqua" w:cs="Book Antiqua"/>
                                <w:b/>
                                <w:color w:val="000000"/>
                                <w:sz w:val="22"/>
                              </w:rPr>
                              <w:t>Spacing Before</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0pt (Remove Spacing Before)</w:t>
                            </w:r>
                          </w:p>
                          <w:p w14:paraId="02D0E458" w14:textId="77777777" w:rsidR="008825D4" w:rsidRDefault="00000000">
                            <w:pPr>
                              <w:ind w:left="504" w:firstLine="287"/>
                              <w:textDirection w:val="btLr"/>
                            </w:pPr>
                            <w:r>
                              <w:rPr>
                                <w:rFonts w:ascii="Book Antiqua" w:eastAsia="Book Antiqua" w:hAnsi="Book Antiqua" w:cs="Book Antiqua"/>
                                <w:b/>
                                <w:color w:val="000000"/>
                                <w:sz w:val="22"/>
                              </w:rPr>
                              <w:t>Spacing After</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0pt (Remove Spacing After)</w:t>
                            </w:r>
                          </w:p>
                          <w:p w14:paraId="22D4B533" w14:textId="77777777" w:rsidR="008825D4" w:rsidRDefault="00000000">
                            <w:pPr>
                              <w:ind w:left="504" w:firstLine="287"/>
                              <w:textDirection w:val="btLr"/>
                            </w:pPr>
                            <w:r>
                              <w:rPr>
                                <w:rFonts w:ascii="Book Antiqua" w:eastAsia="Book Antiqua" w:hAnsi="Book Antiqua" w:cs="Book Antiqua"/>
                                <w:b/>
                                <w:color w:val="000000"/>
                                <w:sz w:val="22"/>
                              </w:rPr>
                              <w:t>The Manuscript must be between 3000 to 6000 words</w:t>
                            </w:r>
                          </w:p>
                        </w:txbxContent>
                      </wps:txbx>
                      <wps:bodyPr spcFirstLastPara="1" wrap="square" lIns="91425" tIns="45700" rIns="91425" bIns="45700" anchor="ctr" anchorCtr="0">
                        <a:noAutofit/>
                      </wps:bodyPr>
                    </wps:wsp>
                  </a:graphicData>
                </a:graphic>
              </wp:inline>
            </w:drawing>
          </mc:Choice>
          <mc:Fallback>
            <w:pict>
              <v:rect w14:anchorId="5107C6CF" id="Rectangle 13" o:spid="_x0000_s1026" style="width:431.25pt;height:19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" fillcolor="white [3201]" strokecolor="black [3200]" strokeweight="1pt">
                <v:stroke startarrowwidth="narrow" startarrowlength="short" endarrowwidth="narrow" endarrowlength="short"/>
                <v:textbox inset="2.53958mm,1.2694mm,2.53958mm,1.2694mm">
                  <w:txbxContent>
                    <w:p w14:paraId="5EA81373" w14:textId="77777777" w:rsidR="008825D4" w:rsidRDefault="00000000">
                      <w:pPr>
                        <w:ind w:left="288"/>
                        <w:textDirection w:val="btLr"/>
                      </w:pPr>
                      <w:r>
                        <w:rPr>
                          <w:rFonts w:ascii="Book Antiqua" w:eastAsia="Book Antiqua" w:hAnsi="Book Antiqua" w:cs="Book Antiqua"/>
                          <w:b/>
                          <w:color w:val="000000"/>
                          <w:sz w:val="22"/>
                        </w:rPr>
                        <w:t>Page Layout</w:t>
                      </w:r>
                    </w:p>
                    <w:p w14:paraId="70FF0DFF" w14:textId="77777777" w:rsidR="008825D4" w:rsidRDefault="00000000">
                      <w:pPr>
                        <w:ind w:left="216" w:firstLine="216"/>
                        <w:textDirection w:val="btLr"/>
                      </w:pPr>
                      <w:r>
                        <w:rPr>
                          <w:rFonts w:ascii="Book Antiqua" w:eastAsia="Book Antiqua" w:hAnsi="Book Antiqua" w:cs="Book Antiqua"/>
                          <w:color w:val="000000"/>
                          <w:sz w:val="22"/>
                        </w:rPr>
                        <w:t xml:space="preserve">Your paper must use a page size corresponding to </w:t>
                      </w:r>
                      <w:r>
                        <w:rPr>
                          <w:rFonts w:ascii="Book Antiqua" w:eastAsia="Book Antiqua" w:hAnsi="Book Antiqua" w:cs="Book Antiqua"/>
                          <w:b/>
                          <w:color w:val="000000"/>
                          <w:sz w:val="22"/>
                        </w:rPr>
                        <w:t>A4</w:t>
                      </w:r>
                      <w:r>
                        <w:rPr>
                          <w:rFonts w:ascii="Book Antiqua" w:eastAsia="Book Antiqua" w:hAnsi="Book Antiqua" w:cs="Book Antiqua"/>
                          <w:color w:val="000000"/>
                          <w:sz w:val="22"/>
                        </w:rPr>
                        <w:t xml:space="preserve"> which is </w:t>
                      </w:r>
                      <w:r>
                        <w:rPr>
                          <w:rFonts w:ascii="Book Antiqua" w:eastAsia="Book Antiqua" w:hAnsi="Book Antiqua" w:cs="Book Antiqua"/>
                          <w:b/>
                          <w:color w:val="000000"/>
                          <w:sz w:val="22"/>
                        </w:rPr>
                        <w:t>210mm (8.27")</w:t>
                      </w:r>
                      <w:r>
                        <w:rPr>
                          <w:rFonts w:ascii="Book Antiqua" w:eastAsia="Book Antiqua" w:hAnsi="Book Antiqua" w:cs="Book Antiqua"/>
                          <w:color w:val="000000"/>
                          <w:sz w:val="22"/>
                        </w:rPr>
                        <w:t xml:space="preserve"> wide and </w:t>
                      </w:r>
                      <w:r>
                        <w:rPr>
                          <w:rFonts w:ascii="Book Antiqua" w:eastAsia="Book Antiqua" w:hAnsi="Book Antiqua" w:cs="Book Antiqua"/>
                          <w:b/>
                          <w:color w:val="000000"/>
                          <w:sz w:val="22"/>
                        </w:rPr>
                        <w:t>297mm (11.69")</w:t>
                      </w:r>
                      <w:r>
                        <w:rPr>
                          <w:rFonts w:ascii="Book Antiqua" w:eastAsia="Book Antiqua" w:hAnsi="Book Antiqua" w:cs="Book Antiqua"/>
                          <w:color w:val="000000"/>
                          <w:sz w:val="22"/>
                        </w:rPr>
                        <w:t xml:space="preserve"> long.  The margins must be set as follows:</w:t>
                      </w:r>
                    </w:p>
                    <w:p w14:paraId="03C8ED12" w14:textId="77777777" w:rsidR="008825D4" w:rsidRDefault="00000000">
                      <w:pPr>
                        <w:ind w:left="504" w:firstLine="287"/>
                        <w:textDirection w:val="btLr"/>
                      </w:pPr>
                      <w:r>
                        <w:rPr>
                          <w:rFonts w:ascii="Book Antiqua" w:eastAsia="Book Antiqua" w:hAnsi="Book Antiqua" w:cs="Book Antiqua"/>
                          <w:b/>
                          <w:color w:val="000000"/>
                          <w:sz w:val="22"/>
                        </w:rPr>
                        <w:t>Top = 35.01mm (1.38")</w:t>
                      </w:r>
                    </w:p>
                    <w:p w14:paraId="4E3B81B6" w14:textId="77777777" w:rsidR="008825D4" w:rsidRDefault="00000000">
                      <w:pPr>
                        <w:ind w:left="504" w:firstLine="287"/>
                        <w:textDirection w:val="btLr"/>
                      </w:pPr>
                      <w:r>
                        <w:rPr>
                          <w:rFonts w:ascii="Book Antiqua" w:eastAsia="Book Antiqua" w:hAnsi="Book Antiqua" w:cs="Book Antiqua"/>
                          <w:b/>
                          <w:color w:val="000000"/>
                          <w:sz w:val="22"/>
                        </w:rPr>
                        <w:t>Bottom = 35.01mm (1.38")</w:t>
                      </w:r>
                    </w:p>
                    <w:p w14:paraId="5BEC0978" w14:textId="77777777" w:rsidR="008825D4" w:rsidRDefault="00000000">
                      <w:pPr>
                        <w:ind w:left="504" w:firstLine="287"/>
                        <w:textDirection w:val="btLr"/>
                      </w:pPr>
                      <w:r>
                        <w:rPr>
                          <w:rFonts w:ascii="Book Antiqua" w:eastAsia="Book Antiqua" w:hAnsi="Book Antiqua" w:cs="Book Antiqua"/>
                          <w:b/>
                          <w:color w:val="000000"/>
                          <w:sz w:val="22"/>
                        </w:rPr>
                        <w:t>Left = Right = 30.00mm (1.18")</w:t>
                      </w:r>
                    </w:p>
                    <w:p w14:paraId="09341F15" w14:textId="77777777" w:rsidR="008825D4" w:rsidRDefault="00000000">
                      <w:pPr>
                        <w:ind w:left="504" w:firstLine="287"/>
                        <w:textDirection w:val="btLr"/>
                      </w:pPr>
                      <w:r>
                        <w:rPr>
                          <w:rFonts w:ascii="Book Antiqua" w:eastAsia="Book Antiqua" w:hAnsi="Book Antiqua" w:cs="Book Antiqua"/>
                          <w:b/>
                          <w:color w:val="000000"/>
                          <w:sz w:val="22"/>
                        </w:rPr>
                        <w:t>Font in paper</w:t>
                      </w:r>
                      <w:r>
                        <w:rPr>
                          <w:rFonts w:ascii="Book Antiqua" w:eastAsia="Book Antiqua" w:hAnsi="Book Antiqua" w:cs="Book Antiqua"/>
                          <w:color w:val="000000"/>
                          <w:sz w:val="22"/>
                        </w:rPr>
                        <w:t xml:space="preserve"> must be in </w:t>
                      </w:r>
                      <w:r>
                        <w:rPr>
                          <w:rFonts w:ascii="Book Antiqua" w:eastAsia="Book Antiqua" w:hAnsi="Book Antiqua" w:cs="Book Antiqua"/>
                          <w:b/>
                          <w:color w:val="000000"/>
                          <w:sz w:val="22"/>
                        </w:rPr>
                        <w:t>Book Antiqua</w:t>
                      </w:r>
                    </w:p>
                    <w:p w14:paraId="2F991DFB" w14:textId="77777777" w:rsidR="008825D4" w:rsidRDefault="00000000">
                      <w:pPr>
                        <w:ind w:left="504" w:firstLine="287"/>
                        <w:textDirection w:val="btLr"/>
                      </w:pPr>
                      <w:r>
                        <w:rPr>
                          <w:rFonts w:ascii="Book Antiqua" w:eastAsia="Book Antiqua" w:hAnsi="Book Antiqua" w:cs="Book Antiqua"/>
                          <w:b/>
                          <w:color w:val="000000"/>
                          <w:sz w:val="22"/>
                        </w:rPr>
                        <w:t>Line Spacing</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Single (1.0)</w:t>
                      </w:r>
                    </w:p>
                    <w:p w14:paraId="201FE640" w14:textId="77777777" w:rsidR="008825D4" w:rsidRDefault="00000000">
                      <w:pPr>
                        <w:ind w:left="504" w:firstLine="287"/>
                        <w:textDirection w:val="btLr"/>
                      </w:pPr>
                      <w:r>
                        <w:rPr>
                          <w:rFonts w:ascii="Book Antiqua" w:eastAsia="Book Antiqua" w:hAnsi="Book Antiqua" w:cs="Book Antiqua"/>
                          <w:b/>
                          <w:color w:val="000000"/>
                          <w:sz w:val="22"/>
                        </w:rPr>
                        <w:t>Spacing Before</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0pt (Remove Spacing Before)</w:t>
                      </w:r>
                    </w:p>
                    <w:p w14:paraId="02D0E458" w14:textId="77777777" w:rsidR="008825D4" w:rsidRDefault="00000000">
                      <w:pPr>
                        <w:ind w:left="504" w:firstLine="287"/>
                        <w:textDirection w:val="btLr"/>
                      </w:pPr>
                      <w:r>
                        <w:rPr>
                          <w:rFonts w:ascii="Book Antiqua" w:eastAsia="Book Antiqua" w:hAnsi="Book Antiqua" w:cs="Book Antiqua"/>
                          <w:b/>
                          <w:color w:val="000000"/>
                          <w:sz w:val="22"/>
                        </w:rPr>
                        <w:t>Spacing After</w:t>
                      </w:r>
                      <w:r>
                        <w:rPr>
                          <w:rFonts w:ascii="Book Antiqua" w:eastAsia="Book Antiqua" w:hAnsi="Book Antiqua" w:cs="Book Antiqua"/>
                          <w:color w:val="000000"/>
                          <w:sz w:val="22"/>
                        </w:rPr>
                        <w:t xml:space="preserve"> = </w:t>
                      </w:r>
                      <w:r>
                        <w:rPr>
                          <w:rFonts w:ascii="Book Antiqua" w:eastAsia="Book Antiqua" w:hAnsi="Book Antiqua" w:cs="Book Antiqua"/>
                          <w:b/>
                          <w:color w:val="000000"/>
                          <w:sz w:val="22"/>
                        </w:rPr>
                        <w:t>0pt (Remove Spacing After)</w:t>
                      </w:r>
                    </w:p>
                    <w:p w14:paraId="22D4B533" w14:textId="77777777" w:rsidR="008825D4" w:rsidRDefault="00000000">
                      <w:pPr>
                        <w:ind w:left="504" w:firstLine="287"/>
                        <w:textDirection w:val="btLr"/>
                      </w:pPr>
                      <w:r>
                        <w:rPr>
                          <w:rFonts w:ascii="Book Antiqua" w:eastAsia="Book Antiqua" w:hAnsi="Book Antiqua" w:cs="Book Antiqua"/>
                          <w:b/>
                          <w:color w:val="000000"/>
                          <w:sz w:val="22"/>
                        </w:rPr>
                        <w:t>The Manuscript must be between 3000 to 6000 words</w:t>
                      </w:r>
                    </w:p>
                  </w:txbxContent>
                </v:textbox>
                <w10:anchorlock/>
              </v:rect>
            </w:pict>
          </mc:Fallback>
        </mc:AlternateContent>
      </w:r>
    </w:p>
    <w:sectPr w:rsidR="008825D4">
      <w:headerReference w:type="default" r:id="rId9"/>
      <w:footerReference w:type="default" r:id="rId10"/>
      <w:type w:val="continuous"/>
      <w:pgSz w:w="11906" w:h="16838"/>
      <w:pgMar w:top="1985" w:right="1701" w:bottom="1985" w:left="1701" w:header="448"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11A30" w14:textId="77777777" w:rsidR="00A2363C" w:rsidRDefault="00A2363C">
      <w:r>
        <w:separator/>
      </w:r>
    </w:p>
  </w:endnote>
  <w:endnote w:type="continuationSeparator" w:id="0">
    <w:p w14:paraId="7E90306C" w14:textId="77777777" w:rsidR="00A2363C" w:rsidRDefault="00A23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FC21454-8A03-4947-A391-873221425775}"/>
  </w:font>
  <w:font w:name="Calibri">
    <w:panose1 w:val="020F0502020204030204"/>
    <w:charset w:val="00"/>
    <w:family w:val="swiss"/>
    <w:pitch w:val="variable"/>
    <w:sig w:usb0="E4002EFF" w:usb1="C200247B" w:usb2="00000009" w:usb3="00000000" w:csb0="000001FF" w:csb1="00000000"/>
    <w:embedRegular r:id="rId2" w:fontKey="{57233F95-4820-48C8-87E8-E907B4BA35F4}"/>
    <w:embedBold r:id="rId3" w:fontKey="{FDDEE1E2-68F2-4A77-9D08-9E9D1EAA497F}"/>
  </w:font>
  <w:font w:name="Georgia">
    <w:panose1 w:val="02040502050405020303"/>
    <w:charset w:val="00"/>
    <w:family w:val="roman"/>
    <w:pitch w:val="variable"/>
    <w:sig w:usb0="00000287" w:usb1="00000000" w:usb2="00000000" w:usb3="00000000" w:csb0="0000009F" w:csb1="00000000"/>
    <w:embedRegular r:id="rId4" w:fontKey="{13971977-A00E-4823-94A3-721A38B6607E}"/>
    <w:embedItalic r:id="rId5" w:fontKey="{D2463DAA-2615-4142-BBED-8072E5DB16E9}"/>
  </w:font>
  <w:font w:name="Book Antiqua">
    <w:panose1 w:val="02040602050305030304"/>
    <w:charset w:val="00"/>
    <w:family w:val="roman"/>
    <w:pitch w:val="variable"/>
    <w:sig w:usb0="00000287" w:usb1="00000000" w:usb2="00000000" w:usb3="00000000" w:csb0="0000009F" w:csb1="00000000"/>
    <w:embedRegular r:id="rId6" w:fontKey="{4BD38FF5-9B4A-42CE-90E6-5A1456BFA3E9}"/>
    <w:embedBold r:id="rId7" w:fontKey="{EF653DD6-73C8-4F6F-9910-4734C1BC508A}"/>
    <w:embedItalic r:id="rId8" w:fontKey="{AC251E75-8519-4C62-9359-FA467FF4BF99}"/>
    <w:embedBoldItalic r:id="rId9" w:fontKey="{8251979E-49AC-4D94-A29F-997A369FB61B}"/>
  </w:font>
  <w:font w:name="Calibri Light">
    <w:panose1 w:val="020F0302020204030204"/>
    <w:charset w:val="00"/>
    <w:family w:val="swiss"/>
    <w:pitch w:val="variable"/>
    <w:sig w:usb0="E4002EFF" w:usb1="C200247B" w:usb2="00000009" w:usb3="00000000" w:csb0="000001FF" w:csb1="00000000"/>
    <w:embedRegular r:id="rId10" w:fontKey="{D11DDA90-EF5F-43AA-BA97-7334D4FE85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35237" w14:textId="77777777" w:rsidR="008825D4" w:rsidRDefault="00000000">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4F2505">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52C6046F" w14:textId="77777777" w:rsidR="008825D4" w:rsidRDefault="008825D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E8137" w14:textId="77777777" w:rsidR="00A2363C" w:rsidRDefault="00A2363C">
      <w:r>
        <w:separator/>
      </w:r>
    </w:p>
  </w:footnote>
  <w:footnote w:type="continuationSeparator" w:id="0">
    <w:p w14:paraId="2AABE9D3" w14:textId="77777777" w:rsidR="00A2363C" w:rsidRDefault="00A23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179F3" w14:textId="77777777" w:rsidR="008825D4"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Maliki Islamic Economics Journal (M-IEC Journal)</w:t>
    </w:r>
    <w:r>
      <w:rPr>
        <w:rFonts w:ascii="Book Antiqua" w:eastAsia="Book Antiqua" w:hAnsi="Book Antiqua" w:cs="Book Antiqua"/>
        <w:color w:val="000000"/>
      </w:rPr>
      <w:t xml:space="preserve"> </w:t>
    </w:r>
    <w:r>
      <w:rPr>
        <w:noProof/>
      </w:rPr>
      <w:drawing>
        <wp:anchor distT="0" distB="0" distL="114300" distR="114300" simplePos="0" relativeHeight="251658240" behindDoc="0" locked="0" layoutInCell="1" hidden="0" allowOverlap="1" wp14:anchorId="668BDC45" wp14:editId="1E8E25D3">
          <wp:simplePos x="0" y="0"/>
          <wp:positionH relativeFrom="column">
            <wp:posOffset>3733800</wp:posOffset>
          </wp:positionH>
          <wp:positionV relativeFrom="paragraph">
            <wp:posOffset>-61594</wp:posOffset>
          </wp:positionV>
          <wp:extent cx="1600200" cy="644525"/>
          <wp:effectExtent l="0" t="0" r="0" b="0"/>
          <wp:wrapSquare wrapText="bothSides" distT="0" distB="0" distL="114300" distR="11430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00200" cy="644525"/>
                  </a:xfrm>
                  <a:prstGeom prst="rect">
                    <a:avLst/>
                  </a:prstGeom>
                  <a:ln/>
                </pic:spPr>
              </pic:pic>
            </a:graphicData>
          </a:graphic>
        </wp:anchor>
      </w:drawing>
    </w:r>
  </w:p>
  <w:p w14:paraId="5780215D" w14:textId="77777777" w:rsidR="008825D4"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Volume - (-), -</w:t>
    </w:r>
  </w:p>
  <w:p w14:paraId="698CCE90" w14:textId="77777777" w:rsidR="008825D4"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bookmarkStart w:id="25" w:name="_heading=h.4f1mdlm" w:colFirst="0" w:colLast="0"/>
    <w:bookmarkEnd w:id="25"/>
    <w:r>
      <w:rPr>
        <w:rFonts w:ascii="Book Antiqua" w:eastAsia="Book Antiqua" w:hAnsi="Book Antiqua" w:cs="Book Antiqua"/>
        <w:color w:val="000000"/>
        <w:sz w:val="20"/>
        <w:szCs w:val="20"/>
      </w:rPr>
      <w:t>P-ISSN: 2798-0383; E-ISSN: 2797-8125</w:t>
    </w:r>
  </w:p>
  <w:p w14:paraId="59DD6C16" w14:textId="77777777" w:rsidR="008825D4" w:rsidRDefault="008825D4">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17E28"/>
    <w:multiLevelType w:val="multilevel"/>
    <w:tmpl w:val="BF04B456"/>
    <w:lvl w:ilvl="0">
      <w:start w:val="1"/>
      <w:numFmt w:val="decimal"/>
      <w:lvlText w:val="%1."/>
      <w:lvlJc w:val="left"/>
      <w:pPr>
        <w:ind w:left="720" w:hanging="360"/>
      </w:pPr>
      <w:rPr>
        <w:b/>
        <w:bCs/>
        <w:color w:val="000000"/>
      </w:rPr>
    </w:lvl>
    <w:lvl w:ilvl="1">
      <w:start w:val="1"/>
      <w:numFmt w:val="decimal"/>
      <w:lvlText w:val="%1.%2."/>
      <w:lvlJc w:val="left"/>
      <w:pPr>
        <w:ind w:left="36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754F2B93"/>
    <w:multiLevelType w:val="multilevel"/>
    <w:tmpl w:val="B712E120"/>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5780105">
    <w:abstractNumId w:val="0"/>
  </w:num>
  <w:num w:numId="2" w16cid:durableId="140579886">
    <w:abstractNumId w:val="1"/>
  </w:num>
  <w:num w:numId="3" w16cid:durableId="16563035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84196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22326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9274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5D4"/>
    <w:rsid w:val="00015D5B"/>
    <w:rsid w:val="00073ACA"/>
    <w:rsid w:val="00100F64"/>
    <w:rsid w:val="002E6D01"/>
    <w:rsid w:val="002F0FA7"/>
    <w:rsid w:val="003D77E2"/>
    <w:rsid w:val="0043783C"/>
    <w:rsid w:val="004C5EC3"/>
    <w:rsid w:val="004F0269"/>
    <w:rsid w:val="004F2505"/>
    <w:rsid w:val="0068181E"/>
    <w:rsid w:val="006E6EB3"/>
    <w:rsid w:val="0082321C"/>
    <w:rsid w:val="00825CBD"/>
    <w:rsid w:val="008825D4"/>
    <w:rsid w:val="008C3041"/>
    <w:rsid w:val="008C4CF0"/>
    <w:rsid w:val="009A1DAD"/>
    <w:rsid w:val="00A16D05"/>
    <w:rsid w:val="00A2363C"/>
    <w:rsid w:val="00AA54E2"/>
    <w:rsid w:val="00B23409"/>
    <w:rsid w:val="00CC4804"/>
    <w:rsid w:val="00E92C43"/>
    <w:rsid w:val="00EE1C45"/>
    <w:rsid w:val="00EF7A7A"/>
    <w:rsid w:val="00F9657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5D899"/>
  <w15:docId w15:val="{87FAD29C-A8D8-476D-B84E-B11B9F68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F06A72"/>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tabs>
        <w:tab w:val="num" w:pos="720"/>
      </w:tabs>
      <w:adjustRightInd w:val="0"/>
      <w:snapToGrid w:val="0"/>
      <w:spacing w:before="180" w:after="60"/>
      <w:ind w:left="289" w:hanging="289"/>
      <w:jc w:val="center"/>
    </w:pPr>
    <w:rPr>
      <w:smallCaps/>
      <w:sz w:val="20"/>
    </w:rPr>
  </w:style>
  <w:style w:type="table" w:styleId="TableGrid">
    <w:name w:val="Table Grid"/>
    <w:basedOn w:val="TableNormal"/>
    <w:uiPriority w:val="59"/>
    <w:qFormat/>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tabs>
        <w:tab w:val="num" w:pos="720"/>
      </w:tabs>
      <w:adjustRightInd w:val="0"/>
      <w:snapToGrid w:val="0"/>
      <w:spacing w:before="120" w:after="60"/>
      <w:ind w:left="720"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 w:val="20"/>
      <w:lang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Header">
    <w:name w:val="header"/>
    <w:basedOn w:val="Normal"/>
    <w:link w:val="HeaderChar"/>
    <w:uiPriority w:val="99"/>
    <w:unhideWhenUsed/>
    <w:rsid w:val="00025252"/>
    <w:pPr>
      <w:tabs>
        <w:tab w:val="center" w:pos="4513"/>
        <w:tab w:val="right" w:pos="9026"/>
      </w:tabs>
    </w:pPr>
  </w:style>
  <w:style w:type="character" w:customStyle="1" w:styleId="HeaderChar">
    <w:name w:val="Header Char"/>
    <w:link w:val="Header"/>
    <w:uiPriority w:val="99"/>
    <w:rsid w:val="00025252"/>
    <w:rPr>
      <w:sz w:val="24"/>
      <w:szCs w:val="24"/>
      <w:lang w:val="en-AU" w:eastAsia="zh-CN"/>
    </w:rPr>
  </w:style>
  <w:style w:type="paragraph" w:styleId="Footer">
    <w:name w:val="footer"/>
    <w:basedOn w:val="Normal"/>
    <w:link w:val="FooterChar"/>
    <w:uiPriority w:val="99"/>
    <w:unhideWhenUsed/>
    <w:rsid w:val="00025252"/>
    <w:pPr>
      <w:tabs>
        <w:tab w:val="center" w:pos="4513"/>
        <w:tab w:val="right" w:pos="9026"/>
      </w:tabs>
    </w:pPr>
  </w:style>
  <w:style w:type="character" w:customStyle="1" w:styleId="FooterChar">
    <w:name w:val="Footer Char"/>
    <w:link w:val="Footer"/>
    <w:uiPriority w:val="99"/>
    <w:rsid w:val="00025252"/>
    <w:rPr>
      <w:sz w:val="24"/>
      <w:szCs w:val="24"/>
      <w:lang w:val="en-AU" w:eastAsia="zh-CN"/>
    </w:rPr>
  </w:style>
  <w:style w:type="paragraph" w:styleId="BalloonText">
    <w:name w:val="Balloon Text"/>
    <w:basedOn w:val="Normal"/>
    <w:link w:val="BalloonTextChar"/>
    <w:uiPriority w:val="99"/>
    <w:semiHidden/>
    <w:unhideWhenUsed/>
    <w:rsid w:val="00025252"/>
    <w:rPr>
      <w:rFonts w:ascii="Tahoma" w:hAnsi="Tahoma"/>
      <w:sz w:val="16"/>
      <w:szCs w:val="16"/>
    </w:rPr>
  </w:style>
  <w:style w:type="character" w:customStyle="1" w:styleId="BalloonTextChar">
    <w:name w:val="Balloon Text Char"/>
    <w:link w:val="BalloonText"/>
    <w:uiPriority w:val="99"/>
    <w:semiHidden/>
    <w:rsid w:val="00025252"/>
    <w:rPr>
      <w:rFonts w:ascii="Tahoma" w:hAnsi="Tahoma" w:cs="Tahoma"/>
      <w:sz w:val="16"/>
      <w:szCs w:val="16"/>
      <w:lang w:val="en-AU" w:eastAsia="zh-CN"/>
    </w:rPr>
  </w:style>
  <w:style w:type="character" w:styleId="Hyperlink">
    <w:name w:val="Hyperlink"/>
    <w:uiPriority w:val="99"/>
    <w:unhideWhenUsed/>
    <w:rsid w:val="00840DD0"/>
    <w:rPr>
      <w:color w:val="0000FF"/>
      <w:u w:val="single"/>
    </w:rPr>
  </w:style>
  <w:style w:type="character" w:styleId="Strong">
    <w:name w:val="Strong"/>
    <w:uiPriority w:val="22"/>
    <w:qFormat/>
    <w:rsid w:val="00A618F8"/>
    <w:rPr>
      <w:b/>
      <w:bCs/>
    </w:rPr>
  </w:style>
  <w:style w:type="character" w:styleId="IntenseEmphasis">
    <w:name w:val="Intense Emphasis"/>
    <w:uiPriority w:val="21"/>
    <w:qFormat/>
    <w:rsid w:val="00A618F8"/>
    <w:rPr>
      <w:b/>
      <w:bCs/>
      <w:i/>
      <w:iCs/>
      <w:color w:val="4F81BD"/>
    </w:rPr>
  </w:style>
  <w:style w:type="character" w:styleId="UnresolvedMention">
    <w:name w:val="Unresolved Mention"/>
    <w:uiPriority w:val="99"/>
    <w:semiHidden/>
    <w:unhideWhenUsed/>
    <w:rsid w:val="00F6637C"/>
    <w:rPr>
      <w:color w:val="605E5C"/>
      <w:shd w:val="clear" w:color="auto" w:fill="E1DFDD"/>
    </w:rPr>
  </w:style>
  <w:style w:type="table" w:styleId="PlainTable2">
    <w:name w:val="Plain Table 2"/>
    <w:basedOn w:val="TableNormal"/>
    <w:uiPriority w:val="42"/>
    <w:rsid w:val="005A5A98"/>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754AD9"/>
    <w:pPr>
      <w:ind w:left="720"/>
      <w:contextualSpacing/>
    </w:pPr>
  </w:style>
  <w:style w:type="character" w:styleId="FollowedHyperlink">
    <w:name w:val="FollowedHyperlink"/>
    <w:basedOn w:val="DefaultParagraphFont"/>
    <w:uiPriority w:val="99"/>
    <w:semiHidden/>
    <w:unhideWhenUsed/>
    <w:rsid w:val="0081397B"/>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view=j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OLHZdbuIEfBipLUMIbYymCpuXQ==">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5150</Words>
  <Characters>28792</Characters>
  <Application>Microsoft Office Word</Application>
  <DocSecurity>0</DocSecurity>
  <Lines>523</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IJSMS</dc:creator>
  <cp:lastModifiedBy>reviewer</cp:lastModifiedBy>
  <cp:revision>30</cp:revision>
  <dcterms:created xsi:type="dcterms:W3CDTF">2021-05-05T19:47:00Z</dcterms:created>
  <dcterms:modified xsi:type="dcterms:W3CDTF">2024-05-18T02:22:00Z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a2ab78ed1e301ae0051f88ce66f64ca86c9315d15a9da124949a1b97ebdd6660</vt:lpwstr>
  </property>
</Properties>
</file>