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C6033" w14:textId="21A92661" w:rsidR="00234096" w:rsidRPr="008A3265" w:rsidRDefault="000E2695" w:rsidP="00826DC1">
      <w:pPr>
        <w:jc w:val="center"/>
        <w:rPr>
          <w:rFonts w:ascii="Brill" w:eastAsia="Calibri" w:hAnsi="Brill" w:cs="Calibri"/>
          <w:b/>
          <w:bCs/>
          <w:color w:val="000000" w:themeColor="text1"/>
          <w:sz w:val="28"/>
          <w:szCs w:val="28"/>
          <w:lang w:val="id-ID"/>
        </w:rPr>
      </w:pPr>
      <w:r w:rsidRPr="008A3265">
        <w:rPr>
          <w:rFonts w:ascii="Brill" w:eastAsia="Calibri" w:hAnsi="Brill" w:cs="Calibri"/>
          <w:b/>
          <w:bCs/>
          <w:color w:val="000000" w:themeColor="text1"/>
          <w:sz w:val="28"/>
          <w:szCs w:val="28"/>
          <w:lang w:val="id-ID"/>
        </w:rPr>
        <w:t xml:space="preserve">Antara </w:t>
      </w:r>
      <w:r w:rsidR="000716B0" w:rsidRPr="008A3265">
        <w:rPr>
          <w:rFonts w:ascii="Brill" w:eastAsia="Calibri" w:hAnsi="Brill" w:cs="Calibri"/>
          <w:b/>
          <w:bCs/>
          <w:color w:val="000000" w:themeColor="text1"/>
          <w:sz w:val="28"/>
          <w:szCs w:val="28"/>
          <w:lang w:val="id-ID"/>
        </w:rPr>
        <w:t xml:space="preserve">Paradigma Positivisme </w:t>
      </w:r>
      <w:r w:rsidRPr="008A3265">
        <w:rPr>
          <w:rFonts w:ascii="Brill" w:eastAsia="Calibri" w:hAnsi="Brill" w:cs="Calibri"/>
          <w:b/>
          <w:bCs/>
          <w:color w:val="000000" w:themeColor="text1"/>
          <w:sz w:val="28"/>
          <w:szCs w:val="28"/>
          <w:lang w:val="id-ID"/>
        </w:rPr>
        <w:t xml:space="preserve">dan Paradigma Kritis: </w:t>
      </w:r>
    </w:p>
    <w:p w14:paraId="4C6A443D" w14:textId="2B2DEA00" w:rsidR="00234096" w:rsidRPr="008A3265" w:rsidRDefault="00234096" w:rsidP="00826DC1">
      <w:pPr>
        <w:jc w:val="center"/>
        <w:rPr>
          <w:rFonts w:ascii="Brill" w:eastAsia="Calibri" w:hAnsi="Brill" w:cs="Calibri"/>
          <w:b/>
          <w:bCs/>
          <w:color w:val="000000" w:themeColor="text1"/>
          <w:sz w:val="28"/>
          <w:szCs w:val="28"/>
          <w:lang w:val="id-ID"/>
        </w:rPr>
      </w:pPr>
      <w:r w:rsidRPr="008A3265">
        <w:rPr>
          <w:rFonts w:ascii="Brill" w:eastAsia="Calibri" w:hAnsi="Brill" w:cs="Calibri"/>
          <w:b/>
          <w:bCs/>
          <w:color w:val="000000" w:themeColor="text1"/>
          <w:sz w:val="28"/>
          <w:szCs w:val="28"/>
          <w:lang w:val="id-ID"/>
        </w:rPr>
        <w:t xml:space="preserve">Memperdebatkan </w:t>
      </w:r>
      <w:r w:rsidR="00CD29AD">
        <w:rPr>
          <w:rFonts w:ascii="Brill" w:eastAsia="Calibri" w:hAnsi="Brill" w:cs="Calibri"/>
          <w:b/>
          <w:bCs/>
          <w:color w:val="000000" w:themeColor="text1"/>
          <w:sz w:val="28"/>
          <w:szCs w:val="28"/>
          <w:lang w:val="en-US"/>
        </w:rPr>
        <w:t xml:space="preserve">Syariah dan </w:t>
      </w:r>
      <w:r w:rsidRPr="008A3265">
        <w:rPr>
          <w:rFonts w:ascii="Brill" w:eastAsia="Calibri" w:hAnsi="Brill" w:cs="Calibri"/>
          <w:b/>
          <w:bCs/>
          <w:color w:val="000000" w:themeColor="text1"/>
          <w:sz w:val="28"/>
          <w:szCs w:val="28"/>
          <w:lang w:val="id-ID"/>
        </w:rPr>
        <w:t xml:space="preserve">Hak Asasi Manusia dalam Rancangan Peraturan Daerah Kota Pontianak </w:t>
      </w:r>
      <w:r w:rsidR="000716B0" w:rsidRPr="008A3265">
        <w:rPr>
          <w:rFonts w:ascii="Brill" w:eastAsia="Calibri" w:hAnsi="Brill" w:cs="Calibri"/>
          <w:b/>
          <w:bCs/>
          <w:color w:val="000000" w:themeColor="text1"/>
          <w:sz w:val="28"/>
          <w:szCs w:val="28"/>
          <w:lang w:val="id-ID"/>
        </w:rPr>
        <w:t>t</w:t>
      </w:r>
      <w:r w:rsidRPr="008A3265">
        <w:rPr>
          <w:rFonts w:ascii="Brill" w:eastAsia="Calibri" w:hAnsi="Brill" w:cs="Calibri"/>
          <w:b/>
          <w:bCs/>
          <w:color w:val="000000" w:themeColor="text1"/>
          <w:sz w:val="28"/>
          <w:szCs w:val="28"/>
          <w:lang w:val="id-ID"/>
        </w:rPr>
        <w:t>entang Toleransi</w:t>
      </w:r>
    </w:p>
    <w:p w14:paraId="511E4102" w14:textId="144D3C13" w:rsidR="004D5D3F" w:rsidRPr="008A3265" w:rsidRDefault="004D5D3F" w:rsidP="00826DC1">
      <w:pPr>
        <w:jc w:val="center"/>
        <w:rPr>
          <w:rFonts w:ascii="Brill" w:eastAsia="Calibri" w:hAnsi="Brill" w:cs="Calibri"/>
          <w:b/>
          <w:bCs/>
          <w:color w:val="FF0000"/>
          <w:lang w:val="id-ID"/>
        </w:rPr>
      </w:pPr>
    </w:p>
    <w:p w14:paraId="34C869DE" w14:textId="77777777" w:rsidR="00D60EAA" w:rsidRDefault="00D60EAA" w:rsidP="00D60EAA">
      <w:pPr>
        <w:ind w:right="567"/>
        <w:jc w:val="center"/>
        <w:rPr>
          <w:b/>
        </w:rPr>
      </w:pPr>
      <w:r>
        <w:rPr>
          <w:b/>
        </w:rPr>
        <w:t>Moh. Fadhil</w:t>
      </w:r>
    </w:p>
    <w:p w14:paraId="07922824" w14:textId="77777777" w:rsidR="00D60EAA" w:rsidRPr="00F961FF" w:rsidRDefault="00D60EAA" w:rsidP="00D60EAA">
      <w:pPr>
        <w:ind w:right="567"/>
        <w:jc w:val="center"/>
        <w:rPr>
          <w:bCs/>
        </w:rPr>
      </w:pPr>
      <w:r w:rsidRPr="00F961FF">
        <w:rPr>
          <w:bCs/>
        </w:rPr>
        <w:t>IAIN Pontianak</w:t>
      </w:r>
      <w:r>
        <w:rPr>
          <w:bCs/>
        </w:rPr>
        <w:t>, Indonesia</w:t>
      </w:r>
    </w:p>
    <w:p w14:paraId="0D1AB34A" w14:textId="77777777" w:rsidR="00D60EAA" w:rsidRDefault="00D60EAA" w:rsidP="00D60EAA">
      <w:pPr>
        <w:ind w:right="567"/>
        <w:jc w:val="center"/>
        <w:rPr>
          <w:bCs/>
        </w:rPr>
      </w:pPr>
      <w:hyperlink r:id="rId8" w:history="1">
        <w:r w:rsidRPr="00510930">
          <w:rPr>
            <w:rStyle w:val="Hyperlink"/>
            <w:bCs/>
          </w:rPr>
          <w:t>mohfadhil@iainptk.ac.id</w:t>
        </w:r>
      </w:hyperlink>
    </w:p>
    <w:p w14:paraId="545CD8ED" w14:textId="77777777" w:rsidR="00D60EAA" w:rsidRDefault="00D60EAA" w:rsidP="00D60EAA">
      <w:pPr>
        <w:ind w:right="567"/>
        <w:jc w:val="center"/>
        <w:rPr>
          <w:b/>
        </w:rPr>
      </w:pPr>
      <w:r>
        <w:rPr>
          <w:b/>
        </w:rPr>
        <w:t>Herman</w:t>
      </w:r>
    </w:p>
    <w:p w14:paraId="08FADB09" w14:textId="77777777" w:rsidR="00D60EAA" w:rsidRDefault="00D60EAA" w:rsidP="00D60EAA">
      <w:pPr>
        <w:ind w:right="567"/>
        <w:jc w:val="center"/>
        <w:rPr>
          <w:bCs/>
        </w:rPr>
      </w:pPr>
      <w:r>
        <w:rPr>
          <w:bCs/>
        </w:rPr>
        <w:t>UIN Alauddin Makassar, Indonesia</w:t>
      </w:r>
    </w:p>
    <w:p w14:paraId="1AB1A111" w14:textId="77777777" w:rsidR="00D60EAA" w:rsidRDefault="00D60EAA" w:rsidP="00D60EAA">
      <w:pPr>
        <w:ind w:right="567"/>
        <w:jc w:val="center"/>
        <w:rPr>
          <w:b/>
        </w:rPr>
      </w:pPr>
      <w:r>
        <w:rPr>
          <w:b/>
        </w:rPr>
        <w:t>Ivan Wagner</w:t>
      </w:r>
    </w:p>
    <w:p w14:paraId="2B7CD6E1" w14:textId="77777777" w:rsidR="00D60EAA" w:rsidRPr="00F961FF" w:rsidRDefault="00D60EAA" w:rsidP="00D60EAA">
      <w:pPr>
        <w:ind w:right="567"/>
        <w:jc w:val="center"/>
        <w:rPr>
          <w:bCs/>
        </w:rPr>
      </w:pPr>
      <w:r>
        <w:rPr>
          <w:bCs/>
        </w:rPr>
        <w:t>Universitas Panca Bhakti, Indonesia</w:t>
      </w:r>
    </w:p>
    <w:p w14:paraId="6F4C3713" w14:textId="77777777" w:rsidR="00D60EAA" w:rsidRDefault="00D60EAA" w:rsidP="00D60EAA">
      <w:pPr>
        <w:ind w:right="567"/>
        <w:jc w:val="center"/>
        <w:rPr>
          <w:b/>
        </w:rPr>
      </w:pPr>
      <w:r>
        <w:rPr>
          <w:b/>
        </w:rPr>
        <w:t>Subandri Simbolon</w:t>
      </w:r>
    </w:p>
    <w:p w14:paraId="59E9BCBA" w14:textId="77777777" w:rsidR="00D60EAA" w:rsidRDefault="00D60EAA" w:rsidP="00D60EAA">
      <w:pPr>
        <w:ind w:right="567"/>
        <w:jc w:val="center"/>
        <w:rPr>
          <w:bCs/>
        </w:rPr>
      </w:pPr>
      <w:r>
        <w:rPr>
          <w:bCs/>
        </w:rPr>
        <w:t>Radboud Universiteit, The Netherlands</w:t>
      </w:r>
    </w:p>
    <w:p w14:paraId="76FA09E7" w14:textId="77777777" w:rsidR="00D60EAA" w:rsidRDefault="00D60EAA" w:rsidP="00D60EAA">
      <w:pPr>
        <w:ind w:right="567"/>
        <w:jc w:val="center"/>
        <w:rPr>
          <w:b/>
        </w:rPr>
      </w:pPr>
      <w:r>
        <w:rPr>
          <w:b/>
        </w:rPr>
        <w:t>Safaruddin Harefa</w:t>
      </w:r>
    </w:p>
    <w:p w14:paraId="715AD70E" w14:textId="77777777" w:rsidR="00D60EAA" w:rsidRDefault="00D60EAA" w:rsidP="00D60EAA">
      <w:pPr>
        <w:ind w:right="567"/>
        <w:jc w:val="center"/>
        <w:rPr>
          <w:bCs/>
        </w:rPr>
      </w:pPr>
      <w:r>
        <w:rPr>
          <w:bCs/>
        </w:rPr>
        <w:t>Universitas Tanjungpura, Indonesia</w:t>
      </w:r>
    </w:p>
    <w:p w14:paraId="6BA8D31A" w14:textId="77777777" w:rsidR="004D5D3F" w:rsidRPr="008A3265" w:rsidRDefault="004D5D3F" w:rsidP="00826DC1">
      <w:pPr>
        <w:rPr>
          <w:rFonts w:ascii="Brill" w:eastAsia="Calibri" w:hAnsi="Brill" w:cs="Calibri"/>
          <w:b/>
          <w:bCs/>
          <w:lang w:val="id-ID"/>
        </w:rPr>
      </w:pPr>
    </w:p>
    <w:p w14:paraId="46B76F93" w14:textId="7206572D" w:rsidR="004D5D3F" w:rsidRPr="008A3265" w:rsidRDefault="004D5D3F" w:rsidP="00826DC1">
      <w:pPr>
        <w:jc w:val="center"/>
        <w:rPr>
          <w:rFonts w:ascii="Brill" w:eastAsia="Calibri" w:hAnsi="Brill" w:cs="Calibri"/>
          <w:b/>
          <w:bCs/>
          <w:lang w:val="id-ID"/>
        </w:rPr>
      </w:pPr>
      <w:r w:rsidRPr="008A3265">
        <w:rPr>
          <w:rFonts w:ascii="Brill" w:eastAsia="Calibri" w:hAnsi="Brill" w:cs="Calibri"/>
          <w:b/>
          <w:bCs/>
          <w:lang w:val="id-ID"/>
        </w:rPr>
        <w:t>Abstrak</w:t>
      </w:r>
    </w:p>
    <w:p w14:paraId="0BAD3349" w14:textId="7FE89FEA" w:rsidR="005964B1" w:rsidRPr="008A3265" w:rsidRDefault="0050179E" w:rsidP="00033EF0">
      <w:pPr>
        <w:jc w:val="both"/>
        <w:rPr>
          <w:rFonts w:ascii="Brill" w:eastAsia="Calibri" w:hAnsi="Brill" w:cs="Calibri"/>
          <w:lang w:val="id-ID"/>
        </w:rPr>
      </w:pPr>
      <w:r w:rsidRPr="008A3265">
        <w:rPr>
          <w:rFonts w:ascii="Brill" w:eastAsia="Calibri" w:hAnsi="Brill" w:cs="Calibri"/>
          <w:lang w:val="id-ID"/>
        </w:rPr>
        <w:t>Residu konflik melahirkan gerakan masyarakat sipil untuk mewacanakan transformasi Kota Pontianak menjadi Kota H</w:t>
      </w:r>
      <w:r w:rsidR="00033EF0" w:rsidRPr="008A3265">
        <w:rPr>
          <w:rFonts w:ascii="Brill" w:eastAsia="Calibri" w:hAnsi="Brill" w:cs="Calibri"/>
          <w:lang w:val="id-ID"/>
        </w:rPr>
        <w:t xml:space="preserve">ak </w:t>
      </w:r>
      <w:r w:rsidRPr="008A3265">
        <w:rPr>
          <w:rFonts w:ascii="Brill" w:eastAsia="Calibri" w:hAnsi="Brill" w:cs="Calibri"/>
          <w:lang w:val="id-ID"/>
        </w:rPr>
        <w:t>A</w:t>
      </w:r>
      <w:r w:rsidR="00033EF0" w:rsidRPr="008A3265">
        <w:rPr>
          <w:rFonts w:ascii="Brill" w:eastAsia="Calibri" w:hAnsi="Brill" w:cs="Calibri"/>
          <w:lang w:val="id-ID"/>
        </w:rPr>
        <w:t xml:space="preserve">sasi </w:t>
      </w:r>
      <w:r w:rsidRPr="008A3265">
        <w:rPr>
          <w:rFonts w:ascii="Brill" w:eastAsia="Calibri" w:hAnsi="Brill" w:cs="Calibri"/>
          <w:lang w:val="id-ID"/>
        </w:rPr>
        <w:t>M</w:t>
      </w:r>
      <w:r w:rsidR="00033EF0" w:rsidRPr="008A3265">
        <w:rPr>
          <w:rFonts w:ascii="Brill" w:eastAsia="Calibri" w:hAnsi="Brill" w:cs="Calibri"/>
          <w:lang w:val="id-ID"/>
        </w:rPr>
        <w:t>anusia (HAM)</w:t>
      </w:r>
      <w:r w:rsidRPr="008A3265">
        <w:rPr>
          <w:rFonts w:ascii="Brill" w:eastAsia="Calibri" w:hAnsi="Brill" w:cs="Calibri"/>
          <w:lang w:val="id-ID"/>
        </w:rPr>
        <w:t xml:space="preserve"> melalui penyusunan </w:t>
      </w:r>
      <w:r w:rsidR="00033EF0" w:rsidRPr="008A3265">
        <w:rPr>
          <w:rFonts w:ascii="Brill" w:eastAsia="Calibri" w:hAnsi="Brill" w:cs="Calibri"/>
          <w:lang w:val="id-ID"/>
        </w:rPr>
        <w:t>Rancangan Peraturan Daerah (</w:t>
      </w:r>
      <w:r w:rsidRPr="008A3265">
        <w:rPr>
          <w:rFonts w:ascii="Brill" w:eastAsia="Calibri" w:hAnsi="Brill" w:cs="Calibri"/>
          <w:lang w:val="id-ID"/>
        </w:rPr>
        <w:t>Ranperda</w:t>
      </w:r>
      <w:r w:rsidR="00033EF0" w:rsidRPr="008A3265">
        <w:rPr>
          <w:rFonts w:ascii="Brill" w:eastAsia="Calibri" w:hAnsi="Brill" w:cs="Calibri"/>
          <w:lang w:val="id-ID"/>
        </w:rPr>
        <w:t>)</w:t>
      </w:r>
      <w:r w:rsidRPr="008A3265">
        <w:rPr>
          <w:rFonts w:ascii="Brill" w:eastAsia="Calibri" w:hAnsi="Brill" w:cs="Calibri"/>
          <w:lang w:val="id-ID"/>
        </w:rPr>
        <w:t xml:space="preserve"> Toleransi</w:t>
      </w:r>
      <w:r w:rsidR="00D21AA3" w:rsidRPr="008A3265">
        <w:rPr>
          <w:rFonts w:ascii="Brill" w:eastAsia="Calibri" w:hAnsi="Brill" w:cs="Calibri"/>
          <w:lang w:val="id-ID"/>
        </w:rPr>
        <w:t>. N</w:t>
      </w:r>
      <w:r w:rsidRPr="008A3265">
        <w:rPr>
          <w:rFonts w:ascii="Brill" w:eastAsia="Calibri" w:hAnsi="Brill" w:cs="Calibri"/>
          <w:lang w:val="id-ID"/>
        </w:rPr>
        <w:t>amun</w:t>
      </w:r>
      <w:r w:rsidR="00D21AA3" w:rsidRPr="008A3265">
        <w:rPr>
          <w:rFonts w:ascii="Brill" w:eastAsia="Calibri" w:hAnsi="Brill" w:cs="Calibri"/>
          <w:lang w:val="id-ID"/>
        </w:rPr>
        <w:t>,</w:t>
      </w:r>
      <w:r w:rsidRPr="008A3265">
        <w:rPr>
          <w:rFonts w:ascii="Brill" w:eastAsia="Calibri" w:hAnsi="Brill" w:cs="Calibri"/>
          <w:lang w:val="id-ID"/>
        </w:rPr>
        <w:t xml:space="preserve"> proses politik hukum</w:t>
      </w:r>
      <w:r w:rsidR="00D21AA3" w:rsidRPr="008A3265">
        <w:rPr>
          <w:rFonts w:ascii="Brill" w:eastAsia="Calibri" w:hAnsi="Brill" w:cs="Calibri"/>
          <w:lang w:val="id-ID"/>
        </w:rPr>
        <w:t>nya</w:t>
      </w:r>
      <w:r w:rsidRPr="008A3265">
        <w:rPr>
          <w:rFonts w:ascii="Brill" w:eastAsia="Calibri" w:hAnsi="Brill" w:cs="Calibri"/>
          <w:lang w:val="id-ID"/>
        </w:rPr>
        <w:t xml:space="preserve"> di DPRD Kota Pontianak menghasilkan perdebatan paradigmatis terkait </w:t>
      </w:r>
      <w:r w:rsidR="00033EF0" w:rsidRPr="008A3265">
        <w:rPr>
          <w:rFonts w:ascii="Brill" w:eastAsia="Calibri" w:hAnsi="Brill" w:cs="Calibri"/>
          <w:lang w:val="id-ID"/>
        </w:rPr>
        <w:t>konsep</w:t>
      </w:r>
      <w:r w:rsidRPr="008A3265">
        <w:rPr>
          <w:rFonts w:ascii="Brill" w:eastAsia="Calibri" w:hAnsi="Brill" w:cs="Calibri"/>
          <w:lang w:val="id-ID"/>
        </w:rPr>
        <w:t xml:space="preserve"> HAM</w:t>
      </w:r>
      <w:r w:rsidR="005964B1" w:rsidRPr="008A3265">
        <w:rPr>
          <w:rFonts w:ascii="Brill" w:eastAsia="Calibri" w:hAnsi="Brill" w:cs="Calibri"/>
          <w:lang w:val="id-ID"/>
        </w:rPr>
        <w:t>.</w:t>
      </w:r>
      <w:r w:rsidRPr="008A3265">
        <w:rPr>
          <w:rFonts w:ascii="Brill" w:eastAsia="Calibri" w:hAnsi="Brill" w:cs="Calibri"/>
          <w:lang w:val="id-ID"/>
        </w:rPr>
        <w:t xml:space="preserve"> </w:t>
      </w:r>
      <w:r w:rsidR="005964B1" w:rsidRPr="008A3265">
        <w:rPr>
          <w:rFonts w:ascii="Brill" w:eastAsia="Calibri" w:hAnsi="Brill" w:cs="Calibri"/>
          <w:lang w:val="id-ID"/>
        </w:rPr>
        <w:t>A</w:t>
      </w:r>
      <w:r w:rsidRPr="008A3265">
        <w:rPr>
          <w:rFonts w:ascii="Brill" w:eastAsia="Calibri" w:hAnsi="Brill" w:cs="Calibri"/>
          <w:lang w:val="id-ID"/>
        </w:rPr>
        <w:t xml:space="preserve">rtikel ini </w:t>
      </w:r>
      <w:r w:rsidR="005964B1" w:rsidRPr="008A3265">
        <w:rPr>
          <w:rFonts w:ascii="Brill" w:eastAsia="Calibri" w:hAnsi="Brill" w:cs="Calibri"/>
          <w:lang w:val="id-ID"/>
        </w:rPr>
        <w:t xml:space="preserve">bertujuan </w:t>
      </w:r>
      <w:r w:rsidRPr="008A3265">
        <w:rPr>
          <w:rFonts w:ascii="Brill" w:eastAsia="Calibri" w:hAnsi="Brill" w:cs="Calibri"/>
          <w:lang w:val="id-ID"/>
        </w:rPr>
        <w:t>untuk memotret perdebatan paradigmatis antara aktor negara dengan masyarakat sipil dalam proses politik hukum penyusunan Ranperda Toleransi di Kota Pontianak.</w:t>
      </w:r>
      <w:r w:rsidR="00D21AA3" w:rsidRPr="008A3265">
        <w:rPr>
          <w:rFonts w:ascii="Brill" w:eastAsia="Calibri" w:hAnsi="Brill" w:cs="Calibri"/>
          <w:lang w:val="id-ID"/>
        </w:rPr>
        <w:t xml:space="preserve"> Studi empiris, dalam artikel ini, </w:t>
      </w:r>
      <w:r w:rsidR="00033EF0" w:rsidRPr="008A3265">
        <w:rPr>
          <w:rFonts w:ascii="Brill" w:eastAsia="Calibri" w:hAnsi="Brill" w:cs="Calibri"/>
          <w:lang w:val="id-ID"/>
        </w:rPr>
        <w:t>dilakukan melalui partisipasi aktif dalam</w:t>
      </w:r>
      <w:r w:rsidR="00D21AA3" w:rsidRPr="008A3265">
        <w:rPr>
          <w:rFonts w:ascii="Brill" w:eastAsia="Calibri" w:hAnsi="Brill" w:cs="Calibri"/>
          <w:lang w:val="id-ID"/>
        </w:rPr>
        <w:t xml:space="preserve"> </w:t>
      </w:r>
      <w:r w:rsidR="00D21AA3" w:rsidRPr="008A3265">
        <w:rPr>
          <w:rFonts w:ascii="Brill" w:eastAsia="Calibri" w:hAnsi="Brill" w:cs="Calibri"/>
          <w:i/>
          <w:iCs/>
          <w:lang w:val="id-ID"/>
        </w:rPr>
        <w:t>public hearing</w:t>
      </w:r>
      <w:r w:rsidR="00D21AA3" w:rsidRPr="008A3265">
        <w:rPr>
          <w:rFonts w:ascii="Brill" w:eastAsia="Calibri" w:hAnsi="Brill" w:cs="Calibri"/>
          <w:lang w:val="id-ID"/>
        </w:rPr>
        <w:t xml:space="preserve"> dan dialog antara DPRD Kota Pontianak dengan masyarakat sipil dalam penyusunan Ranperda Toleransi di DPRD Kota Pontianak. Dengan </w:t>
      </w:r>
      <w:r w:rsidR="004D5D3F" w:rsidRPr="008A3265">
        <w:rPr>
          <w:rFonts w:ascii="Brill" w:eastAsia="Calibri" w:hAnsi="Brill" w:cs="Calibri"/>
          <w:lang w:val="id-ID"/>
        </w:rPr>
        <w:t xml:space="preserve">menggunakan </w:t>
      </w:r>
      <w:r w:rsidR="00D21AA3" w:rsidRPr="008A3265">
        <w:rPr>
          <w:rFonts w:ascii="Brill" w:eastAsia="Calibri" w:hAnsi="Brill" w:cs="Calibri"/>
          <w:lang w:val="id-ID"/>
        </w:rPr>
        <w:t xml:space="preserve">pendekatan </w:t>
      </w:r>
      <w:r w:rsidR="004D5D3F" w:rsidRPr="008A3265">
        <w:rPr>
          <w:rFonts w:ascii="Brill" w:eastAsia="Calibri" w:hAnsi="Brill" w:cs="Calibri"/>
          <w:lang w:val="id-ID"/>
        </w:rPr>
        <w:t>sosio-legal</w:t>
      </w:r>
      <w:r w:rsidR="00D21AA3" w:rsidRPr="008A3265">
        <w:rPr>
          <w:rFonts w:ascii="Brill" w:eastAsia="Calibri" w:hAnsi="Brill" w:cs="Calibri"/>
          <w:lang w:val="id-ID"/>
        </w:rPr>
        <w:t xml:space="preserve">, penelitian ini menemukan bahwa terdapat </w:t>
      </w:r>
      <w:r w:rsidR="002A6F93" w:rsidRPr="008A3265">
        <w:rPr>
          <w:rFonts w:ascii="Brill" w:eastAsia="Calibri" w:hAnsi="Brill" w:cs="Calibri"/>
          <w:lang w:val="id-ID"/>
        </w:rPr>
        <w:t>perdebatan antara paradigma positivisme (realisme naif)</w:t>
      </w:r>
      <w:r w:rsidR="008D411E" w:rsidRPr="008A3265">
        <w:rPr>
          <w:rFonts w:ascii="Brill" w:eastAsia="Calibri" w:hAnsi="Brill" w:cs="Calibri"/>
          <w:lang w:val="id-ID"/>
        </w:rPr>
        <w:t>,</w:t>
      </w:r>
      <w:r w:rsidR="002A6F93" w:rsidRPr="008A3265">
        <w:rPr>
          <w:rFonts w:ascii="Brill" w:eastAsia="Calibri" w:hAnsi="Brill" w:cs="Calibri"/>
          <w:lang w:val="id-ID"/>
        </w:rPr>
        <w:t xml:space="preserve"> diwakili oleh aktor negara</w:t>
      </w:r>
      <w:r w:rsidR="008D411E" w:rsidRPr="008A3265">
        <w:rPr>
          <w:rFonts w:ascii="Brill" w:eastAsia="Calibri" w:hAnsi="Brill" w:cs="Calibri"/>
          <w:lang w:val="id-ID"/>
        </w:rPr>
        <w:t>,</w:t>
      </w:r>
      <w:r w:rsidR="002A6F93" w:rsidRPr="008A3265">
        <w:rPr>
          <w:rFonts w:ascii="Brill" w:eastAsia="Calibri" w:hAnsi="Brill" w:cs="Calibri"/>
          <w:lang w:val="id-ID"/>
        </w:rPr>
        <w:t xml:space="preserve"> dengan </w:t>
      </w:r>
      <w:r w:rsidR="008D411E" w:rsidRPr="008A3265">
        <w:rPr>
          <w:rFonts w:ascii="Brill" w:eastAsia="Calibri" w:hAnsi="Brill" w:cs="Calibri"/>
          <w:lang w:val="id-ID"/>
        </w:rPr>
        <w:t xml:space="preserve">paradigma </w:t>
      </w:r>
      <w:r w:rsidR="002A6F93" w:rsidRPr="008A3265">
        <w:rPr>
          <w:rFonts w:ascii="Brill" w:eastAsia="Calibri" w:hAnsi="Brill" w:cs="Calibri"/>
          <w:lang w:val="id-ID"/>
        </w:rPr>
        <w:t>kritis (realisme historis)</w:t>
      </w:r>
      <w:r w:rsidR="008D411E" w:rsidRPr="008A3265">
        <w:rPr>
          <w:rFonts w:ascii="Brill" w:eastAsia="Calibri" w:hAnsi="Brill" w:cs="Calibri"/>
          <w:lang w:val="id-ID"/>
        </w:rPr>
        <w:t xml:space="preserve">, </w:t>
      </w:r>
      <w:r w:rsidR="002A6F93" w:rsidRPr="008A3265">
        <w:rPr>
          <w:rFonts w:ascii="Brill" w:eastAsia="Calibri" w:hAnsi="Brill" w:cs="Calibri"/>
          <w:lang w:val="id-ID"/>
        </w:rPr>
        <w:t>diwakili oleh masyarakat sipil</w:t>
      </w:r>
      <w:r w:rsidR="008D411E" w:rsidRPr="008A3265">
        <w:rPr>
          <w:rFonts w:ascii="Brill" w:eastAsia="Calibri" w:hAnsi="Brill" w:cs="Calibri"/>
          <w:lang w:val="id-ID"/>
        </w:rPr>
        <w:t xml:space="preserve"> </w:t>
      </w:r>
      <w:r w:rsidR="00D21AA3" w:rsidRPr="008A3265">
        <w:rPr>
          <w:rFonts w:ascii="Brill" w:eastAsia="Calibri" w:hAnsi="Brill" w:cs="Calibri"/>
          <w:lang w:val="id-ID"/>
        </w:rPr>
        <w:t>dalam proses politik hukumnya.</w:t>
      </w:r>
      <w:r w:rsidR="008D411E" w:rsidRPr="008A3265">
        <w:rPr>
          <w:rFonts w:ascii="Brill" w:eastAsia="Calibri" w:hAnsi="Brill" w:cs="Calibri"/>
          <w:lang w:val="id-ID"/>
        </w:rPr>
        <w:t xml:space="preserve"> </w:t>
      </w:r>
      <w:r w:rsidR="002A6F93" w:rsidRPr="008A3265">
        <w:rPr>
          <w:rFonts w:ascii="Brill" w:eastAsia="Calibri" w:hAnsi="Brill" w:cs="Calibri"/>
          <w:lang w:val="id-ID"/>
        </w:rPr>
        <w:t xml:space="preserve">Aktor negara menolak institusionalisasi toleransi dengan alasan </w:t>
      </w:r>
      <w:r w:rsidR="00033EF0" w:rsidRPr="008A3265">
        <w:rPr>
          <w:rFonts w:ascii="Brill" w:eastAsia="Calibri" w:hAnsi="Brill" w:cs="Calibri"/>
          <w:lang w:val="id-ID"/>
        </w:rPr>
        <w:t xml:space="preserve">konsep </w:t>
      </w:r>
      <w:r w:rsidR="002A6F93" w:rsidRPr="008A3265">
        <w:rPr>
          <w:rFonts w:ascii="Brill" w:eastAsia="Calibri" w:hAnsi="Brill" w:cs="Calibri"/>
          <w:lang w:val="id-ID"/>
        </w:rPr>
        <w:t>HAM yang Eropasentris</w:t>
      </w:r>
      <w:r w:rsidR="001112C1">
        <w:rPr>
          <w:rFonts w:ascii="Brill" w:eastAsia="Calibri" w:hAnsi="Brill" w:cs="Calibri"/>
          <w:lang w:val="en-US"/>
        </w:rPr>
        <w:t xml:space="preserve"> dapat menimbulkan ketegangan dengan syariah dan budaya lokal</w:t>
      </w:r>
      <w:r w:rsidR="008D411E" w:rsidRPr="008A3265">
        <w:rPr>
          <w:rFonts w:ascii="Brill" w:eastAsia="Calibri" w:hAnsi="Brill" w:cs="Calibri"/>
          <w:lang w:val="id-ID"/>
        </w:rPr>
        <w:t>, sedangkan masyarakat sipil m</w:t>
      </w:r>
      <w:r w:rsidR="001112C1">
        <w:rPr>
          <w:rFonts w:ascii="Brill" w:eastAsia="Calibri" w:hAnsi="Brill" w:cs="Calibri"/>
          <w:lang w:val="en-US"/>
        </w:rPr>
        <w:t>enjadikan</w:t>
      </w:r>
      <w:r w:rsidR="008D411E" w:rsidRPr="008A3265">
        <w:rPr>
          <w:rFonts w:ascii="Brill" w:eastAsia="Calibri" w:hAnsi="Brill" w:cs="Calibri"/>
          <w:lang w:val="id-ID"/>
        </w:rPr>
        <w:t xml:space="preserve"> toleransi </w:t>
      </w:r>
      <w:r w:rsidR="001112C1">
        <w:rPr>
          <w:rFonts w:ascii="Brill" w:eastAsia="Calibri" w:hAnsi="Brill" w:cs="Calibri"/>
          <w:lang w:val="en-US"/>
        </w:rPr>
        <w:t xml:space="preserve">sebagai alat perjuangan </w:t>
      </w:r>
      <w:r w:rsidR="008D411E" w:rsidRPr="008A3265">
        <w:rPr>
          <w:rFonts w:ascii="Brill" w:eastAsia="Calibri" w:hAnsi="Brill" w:cs="Calibri"/>
          <w:lang w:val="id-ID"/>
        </w:rPr>
        <w:t xml:space="preserve">untuk </w:t>
      </w:r>
      <w:r w:rsidR="00354FD4" w:rsidRPr="008A3265">
        <w:rPr>
          <w:rFonts w:ascii="Brill" w:eastAsia="Calibri" w:hAnsi="Brill" w:cs="Calibri"/>
          <w:lang w:val="id-ID"/>
        </w:rPr>
        <w:t>mengubah ketimpangan struktural sebagai warisan dari konflik masa lalu</w:t>
      </w:r>
      <w:r w:rsidR="008D411E" w:rsidRPr="008A3265">
        <w:rPr>
          <w:rFonts w:ascii="Brill" w:eastAsia="Calibri" w:hAnsi="Brill" w:cs="Calibri"/>
          <w:lang w:val="id-ID"/>
        </w:rPr>
        <w:t>. Perdebatan kedua pihak tersebut tidak menemukan titik temu yang mengakibatkan gagalnya pengesahan Ranperda Toleransi yang mengarustama</w:t>
      </w:r>
      <w:r w:rsidR="00033EF0" w:rsidRPr="008A3265">
        <w:rPr>
          <w:rFonts w:ascii="Brill" w:eastAsia="Calibri" w:hAnsi="Brill" w:cs="Calibri"/>
          <w:lang w:val="id-ID"/>
        </w:rPr>
        <w:t>k</w:t>
      </w:r>
      <w:r w:rsidR="008D411E" w:rsidRPr="008A3265">
        <w:rPr>
          <w:rFonts w:ascii="Brill" w:eastAsia="Calibri" w:hAnsi="Brill" w:cs="Calibri"/>
          <w:lang w:val="id-ID"/>
        </w:rPr>
        <w:t>an HAM.</w:t>
      </w:r>
      <w:r w:rsidR="00033EF0" w:rsidRPr="008A3265">
        <w:rPr>
          <w:rFonts w:ascii="Brill" w:eastAsia="Calibri" w:hAnsi="Brill" w:cs="Calibri"/>
          <w:lang w:val="id-ID"/>
        </w:rPr>
        <w:t xml:space="preserve"> Temuan ini menunjukkan bahwa pengarustamaan HAM belum menjadi rujukan utama dalam perumusan peraturan daerah tentang toleransi, khususnya di Kota Pontianak.</w:t>
      </w:r>
    </w:p>
    <w:p w14:paraId="49C87AA1" w14:textId="77777777" w:rsidR="002779BA" w:rsidRPr="008A3265" w:rsidRDefault="002779BA" w:rsidP="00826DC1">
      <w:pPr>
        <w:jc w:val="both"/>
        <w:rPr>
          <w:rFonts w:ascii="Brill" w:eastAsia="Calibri" w:hAnsi="Brill" w:cs="Calibri"/>
          <w:b/>
          <w:bCs/>
          <w:lang w:val="id-ID"/>
        </w:rPr>
      </w:pPr>
    </w:p>
    <w:p w14:paraId="3A038EE9" w14:textId="51D8AB07" w:rsidR="004D5D3F" w:rsidRPr="008A3265" w:rsidRDefault="004D5D3F" w:rsidP="00826DC1">
      <w:pPr>
        <w:jc w:val="both"/>
        <w:rPr>
          <w:rFonts w:ascii="Brill" w:eastAsia="Calibri" w:hAnsi="Brill" w:cs="Calibri"/>
          <w:lang w:val="id-ID"/>
        </w:rPr>
      </w:pPr>
      <w:r w:rsidRPr="008A3265">
        <w:rPr>
          <w:rFonts w:ascii="Brill" w:eastAsia="Calibri" w:hAnsi="Brill" w:cs="Calibri"/>
          <w:b/>
          <w:bCs/>
          <w:lang w:val="id-ID"/>
        </w:rPr>
        <w:t xml:space="preserve">Kata Kunci: </w:t>
      </w:r>
      <w:r w:rsidR="002779BA" w:rsidRPr="008A3265">
        <w:rPr>
          <w:rFonts w:ascii="Brill" w:eastAsia="Calibri" w:hAnsi="Brill" w:cs="Calibri"/>
          <w:lang w:val="id-ID"/>
        </w:rPr>
        <w:t xml:space="preserve">Hak Asasi Manusia, Paradigma Positivisme, Paradigma Kritis, Peraturan Daerah, </w:t>
      </w:r>
      <w:r w:rsidR="004C7A9F" w:rsidRPr="008A3265">
        <w:rPr>
          <w:rFonts w:ascii="Brill" w:eastAsia="Calibri" w:hAnsi="Brill" w:cs="Calibri"/>
          <w:lang w:val="id-ID"/>
        </w:rPr>
        <w:t xml:space="preserve">Institusionalisasi </w:t>
      </w:r>
      <w:r w:rsidR="002779BA" w:rsidRPr="008A3265">
        <w:rPr>
          <w:rFonts w:ascii="Brill" w:eastAsia="Calibri" w:hAnsi="Brill" w:cs="Calibri"/>
          <w:lang w:val="id-ID"/>
        </w:rPr>
        <w:t>Toleransi</w:t>
      </w:r>
    </w:p>
    <w:p w14:paraId="31D8D138" w14:textId="111D3BBA" w:rsidR="004D5D3F" w:rsidRPr="008A3265" w:rsidRDefault="004D5D3F" w:rsidP="00826DC1">
      <w:pPr>
        <w:jc w:val="both"/>
        <w:rPr>
          <w:rFonts w:ascii="Brill" w:eastAsia="Calibri" w:hAnsi="Brill" w:cs="Calibri"/>
          <w:lang w:val="id-ID"/>
        </w:rPr>
      </w:pPr>
    </w:p>
    <w:p w14:paraId="65347459" w14:textId="4F4AFE90" w:rsidR="00087710" w:rsidRPr="008A3265" w:rsidRDefault="001B4BD5" w:rsidP="00826DC1">
      <w:pPr>
        <w:jc w:val="both"/>
        <w:rPr>
          <w:rFonts w:ascii="Brill" w:eastAsia="Calibri" w:hAnsi="Brill" w:cs="Calibri"/>
          <w:b/>
          <w:bCs/>
          <w:lang w:val="id-ID"/>
        </w:rPr>
      </w:pPr>
      <w:r w:rsidRPr="008A3265">
        <w:rPr>
          <w:rFonts w:ascii="Brill" w:eastAsia="Calibri" w:hAnsi="Brill" w:cs="Calibri"/>
          <w:b/>
          <w:bCs/>
          <w:lang w:val="id-ID"/>
        </w:rPr>
        <w:t>Pendahuluan</w:t>
      </w:r>
    </w:p>
    <w:p w14:paraId="5A1377A7" w14:textId="371A9631" w:rsidR="00F37B3A" w:rsidRPr="008A3265" w:rsidRDefault="00087710" w:rsidP="00826DC1">
      <w:pPr>
        <w:jc w:val="both"/>
        <w:rPr>
          <w:rFonts w:ascii="Brill" w:eastAsia="Calibri" w:hAnsi="Brill" w:cs="Calibri"/>
          <w:lang w:val="id-ID"/>
        </w:rPr>
      </w:pPr>
      <w:r w:rsidRPr="008A3265">
        <w:rPr>
          <w:rFonts w:ascii="Brill" w:eastAsia="Calibri" w:hAnsi="Brill" w:cs="Calibri"/>
          <w:lang w:val="id-ID"/>
        </w:rPr>
        <w:t>Konsep kota HAM merupakan gerakan global yang mendukung implementasi pengarusutamaan HAM dalam tata kelola pemerintahan daerah. Konsep ini pertama kali diungkap oleh Henri Lefebvre</w:t>
      </w:r>
      <w:r w:rsidR="00F37B3A" w:rsidRPr="008A3265">
        <w:rPr>
          <w:rStyle w:val="FootnoteReference"/>
          <w:rFonts w:ascii="Brill" w:eastAsia="Calibri" w:hAnsi="Brill" w:cs="Calibri"/>
          <w:lang w:val="id-ID"/>
        </w:rPr>
        <w:footnoteReference w:id="1"/>
      </w:r>
      <w:r w:rsidRPr="008A3265">
        <w:rPr>
          <w:rFonts w:ascii="Brill" w:eastAsia="Calibri" w:hAnsi="Brill" w:cs="Calibri"/>
          <w:lang w:val="id-ID"/>
        </w:rPr>
        <w:t xml:space="preserve">, </w:t>
      </w:r>
      <w:r w:rsidR="00F37B3A" w:rsidRPr="008A3265">
        <w:rPr>
          <w:rFonts w:ascii="Brill" w:eastAsia="Calibri" w:hAnsi="Brill" w:cs="Calibri"/>
          <w:lang w:val="id-ID"/>
        </w:rPr>
        <w:t>yang</w:t>
      </w:r>
      <w:r w:rsidRPr="008A3265">
        <w:rPr>
          <w:rFonts w:ascii="Brill" w:eastAsia="Calibri" w:hAnsi="Brill" w:cs="Calibri"/>
          <w:lang w:val="id-ID"/>
        </w:rPr>
        <w:t xml:space="preserve"> </w:t>
      </w:r>
      <w:r w:rsidR="00F37B3A" w:rsidRPr="008A3265">
        <w:rPr>
          <w:rFonts w:ascii="Brill" w:eastAsia="Calibri" w:hAnsi="Brill" w:cs="Calibri"/>
          <w:lang w:val="id-ID"/>
        </w:rPr>
        <w:t>menginspirasikan lahirnya</w:t>
      </w:r>
      <w:r w:rsidRPr="008A3265">
        <w:rPr>
          <w:rFonts w:ascii="Brill" w:eastAsia="Calibri" w:hAnsi="Brill" w:cs="Calibri"/>
          <w:lang w:val="id-ID"/>
        </w:rPr>
        <w:t xml:space="preserve"> gerakan global bernama </w:t>
      </w:r>
      <w:r w:rsidRPr="008A3265">
        <w:rPr>
          <w:rFonts w:ascii="Brill" w:eastAsia="Calibri" w:hAnsi="Brill" w:cs="Calibri"/>
          <w:lang w:val="id-ID"/>
        </w:rPr>
        <w:lastRenderedPageBreak/>
        <w:t>People</w:t>
      </w:r>
      <w:r w:rsidR="008C5148">
        <w:rPr>
          <w:rFonts w:ascii="Brill" w:eastAsia="Calibri" w:hAnsi="Brill" w:cs="Calibri"/>
          <w:lang w:val="id-ID"/>
        </w:rPr>
        <w:t>’</w:t>
      </w:r>
      <w:r w:rsidRPr="008A3265">
        <w:rPr>
          <w:rFonts w:ascii="Brill" w:eastAsia="Calibri" w:hAnsi="Brill" w:cs="Calibri"/>
          <w:lang w:val="id-ID"/>
        </w:rPr>
        <w:t>s Decade for Human Rights Education (PDHRE)</w:t>
      </w:r>
      <w:r w:rsidR="000C3668" w:rsidRPr="008A3265">
        <w:rPr>
          <w:rFonts w:ascii="Brill" w:eastAsia="Calibri" w:hAnsi="Brill" w:cs="Calibri"/>
          <w:lang w:val="id-ID"/>
        </w:rPr>
        <w:t>.</w:t>
      </w:r>
      <w:r w:rsidR="000C3668" w:rsidRPr="008A3265">
        <w:rPr>
          <w:rStyle w:val="FootnoteReference"/>
          <w:rFonts w:ascii="Brill" w:eastAsia="Calibri" w:hAnsi="Brill" w:cs="Calibri"/>
          <w:lang w:val="id-ID"/>
        </w:rPr>
        <w:footnoteReference w:id="2"/>
      </w:r>
      <w:r w:rsidRPr="008A3265">
        <w:rPr>
          <w:rFonts w:ascii="Brill" w:eastAsia="Calibri" w:hAnsi="Brill" w:cs="Calibri"/>
          <w:lang w:val="id-ID"/>
        </w:rPr>
        <w:t xml:space="preserve"> </w:t>
      </w:r>
      <w:r w:rsidR="000C3668" w:rsidRPr="008A3265">
        <w:rPr>
          <w:rFonts w:ascii="Brill" w:eastAsia="Calibri" w:hAnsi="Brill" w:cs="Calibri"/>
          <w:lang w:val="id-ID"/>
        </w:rPr>
        <w:t xml:space="preserve">Kota HAM digagas untuk </w:t>
      </w:r>
      <w:r w:rsidR="002207E3" w:rsidRPr="008A3265">
        <w:rPr>
          <w:rFonts w:ascii="Brill" w:eastAsia="Calibri" w:hAnsi="Brill" w:cs="Calibri"/>
          <w:lang w:val="id-ID"/>
        </w:rPr>
        <w:t>memperkuat peran pemerintah daerah menyusun kebijakan berdasarkan norma dan standar HAM dalam agenda pembangunan berkelanjutan.</w:t>
      </w:r>
      <w:r w:rsidR="00C30CD1" w:rsidRPr="008A3265">
        <w:rPr>
          <w:rStyle w:val="FootnoteReference"/>
          <w:rFonts w:ascii="Brill" w:eastAsia="Calibri" w:hAnsi="Brill" w:cs="Calibri"/>
          <w:lang w:val="id-ID"/>
        </w:rPr>
        <w:footnoteReference w:id="3"/>
      </w:r>
      <w:r w:rsidR="00AA63FD" w:rsidRPr="008A3265">
        <w:rPr>
          <w:rFonts w:ascii="Brill" w:eastAsia="Calibri" w:hAnsi="Brill" w:cs="Calibri"/>
          <w:lang w:val="id-ID"/>
        </w:rPr>
        <w:t xml:space="preserve"> Terminologi kota HAM mulai dikembangkan sebagai suatu konsep normatif melalui Forum Kota HAM pertama kali diadakan </w:t>
      </w:r>
      <w:r w:rsidR="00DC1194" w:rsidRPr="008A3265">
        <w:rPr>
          <w:rFonts w:ascii="Brill" w:eastAsia="Calibri" w:hAnsi="Brill" w:cs="Calibri"/>
          <w:lang w:val="id-ID"/>
        </w:rPr>
        <w:t xml:space="preserve">pada Tahun 2011 </w:t>
      </w:r>
      <w:r w:rsidR="00AA63FD" w:rsidRPr="008A3265">
        <w:rPr>
          <w:rFonts w:ascii="Brill" w:eastAsia="Calibri" w:hAnsi="Brill" w:cs="Calibri"/>
          <w:lang w:val="id-ID"/>
        </w:rPr>
        <w:t>di Gwangju, Korea Selatan</w:t>
      </w:r>
      <w:r w:rsidR="000C3668" w:rsidRPr="008A3265">
        <w:rPr>
          <w:rFonts w:ascii="Brill" w:eastAsia="Calibri" w:hAnsi="Brill" w:cs="Calibri"/>
          <w:lang w:val="id-ID"/>
        </w:rPr>
        <w:t xml:space="preserve"> yang melahirkan</w:t>
      </w:r>
      <w:r w:rsidR="00B1539C" w:rsidRPr="008A3265">
        <w:rPr>
          <w:rFonts w:ascii="Brill" w:eastAsia="Calibri" w:hAnsi="Brill" w:cs="Calibri"/>
          <w:lang w:val="id-ID"/>
        </w:rPr>
        <w:t xml:space="preserve"> Deklarasi Gwangju tentang Kota HAM </w:t>
      </w:r>
      <w:r w:rsidR="000C3668" w:rsidRPr="008A3265">
        <w:rPr>
          <w:rFonts w:ascii="Brill" w:eastAsia="Calibri" w:hAnsi="Brill" w:cs="Calibri"/>
          <w:lang w:val="id-ID"/>
        </w:rPr>
        <w:t>dan</w:t>
      </w:r>
      <w:r w:rsidR="00B1539C" w:rsidRPr="008A3265">
        <w:rPr>
          <w:rFonts w:ascii="Brill" w:eastAsia="Calibri" w:hAnsi="Brill" w:cs="Calibri"/>
          <w:lang w:val="id-ID"/>
        </w:rPr>
        <w:t xml:space="preserve"> diadopsi oleh Forum Kota HAM Dunia (</w:t>
      </w:r>
      <w:r w:rsidR="00B1539C" w:rsidRPr="008A3265">
        <w:rPr>
          <w:rFonts w:ascii="Brill" w:eastAsia="Calibri" w:hAnsi="Brill" w:cs="Calibri"/>
          <w:i/>
          <w:lang w:val="id-ID"/>
        </w:rPr>
        <w:t>world human rights cities forum</w:t>
      </w:r>
      <w:r w:rsidR="00B1539C" w:rsidRPr="008A3265">
        <w:rPr>
          <w:rFonts w:ascii="Brill" w:eastAsia="Calibri" w:hAnsi="Brill" w:cs="Calibri"/>
          <w:iCs/>
          <w:lang w:val="id-ID"/>
        </w:rPr>
        <w:t>)</w:t>
      </w:r>
      <w:r w:rsidR="000C3721" w:rsidRPr="008A3265">
        <w:rPr>
          <w:rFonts w:ascii="Brill" w:eastAsia="Calibri" w:hAnsi="Brill" w:cs="Calibri"/>
          <w:iCs/>
          <w:lang w:val="id-ID"/>
        </w:rPr>
        <w:t xml:space="preserve">. Deklarasi ini menghasilkan suatu desain </w:t>
      </w:r>
      <w:r w:rsidRPr="008A3265">
        <w:rPr>
          <w:rFonts w:ascii="Brill" w:eastAsia="Calibri" w:hAnsi="Brill" w:cs="Calibri"/>
          <w:lang w:val="id-ID"/>
        </w:rPr>
        <w:t xml:space="preserve">kota HAM </w:t>
      </w:r>
      <w:r w:rsidR="000C3721" w:rsidRPr="008A3265">
        <w:rPr>
          <w:rFonts w:ascii="Brill" w:eastAsia="Calibri" w:hAnsi="Brill" w:cs="Calibri"/>
          <w:lang w:val="id-ID"/>
        </w:rPr>
        <w:t xml:space="preserve">yang menempatkan posisi sentral pemerintah daerah dalam mengimplementasikan </w:t>
      </w:r>
      <w:r w:rsidRPr="008A3265">
        <w:rPr>
          <w:rFonts w:ascii="Brill" w:eastAsia="Calibri" w:hAnsi="Brill" w:cs="Calibri"/>
          <w:lang w:val="id-ID"/>
        </w:rPr>
        <w:t>pemenuhan kesetaraan dan prinsip non-diskriminatif, inklusi sosial, toleransi pada setiap bentuk keberagaman, tata kelola pemerintahan berbasis HAM</w:t>
      </w:r>
      <w:r w:rsidR="00AD2E7A" w:rsidRPr="008A3265">
        <w:rPr>
          <w:rFonts w:ascii="Brill" w:eastAsia="Calibri" w:hAnsi="Brill" w:cs="Calibri"/>
          <w:lang w:val="id-ID"/>
        </w:rPr>
        <w:t xml:space="preserve"> dalam konteks lokal.</w:t>
      </w:r>
      <w:r w:rsidR="00AD2E7A" w:rsidRPr="008A3265">
        <w:rPr>
          <w:rStyle w:val="FootnoteReference"/>
          <w:rFonts w:ascii="Brill" w:eastAsia="Calibri" w:hAnsi="Brill" w:cs="Calibri"/>
          <w:lang w:val="id-ID"/>
        </w:rPr>
        <w:footnoteReference w:id="4"/>
      </w:r>
      <w:r w:rsidRPr="008A3265">
        <w:rPr>
          <w:rFonts w:ascii="Brill" w:eastAsia="Calibri" w:hAnsi="Brill" w:cs="Calibri"/>
          <w:lang w:val="id-ID"/>
        </w:rPr>
        <w:t xml:space="preserve"> </w:t>
      </w:r>
      <w:r w:rsidR="00F37B3A" w:rsidRPr="008A3265">
        <w:rPr>
          <w:rFonts w:ascii="Brill" w:eastAsia="Calibri" w:hAnsi="Brill" w:cs="Calibri"/>
          <w:lang w:val="id-ID"/>
        </w:rPr>
        <w:t xml:space="preserve">Untuk melahirkan kota HAM, maka perlu membangun </w:t>
      </w:r>
      <w:r w:rsidR="00276525" w:rsidRPr="008A3265">
        <w:rPr>
          <w:rFonts w:ascii="Brill" w:eastAsia="Calibri" w:hAnsi="Brill" w:cs="Calibri"/>
          <w:lang w:val="id-ID"/>
        </w:rPr>
        <w:t>supra</w:t>
      </w:r>
      <w:r w:rsidR="00292EF7" w:rsidRPr="008A3265">
        <w:rPr>
          <w:rFonts w:ascii="Brill" w:eastAsia="Calibri" w:hAnsi="Brill" w:cs="Calibri"/>
          <w:lang w:val="id-ID"/>
        </w:rPr>
        <w:t>-</w:t>
      </w:r>
      <w:r w:rsidR="00276525" w:rsidRPr="008A3265">
        <w:rPr>
          <w:rFonts w:ascii="Brill" w:eastAsia="Calibri" w:hAnsi="Brill" w:cs="Calibri"/>
          <w:lang w:val="id-ID"/>
        </w:rPr>
        <w:t>struktur dan infrastruktur</w:t>
      </w:r>
      <w:r w:rsidR="00F37B3A" w:rsidRPr="008A3265">
        <w:rPr>
          <w:rFonts w:ascii="Brill" w:eastAsia="Calibri" w:hAnsi="Brill" w:cs="Calibri"/>
          <w:lang w:val="id-ID"/>
        </w:rPr>
        <w:t xml:space="preserve"> </w:t>
      </w:r>
      <w:r w:rsidR="00276525" w:rsidRPr="008A3265">
        <w:rPr>
          <w:rFonts w:ascii="Brill" w:eastAsia="Calibri" w:hAnsi="Brill" w:cs="Calibri"/>
          <w:lang w:val="id-ID"/>
        </w:rPr>
        <w:t xml:space="preserve">politik </w:t>
      </w:r>
      <w:r w:rsidR="00F37B3A" w:rsidRPr="008A3265">
        <w:rPr>
          <w:rFonts w:ascii="Brill" w:eastAsia="Calibri" w:hAnsi="Brill" w:cs="Calibri"/>
          <w:lang w:val="id-ID"/>
        </w:rPr>
        <w:t xml:space="preserve">melalui </w:t>
      </w:r>
      <w:r w:rsidR="00276525" w:rsidRPr="008A3265">
        <w:rPr>
          <w:rFonts w:ascii="Brill" w:eastAsia="Calibri" w:hAnsi="Brill" w:cs="Calibri"/>
          <w:lang w:val="id-ID"/>
        </w:rPr>
        <w:t xml:space="preserve">kebijakan dan </w:t>
      </w:r>
      <w:r w:rsidR="00F37B3A" w:rsidRPr="008A3265">
        <w:rPr>
          <w:rFonts w:ascii="Brill" w:eastAsia="Calibri" w:hAnsi="Brill" w:cs="Calibri"/>
          <w:lang w:val="id-ID"/>
        </w:rPr>
        <w:t>pendidikan HAM.</w:t>
      </w:r>
      <w:r w:rsidR="00F37B3A" w:rsidRPr="008A3265">
        <w:rPr>
          <w:rStyle w:val="FootnoteReference"/>
          <w:rFonts w:ascii="Brill" w:eastAsia="Calibri" w:hAnsi="Brill" w:cs="Calibri"/>
          <w:lang w:val="id-ID"/>
        </w:rPr>
        <w:footnoteReference w:id="5"/>
      </w:r>
      <w:r w:rsidR="00F37B3A" w:rsidRPr="008A3265">
        <w:rPr>
          <w:rFonts w:ascii="Brill" w:eastAsia="Calibri" w:hAnsi="Brill" w:cs="Calibri"/>
          <w:lang w:val="id-ID"/>
        </w:rPr>
        <w:t xml:space="preserve"> Dalam salah satu riset oleh Raoul Wallenberg Institute, ditemukan bahwa keberhasilan Gwangju menjadi salah satu kiblat kota HAM dunia adalah karena pendidikan HAM yang dilakukan berkesinambungan.</w:t>
      </w:r>
      <w:r w:rsidR="00F37B3A" w:rsidRPr="008A3265">
        <w:rPr>
          <w:rStyle w:val="FootnoteReference"/>
          <w:rFonts w:ascii="Brill" w:eastAsia="Calibri" w:hAnsi="Brill" w:cs="Calibri"/>
          <w:lang w:val="id-ID"/>
        </w:rPr>
        <w:footnoteReference w:id="6"/>
      </w:r>
      <w:r w:rsidR="00F37B3A" w:rsidRPr="008A3265">
        <w:rPr>
          <w:rFonts w:ascii="Brill" w:eastAsia="Calibri" w:hAnsi="Brill" w:cs="Calibri"/>
          <w:lang w:val="id-ID"/>
        </w:rPr>
        <w:t xml:space="preserve"> Berkaca dari hal tersebut, pemerintah daerah di Indonesia perlu menggalakkan pendidikan HAM yang integratif kepada seluruh pegawai aparatur sipil negara dan masyarakat sipil. </w:t>
      </w:r>
    </w:p>
    <w:p w14:paraId="758E353D" w14:textId="66629198" w:rsidR="00D90FCE" w:rsidRPr="008A3265" w:rsidRDefault="00F37B3A" w:rsidP="00826DC1">
      <w:pPr>
        <w:ind w:firstLine="720"/>
        <w:jc w:val="both"/>
        <w:rPr>
          <w:rFonts w:ascii="Brill" w:eastAsia="Calibri" w:hAnsi="Brill" w:cs="Calibri"/>
          <w:lang w:val="id-ID"/>
        </w:rPr>
      </w:pPr>
      <w:r w:rsidRPr="008A3265">
        <w:rPr>
          <w:rFonts w:ascii="Brill" w:eastAsia="Calibri" w:hAnsi="Brill" w:cs="Calibri"/>
          <w:lang w:val="id-ID"/>
        </w:rPr>
        <w:t>Keberhasilan pendidikan HAM dapat berkiblat pada beberapa kota dan kabupaten di Indonesia. Beberapa di</w:t>
      </w:r>
      <w:r w:rsidR="00292EF7" w:rsidRPr="008A3265">
        <w:rPr>
          <w:rFonts w:ascii="Brill" w:eastAsia="Calibri" w:hAnsi="Brill" w:cs="Calibri"/>
          <w:lang w:val="id-ID"/>
        </w:rPr>
        <w:t xml:space="preserve"> </w:t>
      </w:r>
      <w:r w:rsidRPr="008A3265">
        <w:rPr>
          <w:rFonts w:ascii="Brill" w:eastAsia="Calibri" w:hAnsi="Brill" w:cs="Calibri"/>
          <w:lang w:val="id-ID"/>
        </w:rPr>
        <w:t>antaranya adalah Kabupaten Wonosobo, Kabupaten Bojonegoro, Kabupaten Lampung Timur, Kota Palu, Kota Bandung dan daerah-daerah lainnya. Tercatat sejak Tahun 2020, terdapat 259 daerah yang meraih penghargaan sebagai kota peduli HAM dari Kementerian Hukum dan HAM. Keberhasilan tersebut berawal dari inisiatif melalui pendidikan HAM dan kolaborasi aktif bersama kekuatan masyarakat sipil.</w:t>
      </w:r>
      <w:r w:rsidRPr="008A3265">
        <w:rPr>
          <w:rStyle w:val="FootnoteReference"/>
          <w:rFonts w:ascii="Brill" w:eastAsia="Calibri" w:hAnsi="Brill" w:cs="Calibri"/>
          <w:lang w:val="id-ID"/>
        </w:rPr>
        <w:footnoteReference w:id="7"/>
      </w:r>
      <w:r w:rsidR="00D10660" w:rsidRPr="008A3265">
        <w:rPr>
          <w:rFonts w:ascii="Brill" w:eastAsia="Calibri" w:hAnsi="Brill" w:cs="Calibri"/>
          <w:lang w:val="id-ID"/>
        </w:rPr>
        <w:t xml:space="preserve"> A</w:t>
      </w:r>
      <w:r w:rsidRPr="008A3265">
        <w:rPr>
          <w:rFonts w:ascii="Brill" w:eastAsia="Calibri" w:hAnsi="Brill" w:cs="Calibri"/>
          <w:lang w:val="id-ID"/>
        </w:rPr>
        <w:t>rtikel</w:t>
      </w:r>
      <w:r w:rsidR="00D10660" w:rsidRPr="008A3265">
        <w:rPr>
          <w:rFonts w:ascii="Brill" w:eastAsia="Calibri" w:hAnsi="Brill" w:cs="Calibri"/>
          <w:lang w:val="id-ID"/>
        </w:rPr>
        <w:t xml:space="preserve"> ini memfokuskan pada penyusunan kebijakan toleransi sebagai desain </w:t>
      </w:r>
      <w:r w:rsidR="00276525" w:rsidRPr="008A3265">
        <w:rPr>
          <w:rFonts w:ascii="Brill" w:eastAsia="Calibri" w:hAnsi="Brill" w:cs="Calibri"/>
          <w:lang w:val="id-ID"/>
        </w:rPr>
        <w:t>supra</w:t>
      </w:r>
      <w:r w:rsidR="00292EF7" w:rsidRPr="008A3265">
        <w:rPr>
          <w:rFonts w:ascii="Brill" w:eastAsia="Calibri" w:hAnsi="Brill" w:cs="Calibri"/>
          <w:lang w:val="id-ID"/>
        </w:rPr>
        <w:t>-</w:t>
      </w:r>
      <w:r w:rsidR="00276525" w:rsidRPr="008A3265">
        <w:rPr>
          <w:rFonts w:ascii="Brill" w:eastAsia="Calibri" w:hAnsi="Brill" w:cs="Calibri"/>
          <w:lang w:val="id-ID"/>
        </w:rPr>
        <w:t>struktur</w:t>
      </w:r>
      <w:r w:rsidR="00D10660" w:rsidRPr="008A3265">
        <w:rPr>
          <w:rFonts w:ascii="Brill" w:eastAsia="Calibri" w:hAnsi="Brill" w:cs="Calibri"/>
          <w:lang w:val="id-ID"/>
        </w:rPr>
        <w:t xml:space="preserve"> politik dalam wacana Pontianak sebagai Kota HAM.</w:t>
      </w:r>
      <w:r w:rsidRPr="008A3265">
        <w:rPr>
          <w:rFonts w:ascii="Brill" w:eastAsia="Calibri" w:hAnsi="Brill" w:cs="Calibri"/>
          <w:lang w:val="id-ID"/>
        </w:rPr>
        <w:t xml:space="preserve"> Terdapat beberapa pertimbangan dalam pemilihan Kota Pontianak sebagai obyek penulisan artikel ini. Pertama, kota Pontianak memiliki sejarah kelam konflik berkepanjangan yang hingga saat ini, narasi-narasi konflik tersebut masih diwariskan.</w:t>
      </w:r>
      <w:r w:rsidRPr="008A3265">
        <w:rPr>
          <w:rStyle w:val="FootnoteReference"/>
          <w:rFonts w:ascii="Brill" w:eastAsia="Calibri" w:hAnsi="Brill" w:cs="Calibri"/>
          <w:lang w:val="id-ID"/>
        </w:rPr>
        <w:footnoteReference w:id="8"/>
      </w:r>
      <w:r w:rsidRPr="008A3265">
        <w:rPr>
          <w:rFonts w:ascii="Brill" w:eastAsia="Calibri" w:hAnsi="Brill" w:cs="Calibri"/>
          <w:lang w:val="id-ID"/>
        </w:rPr>
        <w:t xml:space="preserve"> Kondisi tersebut menghasilkan residu yang belum terurai sehingga ketegangan-ketegangan yang pada beberapa situasi tertentu dapat diledakkan kembali.</w:t>
      </w:r>
      <w:r w:rsidRPr="008A3265">
        <w:rPr>
          <w:rStyle w:val="FootnoteReference"/>
          <w:rFonts w:ascii="Brill" w:eastAsia="Calibri" w:hAnsi="Brill" w:cs="Calibri"/>
          <w:lang w:val="id-ID"/>
        </w:rPr>
        <w:footnoteReference w:id="9"/>
      </w:r>
      <w:r w:rsidRPr="008A3265">
        <w:rPr>
          <w:rFonts w:ascii="Brill" w:eastAsia="Calibri" w:hAnsi="Brill" w:cs="Calibri"/>
          <w:lang w:val="id-ID"/>
        </w:rPr>
        <w:t xml:space="preserve"> Kedua, Kota Pontianak memiliki modalitas yang kuat karena kondisi demografi Kota </w:t>
      </w:r>
      <w:r w:rsidRPr="008A3265">
        <w:rPr>
          <w:rFonts w:ascii="Brill" w:eastAsia="Calibri" w:hAnsi="Brill" w:cs="Calibri"/>
          <w:lang w:val="id-ID"/>
        </w:rPr>
        <w:lastRenderedPageBreak/>
        <w:t xml:space="preserve">Pontianak yang sangat beragam. Kota Pontianak sering disebut sebagai miniatur Indonesia dengan keberagamannya </w:t>
      </w:r>
      <w:r w:rsidR="00D10660" w:rsidRPr="008A3265">
        <w:rPr>
          <w:rFonts w:ascii="Brill" w:eastAsia="Calibri" w:hAnsi="Brill" w:cs="Calibri"/>
          <w:lang w:val="id-ID"/>
        </w:rPr>
        <w:t>sehingga perlu</w:t>
      </w:r>
      <w:r w:rsidRPr="008A3265">
        <w:rPr>
          <w:rFonts w:ascii="Brill" w:eastAsia="Calibri" w:hAnsi="Brill" w:cs="Calibri"/>
          <w:lang w:val="id-ID"/>
        </w:rPr>
        <w:t xml:space="preserve"> digali dan dikelola dengan baik.</w:t>
      </w:r>
      <w:r w:rsidRPr="008A3265">
        <w:rPr>
          <w:rStyle w:val="FootnoteReference"/>
          <w:rFonts w:ascii="Brill" w:eastAsia="Calibri" w:hAnsi="Brill" w:cs="Calibri"/>
          <w:lang w:val="id-ID"/>
        </w:rPr>
        <w:footnoteReference w:id="10"/>
      </w:r>
      <w:r w:rsidRPr="008A3265">
        <w:rPr>
          <w:rFonts w:ascii="Brill" w:eastAsia="Calibri" w:hAnsi="Brill" w:cs="Calibri"/>
          <w:lang w:val="id-ID"/>
        </w:rPr>
        <w:t xml:space="preserve"> Ketiga, muncul gerakan-gerakan kritis yang dibangun oleh </w:t>
      </w:r>
      <w:r w:rsidR="00D10660" w:rsidRPr="008A3265">
        <w:rPr>
          <w:rFonts w:ascii="Brill" w:eastAsia="Calibri" w:hAnsi="Brill" w:cs="Calibri"/>
          <w:lang w:val="id-ID"/>
        </w:rPr>
        <w:t>masyarakat sipil</w:t>
      </w:r>
      <w:r w:rsidRPr="008A3265">
        <w:rPr>
          <w:rFonts w:ascii="Brill" w:eastAsia="Calibri" w:hAnsi="Brill" w:cs="Calibri"/>
          <w:lang w:val="id-ID"/>
        </w:rPr>
        <w:t xml:space="preserve"> yang menggalakkan pendidikan HAM</w:t>
      </w:r>
      <w:r w:rsidR="00D10660" w:rsidRPr="008A3265">
        <w:rPr>
          <w:rFonts w:ascii="Brill" w:eastAsia="Calibri" w:hAnsi="Brill" w:cs="Calibri"/>
          <w:lang w:val="id-ID"/>
        </w:rPr>
        <w:t xml:space="preserve"> </w:t>
      </w:r>
      <w:r w:rsidRPr="008A3265">
        <w:rPr>
          <w:rFonts w:ascii="Brill" w:eastAsia="Calibri" w:hAnsi="Brill" w:cs="Calibri"/>
          <w:lang w:val="id-ID"/>
        </w:rPr>
        <w:t>untuk memutus mata rantai konflik antar etnis yang menjadi luka di masa lalu. Oleh karena itu, salah satu keberhasilannya adalah melahirkan naskah akademik dan Rancangan Peraturan Daerah Kota Pontianak tentang Toleransi Kehidupan Bermasyarakat (Ranperda Toleransi).</w:t>
      </w:r>
      <w:r w:rsidRPr="008A3265">
        <w:rPr>
          <w:rStyle w:val="FootnoteReference"/>
          <w:rFonts w:ascii="Brill" w:eastAsia="Calibri" w:hAnsi="Brill" w:cs="Calibri"/>
          <w:lang w:val="id-ID"/>
        </w:rPr>
        <w:footnoteReference w:id="11"/>
      </w:r>
      <w:r w:rsidRPr="008A3265">
        <w:rPr>
          <w:rFonts w:ascii="Brill" w:eastAsia="Calibri" w:hAnsi="Brill" w:cs="Calibri"/>
          <w:lang w:val="id-ID"/>
        </w:rPr>
        <w:t xml:space="preserve"> Keempat, proses politik hukum Ranperda Toleransi mengalami pergulatan </w:t>
      </w:r>
      <w:r w:rsidR="00D10660" w:rsidRPr="008A3265">
        <w:rPr>
          <w:rFonts w:ascii="Brill" w:eastAsia="Calibri" w:hAnsi="Brill" w:cs="Calibri"/>
          <w:lang w:val="id-ID"/>
        </w:rPr>
        <w:t>paradigmatis</w:t>
      </w:r>
      <w:r w:rsidRPr="008A3265">
        <w:rPr>
          <w:rFonts w:ascii="Brill" w:eastAsia="Calibri" w:hAnsi="Brill" w:cs="Calibri"/>
          <w:lang w:val="id-ID"/>
        </w:rPr>
        <w:t xml:space="preserve"> </w:t>
      </w:r>
      <w:r w:rsidR="00D90FCE" w:rsidRPr="008A3265">
        <w:rPr>
          <w:rFonts w:ascii="Brill" w:eastAsia="Calibri" w:hAnsi="Brill" w:cs="Calibri"/>
          <w:lang w:val="id-ID"/>
        </w:rPr>
        <w:t>menyoal</w:t>
      </w:r>
      <w:r w:rsidRPr="008A3265">
        <w:rPr>
          <w:rFonts w:ascii="Brill" w:eastAsia="Calibri" w:hAnsi="Brill" w:cs="Calibri"/>
          <w:lang w:val="id-ID"/>
        </w:rPr>
        <w:t xml:space="preserve"> urgensi toleransi dan HAM di Kota Pontianak. Menurut anggota dewan, toleransi tidak membutuhkan proses institusionalisasi </w:t>
      </w:r>
      <w:r w:rsidR="00D10660" w:rsidRPr="008A3265">
        <w:rPr>
          <w:rFonts w:ascii="Brill" w:eastAsia="Calibri" w:hAnsi="Brill" w:cs="Calibri"/>
          <w:lang w:val="id-ID"/>
        </w:rPr>
        <w:t xml:space="preserve">mengingat </w:t>
      </w:r>
      <w:r w:rsidR="00292EF7" w:rsidRPr="008A3265">
        <w:rPr>
          <w:rFonts w:ascii="Brill" w:eastAsia="Calibri" w:hAnsi="Brill" w:cs="Calibri"/>
          <w:lang w:val="id-ID"/>
        </w:rPr>
        <w:t>konsep</w:t>
      </w:r>
      <w:r w:rsidR="00D10660" w:rsidRPr="008A3265">
        <w:rPr>
          <w:rFonts w:ascii="Brill" w:eastAsia="Calibri" w:hAnsi="Brill" w:cs="Calibri"/>
          <w:lang w:val="id-ID"/>
        </w:rPr>
        <w:t xml:space="preserve"> HAM memuat konotasi Eropasentris yang liberal dan </w:t>
      </w:r>
      <w:r w:rsidR="00D90FCE" w:rsidRPr="008A3265">
        <w:rPr>
          <w:rFonts w:ascii="Brill" w:eastAsia="Calibri" w:hAnsi="Brill" w:cs="Calibri"/>
          <w:lang w:val="id-ID"/>
        </w:rPr>
        <w:t xml:space="preserve">tidak sejalan dengan </w:t>
      </w:r>
      <w:r w:rsidR="001112C1">
        <w:rPr>
          <w:rFonts w:ascii="Brill" w:eastAsia="Calibri" w:hAnsi="Brill" w:cs="Calibri"/>
          <w:lang w:val="en-US"/>
        </w:rPr>
        <w:t xml:space="preserve">syariah dan </w:t>
      </w:r>
      <w:r w:rsidR="00D90FCE" w:rsidRPr="008A3265">
        <w:rPr>
          <w:rFonts w:ascii="Brill" w:eastAsia="Calibri" w:hAnsi="Brill" w:cs="Calibri"/>
          <w:lang w:val="id-ID"/>
        </w:rPr>
        <w:t>budaya lokal atau pertentangan partikularisme HAM.</w:t>
      </w:r>
      <w:r w:rsidR="00D10660" w:rsidRPr="008A3265">
        <w:rPr>
          <w:rFonts w:ascii="Brill" w:eastAsia="Calibri" w:hAnsi="Brill" w:cs="Calibri"/>
          <w:lang w:val="id-ID"/>
        </w:rPr>
        <w:t xml:space="preserve"> </w:t>
      </w:r>
      <w:r w:rsidR="00D90FCE" w:rsidRPr="008A3265">
        <w:rPr>
          <w:rFonts w:ascii="Brill" w:eastAsia="Calibri" w:hAnsi="Brill" w:cs="Calibri"/>
          <w:lang w:val="id-ID"/>
        </w:rPr>
        <w:t>Hambatan ini</w:t>
      </w:r>
      <w:r w:rsidRPr="008A3265">
        <w:rPr>
          <w:rFonts w:ascii="Brill" w:eastAsia="Calibri" w:hAnsi="Brill" w:cs="Calibri"/>
          <w:lang w:val="id-ID"/>
        </w:rPr>
        <w:t xml:space="preserve"> menempatkan posisi pengarusutamaan HAM di Kota Pontianak berjalan ringkih. </w:t>
      </w:r>
      <w:r w:rsidR="00D90FCE" w:rsidRPr="008A3265">
        <w:rPr>
          <w:rFonts w:ascii="Brill" w:eastAsia="Calibri" w:hAnsi="Brill" w:cs="Calibri"/>
          <w:lang w:val="id-ID"/>
        </w:rPr>
        <w:t>Padahal dalam konteks kebijakan di Indonesia, secara normatif tanggung jawab pemerintah (</w:t>
      </w:r>
      <w:r w:rsidR="00D90FCE" w:rsidRPr="008A3265">
        <w:rPr>
          <w:rFonts w:ascii="Brill" w:eastAsia="Calibri" w:hAnsi="Brill" w:cs="Calibri"/>
          <w:i/>
          <w:iCs/>
          <w:lang w:val="id-ID"/>
        </w:rPr>
        <w:t>duty bearer</w:t>
      </w:r>
      <w:r w:rsidR="00D90FCE" w:rsidRPr="008A3265">
        <w:rPr>
          <w:rFonts w:ascii="Brill" w:eastAsia="Calibri" w:hAnsi="Brill" w:cs="Calibri"/>
          <w:lang w:val="id-ID"/>
        </w:rPr>
        <w:t>) dalam menghormati, melindungi, menegakkan, dan memajukan HAM diatur dalam Pasal 71 Undang-Undang Nomor 39 Tahun 1999 tentang HAM. Terdapat juga Keputusan Presiden Republik Indonesia Nomor 53 Tahun 2021 tentang Rencana Aksi Nasional HAM (RANHAM). Secara lebih teknis, diatur juga dalam Peraturan Menteri Hukum dan HAM Nomor 22 Tahun 2021 tentang Kriteria Daerah Kabupaten/Kota Peduli HAM. Dari sisi regulasi, Indonesia telah berkomitmen untuk menjembatani pemerintah daerah dalam mengakselerasikan lahirnya Kota HAM. Namun, pemerintah Kota Pontianak mengabaikan proses formal pembentukan Kota HAM.</w:t>
      </w:r>
    </w:p>
    <w:p w14:paraId="34A97182" w14:textId="1436F1A7" w:rsidR="00C87838" w:rsidRPr="008A3265" w:rsidRDefault="00572E1D" w:rsidP="00C87838">
      <w:pPr>
        <w:ind w:firstLine="720"/>
        <w:jc w:val="both"/>
        <w:rPr>
          <w:rFonts w:ascii="Brill" w:eastAsia="Calibri" w:hAnsi="Brill" w:cs="Calibri"/>
          <w:lang w:val="id-ID"/>
        </w:rPr>
      </w:pPr>
      <w:r w:rsidRPr="008A3265">
        <w:rPr>
          <w:rFonts w:ascii="Brill" w:eastAsia="Calibri" w:hAnsi="Brill" w:cs="Calibri"/>
          <w:lang w:val="id-ID"/>
        </w:rPr>
        <w:t xml:space="preserve">Sejumlah penelitian terdahulu telah mengkaji bagaimana HAM </w:t>
      </w:r>
      <w:r w:rsidR="00E5792A" w:rsidRPr="008A3265">
        <w:rPr>
          <w:rFonts w:ascii="Brill" w:eastAsia="Calibri" w:hAnsi="Brill" w:cs="Calibri"/>
          <w:lang w:val="id-ID"/>
        </w:rPr>
        <w:t xml:space="preserve">dalam berbagai </w:t>
      </w:r>
      <w:r w:rsidR="00652F5E" w:rsidRPr="008A3265">
        <w:rPr>
          <w:rFonts w:ascii="Brill" w:eastAsia="Calibri" w:hAnsi="Brill" w:cs="Calibri"/>
          <w:lang w:val="id-ID"/>
        </w:rPr>
        <w:t>perspektif</w:t>
      </w:r>
      <w:r w:rsidR="00E5792A" w:rsidRPr="008A3265">
        <w:rPr>
          <w:rFonts w:ascii="Brill" w:eastAsia="Calibri" w:hAnsi="Brill" w:cs="Calibri"/>
          <w:lang w:val="id-ID"/>
        </w:rPr>
        <w:t xml:space="preserve"> </w:t>
      </w:r>
      <w:r w:rsidRPr="008A3265">
        <w:rPr>
          <w:rFonts w:ascii="Brill" w:eastAsia="Calibri" w:hAnsi="Brill" w:cs="Calibri"/>
          <w:lang w:val="id-ID"/>
        </w:rPr>
        <w:t xml:space="preserve">dapat diimplementasikan dalam </w:t>
      </w:r>
      <w:r w:rsidR="00E5792A" w:rsidRPr="008A3265">
        <w:rPr>
          <w:rFonts w:ascii="Brill" w:eastAsia="Calibri" w:hAnsi="Brill" w:cs="Calibri"/>
          <w:lang w:val="id-ID"/>
        </w:rPr>
        <w:t>kebijakan di</w:t>
      </w:r>
      <w:r w:rsidRPr="008A3265">
        <w:rPr>
          <w:rFonts w:ascii="Brill" w:eastAsia="Calibri" w:hAnsi="Brill" w:cs="Calibri"/>
          <w:lang w:val="id-ID"/>
        </w:rPr>
        <w:t xml:space="preserve"> daerah. </w:t>
      </w:r>
      <w:r w:rsidR="00E5792A" w:rsidRPr="008A3265">
        <w:rPr>
          <w:rFonts w:ascii="Brill" w:eastAsia="Calibri" w:hAnsi="Brill" w:cs="Calibri"/>
          <w:lang w:val="id-ID"/>
        </w:rPr>
        <w:t xml:space="preserve">Pada </w:t>
      </w:r>
      <w:r w:rsidR="00652F5E" w:rsidRPr="008A3265">
        <w:rPr>
          <w:rFonts w:ascii="Brill" w:eastAsia="Calibri" w:hAnsi="Brill" w:cs="Calibri"/>
          <w:lang w:val="id-ID"/>
        </w:rPr>
        <w:t>perspektif</w:t>
      </w:r>
      <w:r w:rsidR="00E5792A" w:rsidRPr="008A3265">
        <w:rPr>
          <w:rFonts w:ascii="Brill" w:eastAsia="Calibri" w:hAnsi="Brill" w:cs="Calibri"/>
          <w:lang w:val="id-ID"/>
        </w:rPr>
        <w:t xml:space="preserve"> hak anak, </w:t>
      </w:r>
      <w:r w:rsidRPr="008A3265">
        <w:rPr>
          <w:rFonts w:ascii="Brill" w:eastAsia="Calibri" w:hAnsi="Brill" w:cs="Calibri"/>
          <w:lang w:val="id-ID"/>
        </w:rPr>
        <w:t xml:space="preserve">Afinzha Masar dan Syofiaty Lubis </w:t>
      </w:r>
      <w:r w:rsidR="00E5792A" w:rsidRPr="008A3265">
        <w:rPr>
          <w:rFonts w:ascii="Brill" w:eastAsia="Calibri" w:hAnsi="Brill" w:cs="Calibri"/>
          <w:lang w:val="id-ID"/>
        </w:rPr>
        <w:t xml:space="preserve">yang meneliti tentang Kabupaten Langkat </w:t>
      </w:r>
      <w:r w:rsidR="008C5148">
        <w:rPr>
          <w:rFonts w:ascii="Brill" w:eastAsia="Calibri" w:hAnsi="Brill" w:cs="Calibri"/>
          <w:lang w:val="id-ID"/>
        </w:rPr>
        <w:t>“</w:t>
      </w:r>
      <w:r w:rsidR="00E5792A" w:rsidRPr="008A3265">
        <w:rPr>
          <w:rFonts w:ascii="Brill" w:eastAsia="Calibri" w:hAnsi="Brill" w:cs="Calibri"/>
          <w:lang w:val="id-ID"/>
        </w:rPr>
        <w:t>Layak Anak</w:t>
      </w:r>
      <w:r w:rsidR="008C5148">
        <w:rPr>
          <w:rFonts w:ascii="Brill" w:eastAsia="Calibri" w:hAnsi="Brill" w:cs="Calibri"/>
          <w:lang w:val="id-ID"/>
        </w:rPr>
        <w:t>”</w:t>
      </w:r>
      <w:r w:rsidR="00E5792A" w:rsidRPr="008A3265">
        <w:rPr>
          <w:rFonts w:ascii="Brill" w:eastAsia="Calibri" w:hAnsi="Brill" w:cs="Calibri"/>
          <w:lang w:val="id-ID"/>
        </w:rPr>
        <w:t xml:space="preserve">, </w:t>
      </w:r>
      <w:r w:rsidRPr="008A3265">
        <w:rPr>
          <w:rFonts w:ascii="Brill" w:eastAsia="Calibri" w:hAnsi="Brill" w:cs="Calibri"/>
          <w:lang w:val="id-ID"/>
        </w:rPr>
        <w:t xml:space="preserve">berargumentasi bahwa kualitas sumber daya manusia, </w:t>
      </w:r>
      <w:r w:rsidR="00E5792A" w:rsidRPr="008A3265">
        <w:rPr>
          <w:rFonts w:ascii="Brill" w:eastAsia="Calibri" w:hAnsi="Brill" w:cs="Calibri"/>
          <w:lang w:val="id-ID"/>
        </w:rPr>
        <w:t>kerja sama</w:t>
      </w:r>
      <w:r w:rsidRPr="008A3265">
        <w:rPr>
          <w:rFonts w:ascii="Brill" w:eastAsia="Calibri" w:hAnsi="Brill" w:cs="Calibri"/>
          <w:lang w:val="id-ID"/>
        </w:rPr>
        <w:t xml:space="preserve"> antar pelaksana kebijakan, dan pemahaman masyarakat belum mengakar dalam konteks pendidikan HAM</w:t>
      </w:r>
      <w:r w:rsidR="00E5792A" w:rsidRPr="008A3265">
        <w:rPr>
          <w:rFonts w:ascii="Brill" w:eastAsia="Calibri" w:hAnsi="Brill" w:cs="Calibri"/>
          <w:lang w:val="id-ID"/>
        </w:rPr>
        <w:t xml:space="preserve"> dan hak anak.</w:t>
      </w:r>
      <w:r w:rsidR="00E5792A" w:rsidRPr="008A3265">
        <w:rPr>
          <w:rStyle w:val="FootnoteReference"/>
          <w:rFonts w:ascii="Brill" w:eastAsia="Calibri" w:hAnsi="Brill" w:cs="Calibri"/>
          <w:lang w:val="id-ID"/>
        </w:rPr>
        <w:footnoteReference w:id="12"/>
      </w:r>
      <w:r w:rsidR="00652F5E" w:rsidRPr="008A3265">
        <w:rPr>
          <w:rFonts w:ascii="Brill" w:eastAsia="Calibri" w:hAnsi="Brill" w:cs="Calibri"/>
          <w:lang w:val="id-ID"/>
        </w:rPr>
        <w:t xml:space="preserve"> Pada perspektif kesetaraan gender, Surya Oktaviandra dan Putri Aulia Arza yang meneliti tentang pemajuan kesetaraan gender di tingkat lokal menyatakan bahwa kurangnya implementasi kesetaraan gender di tingkat lokal merupakan tantangan besar dalam pembangunan berkelanjutan.</w:t>
      </w:r>
      <w:r w:rsidR="00652F5E" w:rsidRPr="008A3265">
        <w:rPr>
          <w:rStyle w:val="FootnoteReference"/>
          <w:rFonts w:ascii="Brill" w:eastAsia="Calibri" w:hAnsi="Brill" w:cs="Calibri"/>
          <w:lang w:val="id-ID"/>
        </w:rPr>
        <w:footnoteReference w:id="13"/>
      </w:r>
      <w:r w:rsidR="00652F5E" w:rsidRPr="008A3265">
        <w:rPr>
          <w:rFonts w:ascii="Brill" w:eastAsia="Calibri" w:hAnsi="Brill" w:cs="Calibri"/>
          <w:lang w:val="id-ID"/>
        </w:rPr>
        <w:t xml:space="preserve"> Pada perspektif hak kebebasan beragama, </w:t>
      </w:r>
      <w:r w:rsidR="006E5901" w:rsidRPr="008A3265">
        <w:rPr>
          <w:rFonts w:ascii="Brill" w:eastAsia="Calibri" w:hAnsi="Brill" w:cs="Calibri"/>
          <w:lang w:val="id-ID"/>
        </w:rPr>
        <w:t>Anthin Lathifah yang meneliti Jemaat Ahmadiyah di Kabupaten Wonosobo mengungkap bahwa meskipun Jemaat Ahmadiyah bukanlah agama yang diakui di Indonesia, akan tetapi Pemerintah Daerah Kabupaten Wonosobo telah memiliki Peraturan Daerah tentang toleransi beragama yang menjamin hak kebebasan beragama Jemaat Ahmadiyah.</w:t>
      </w:r>
      <w:r w:rsidR="006E5901" w:rsidRPr="008A3265">
        <w:rPr>
          <w:rStyle w:val="FootnoteReference"/>
          <w:rFonts w:ascii="Brill" w:eastAsia="Calibri" w:hAnsi="Brill" w:cs="Calibri"/>
          <w:lang w:val="id-ID"/>
        </w:rPr>
        <w:footnoteReference w:id="14"/>
      </w:r>
      <w:r w:rsidR="00A319B6" w:rsidRPr="008A3265">
        <w:rPr>
          <w:rFonts w:ascii="Brill" w:eastAsia="Calibri" w:hAnsi="Brill" w:cs="Calibri"/>
          <w:lang w:val="id-ID"/>
        </w:rPr>
        <w:t xml:space="preserve"> Pada penelitian lain, Irwansyah </w:t>
      </w:r>
      <w:r w:rsidR="00A319B6" w:rsidRPr="008A3265">
        <w:rPr>
          <w:rFonts w:ascii="Brill" w:eastAsia="Calibri" w:hAnsi="Brill" w:cs="Calibri"/>
          <w:lang w:val="id-ID"/>
        </w:rPr>
        <w:lastRenderedPageBreak/>
        <w:t>dan kawan-kawan mengungkap bahwa hak kebebasan beragama dapat diakui secara lokal melalui positivisasi ke dalam Peraturan Daerah bernuansa syariah.</w:t>
      </w:r>
      <w:r w:rsidR="00A319B6" w:rsidRPr="008A3265">
        <w:rPr>
          <w:rStyle w:val="FootnoteReference"/>
          <w:rFonts w:ascii="Brill" w:eastAsia="Calibri" w:hAnsi="Brill" w:cs="Calibri"/>
          <w:lang w:val="id-ID"/>
        </w:rPr>
        <w:footnoteReference w:id="15"/>
      </w:r>
      <w:r w:rsidR="00E01022" w:rsidRPr="008A3265">
        <w:rPr>
          <w:rFonts w:ascii="Brill" w:eastAsia="Calibri" w:hAnsi="Brill" w:cs="Calibri"/>
          <w:lang w:val="id-ID"/>
        </w:rPr>
        <w:t xml:space="preserve"> Lain halnya dalam pandangan Deni Miharja dan kawan-kawan yang menilai bahwa positivisasi syariah cenderung diskriminatif dan melanggar hak kebebasan beragama sebagaimana Peraturan Daerah tentang Minuman Beralkohol di Sukabumi yang melanggar hak masyarakat non-muslim.</w:t>
      </w:r>
      <w:r w:rsidR="008C5148">
        <w:rPr>
          <w:rFonts w:ascii="Brill" w:eastAsia="Calibri" w:hAnsi="Brill" w:cs="Calibri"/>
          <w:lang w:val="id-ID"/>
        </w:rPr>
        <w:t xml:space="preserve"> </w:t>
      </w:r>
      <w:r w:rsidR="00CB6F61" w:rsidRPr="008A3265">
        <w:rPr>
          <w:rFonts w:ascii="Brill" w:eastAsia="Calibri" w:hAnsi="Brill" w:cs="Calibri"/>
          <w:lang w:val="id-ID"/>
        </w:rPr>
        <w:t>Pada perspektif hak masyarakat adat, Nukila Evanty dan Nurul Ghufron memotret ketiadaan kerangka kebijakan HAM di tingkat lokal pada aktivitas bisnis ekstraktif telah menyebabkan dampak pelanggaran HAM terhadap hak masyarakat adat di Kalimantan.</w:t>
      </w:r>
      <w:r w:rsidR="00CB6F61" w:rsidRPr="008A3265">
        <w:rPr>
          <w:rStyle w:val="FootnoteReference"/>
          <w:rFonts w:ascii="Brill" w:eastAsia="Calibri" w:hAnsi="Brill" w:cs="Calibri"/>
          <w:lang w:val="id-ID"/>
        </w:rPr>
        <w:footnoteReference w:id="16"/>
      </w:r>
      <w:r w:rsidR="00493139" w:rsidRPr="008A3265">
        <w:rPr>
          <w:rFonts w:ascii="Brill" w:eastAsia="Calibri" w:hAnsi="Brill" w:cs="Calibri"/>
          <w:lang w:val="id-ID"/>
        </w:rPr>
        <w:t xml:space="preserve"> Dalam perspektif hak pengungsi, Antje Missbach dan Yunizar Adiputera memotret keterlibatan pemerintah daerah dalam menyediakan akomodasi yang layak bagi pengungsi telah dipuji secara luas dalam konteks HAM, meskipun berdampak pada tata kelola keuangan daerah akibat dari peralihan tanggung jawab penanganan pengungsi dari pemerintah pusat ke pemerintah daerah.</w:t>
      </w:r>
      <w:r w:rsidR="00493139" w:rsidRPr="008A3265">
        <w:rPr>
          <w:rStyle w:val="FootnoteReference"/>
          <w:rFonts w:ascii="Brill" w:eastAsia="Calibri" w:hAnsi="Brill" w:cs="Calibri"/>
          <w:lang w:val="id-ID"/>
        </w:rPr>
        <w:footnoteReference w:id="17"/>
      </w:r>
      <w:r w:rsidR="00826DC1" w:rsidRPr="008A3265">
        <w:rPr>
          <w:rFonts w:ascii="Brill" w:eastAsia="Calibri" w:hAnsi="Brill" w:cs="Calibri"/>
          <w:lang w:val="id-ID"/>
        </w:rPr>
        <w:t xml:space="preserve"> </w:t>
      </w:r>
      <w:r w:rsidR="00C87838" w:rsidRPr="008A3265">
        <w:rPr>
          <w:rFonts w:ascii="Brill" w:eastAsia="Calibri" w:hAnsi="Brill" w:cs="Calibri"/>
          <w:lang w:val="id-ID"/>
        </w:rPr>
        <w:t xml:space="preserve">Berbeda dengan sejumlah para sarjana sebelumnya, artikel ini fokus </w:t>
      </w:r>
      <w:r w:rsidR="007D7B1F" w:rsidRPr="008A3265">
        <w:rPr>
          <w:rFonts w:ascii="Brill" w:eastAsia="Calibri" w:hAnsi="Brill" w:cs="Calibri"/>
          <w:lang w:val="id-ID"/>
        </w:rPr>
        <w:t xml:space="preserve">memotret perdebatan paradigmatis </w:t>
      </w:r>
      <w:r w:rsidR="008730F6" w:rsidRPr="008A3265">
        <w:rPr>
          <w:rFonts w:ascii="Brill" w:eastAsia="Calibri" w:hAnsi="Brill" w:cs="Calibri"/>
          <w:lang w:val="id-ID"/>
        </w:rPr>
        <w:t xml:space="preserve">antara aktor negara dengan masyarakat sipil </w:t>
      </w:r>
      <w:r w:rsidR="007D7B1F" w:rsidRPr="008A3265">
        <w:rPr>
          <w:rFonts w:ascii="Brill" w:eastAsia="Calibri" w:hAnsi="Brill" w:cs="Calibri"/>
          <w:lang w:val="id-ID"/>
        </w:rPr>
        <w:t>dalam proses politik hukum penyusunan Ranperda Toleransi di Kota Pontianak</w:t>
      </w:r>
      <w:r w:rsidR="00F37B3A" w:rsidRPr="008A3265">
        <w:rPr>
          <w:rFonts w:ascii="Brill" w:eastAsia="Calibri" w:hAnsi="Brill" w:cs="Calibri"/>
          <w:lang w:val="id-ID"/>
        </w:rPr>
        <w:t xml:space="preserve">. </w:t>
      </w:r>
      <w:r w:rsidR="00C87838" w:rsidRPr="008A3265">
        <w:rPr>
          <w:rFonts w:ascii="Brill" w:eastAsia="Calibri" w:hAnsi="Brill" w:cs="Calibri"/>
          <w:lang w:val="id-ID"/>
        </w:rPr>
        <w:t xml:space="preserve">Artikel ini berargumentasi bahwa kebijakan pengarustamaan HAM dalam </w:t>
      </w:r>
      <w:r w:rsidR="00292EF7" w:rsidRPr="008A3265">
        <w:rPr>
          <w:rFonts w:ascii="Brill" w:eastAsia="Calibri" w:hAnsi="Brill" w:cs="Calibri"/>
          <w:lang w:val="id-ID"/>
        </w:rPr>
        <w:t>penyusunan</w:t>
      </w:r>
      <w:r w:rsidR="00C87838" w:rsidRPr="008A3265">
        <w:rPr>
          <w:rFonts w:ascii="Brill" w:eastAsia="Calibri" w:hAnsi="Brill" w:cs="Calibri"/>
          <w:lang w:val="id-ID"/>
        </w:rPr>
        <w:t xml:space="preserve"> peraturan daerah masih menemui jalan buntu, </w:t>
      </w:r>
      <w:r w:rsidR="001112C1">
        <w:rPr>
          <w:rFonts w:ascii="Brill" w:eastAsia="Calibri" w:hAnsi="Brill" w:cs="Calibri"/>
          <w:lang w:val="en-US"/>
        </w:rPr>
        <w:t>akibat dari</w:t>
      </w:r>
      <w:r w:rsidR="00C87838" w:rsidRPr="008A3265">
        <w:rPr>
          <w:rFonts w:ascii="Brill" w:eastAsia="Calibri" w:hAnsi="Brill" w:cs="Calibri"/>
          <w:lang w:val="id-ID"/>
        </w:rPr>
        <w:t xml:space="preserve"> </w:t>
      </w:r>
      <w:r w:rsidR="001112C1">
        <w:rPr>
          <w:rFonts w:ascii="Brill" w:eastAsia="Calibri" w:hAnsi="Brill" w:cs="Calibri"/>
          <w:lang w:val="en-US"/>
        </w:rPr>
        <w:t xml:space="preserve">keterbelengguan paradigma aktor negara yang menempatkan HAM sebagai konsep yang </w:t>
      </w:r>
      <w:r w:rsidR="00C87838" w:rsidRPr="008A3265">
        <w:rPr>
          <w:rFonts w:ascii="Brill" w:eastAsia="Calibri" w:hAnsi="Brill" w:cs="Calibri"/>
          <w:lang w:val="id-ID"/>
        </w:rPr>
        <w:t>liberal</w:t>
      </w:r>
      <w:r w:rsidR="001112C1">
        <w:rPr>
          <w:rFonts w:ascii="Brill" w:eastAsia="Calibri" w:hAnsi="Brill" w:cs="Calibri"/>
          <w:lang w:val="en-US"/>
        </w:rPr>
        <w:t xml:space="preserve"> dan tidak sejalan dengan syariah serta budaya lokal. Paradigma ini </w:t>
      </w:r>
      <w:r w:rsidR="00C87838" w:rsidRPr="008A3265">
        <w:rPr>
          <w:rFonts w:ascii="Brill" w:eastAsia="Calibri" w:hAnsi="Brill" w:cs="Calibri"/>
          <w:lang w:val="id-ID"/>
        </w:rPr>
        <w:t>mendapatkan perlawanan dari masyarakat sipil</w:t>
      </w:r>
      <w:r w:rsidR="001112C1">
        <w:rPr>
          <w:rFonts w:ascii="Brill" w:eastAsia="Calibri" w:hAnsi="Brill" w:cs="Calibri"/>
          <w:lang w:val="en-US"/>
        </w:rPr>
        <w:t xml:space="preserve"> yang menjadikan toleransi sebagai alat perjuangan </w:t>
      </w:r>
      <w:r w:rsidR="001112C1" w:rsidRPr="008A3265">
        <w:rPr>
          <w:rFonts w:ascii="Brill" w:eastAsia="Calibri" w:hAnsi="Brill" w:cs="Calibri"/>
          <w:lang w:val="id-ID"/>
        </w:rPr>
        <w:t>untuk mengubah ketimpangan struktural sebagai warisan dari konflik masa lalu</w:t>
      </w:r>
      <w:r w:rsidR="00C87838" w:rsidRPr="008A3265">
        <w:rPr>
          <w:rFonts w:ascii="Brill" w:eastAsia="Calibri" w:hAnsi="Brill" w:cs="Calibri"/>
          <w:lang w:val="id-ID"/>
        </w:rPr>
        <w:t>.</w:t>
      </w:r>
    </w:p>
    <w:p w14:paraId="4A1F5F3B" w14:textId="77777777" w:rsidR="004B4779" w:rsidRPr="008A3265" w:rsidRDefault="004B4779" w:rsidP="00826DC1">
      <w:pPr>
        <w:ind w:firstLine="720"/>
        <w:jc w:val="both"/>
        <w:rPr>
          <w:rFonts w:ascii="Brill" w:eastAsia="Calibri" w:hAnsi="Brill" w:cs="Calibri"/>
          <w:lang w:val="id-ID"/>
        </w:rPr>
      </w:pPr>
    </w:p>
    <w:p w14:paraId="6E5E1241" w14:textId="707348B4" w:rsidR="00F37B3A" w:rsidRPr="008A3265" w:rsidRDefault="007D7B1F" w:rsidP="00826DC1">
      <w:pPr>
        <w:jc w:val="both"/>
        <w:rPr>
          <w:rFonts w:ascii="Brill" w:eastAsia="Calibri" w:hAnsi="Brill" w:cs="Calibri"/>
          <w:b/>
          <w:bCs/>
          <w:lang w:val="id-ID"/>
        </w:rPr>
      </w:pPr>
      <w:r w:rsidRPr="008A3265">
        <w:rPr>
          <w:rFonts w:ascii="Brill" w:eastAsia="Calibri" w:hAnsi="Brill" w:cs="Calibri"/>
          <w:b/>
          <w:bCs/>
          <w:lang w:val="id-ID"/>
        </w:rPr>
        <w:t>Metode</w:t>
      </w:r>
    </w:p>
    <w:p w14:paraId="65BF344F" w14:textId="59A4FE37" w:rsidR="001B4BD5" w:rsidRPr="008A3265" w:rsidRDefault="007D7B1F" w:rsidP="00826DC1">
      <w:pPr>
        <w:jc w:val="both"/>
        <w:rPr>
          <w:rFonts w:ascii="Brill" w:eastAsia="Calibri" w:hAnsi="Brill" w:cs="Calibri"/>
          <w:lang w:val="id-ID"/>
        </w:rPr>
      </w:pPr>
      <w:r w:rsidRPr="008A3265">
        <w:rPr>
          <w:rFonts w:ascii="Brill" w:eastAsia="Calibri" w:hAnsi="Brill" w:cs="Calibri"/>
          <w:lang w:val="id-ID"/>
        </w:rPr>
        <w:t xml:space="preserve">Penelitian ini </w:t>
      </w:r>
      <w:r w:rsidR="00393AF2" w:rsidRPr="008A3265">
        <w:rPr>
          <w:rFonts w:ascii="Brill" w:eastAsia="Calibri" w:hAnsi="Brill" w:cs="Calibri"/>
          <w:lang w:val="id-ID"/>
        </w:rPr>
        <w:t xml:space="preserve">berangkat dari penelitian lapangan dengan pendekatan kualitatif. Proses penulisan artikel </w:t>
      </w:r>
      <w:r w:rsidRPr="008A3265">
        <w:rPr>
          <w:rFonts w:ascii="Brill" w:eastAsia="Calibri" w:hAnsi="Brill" w:cs="Calibri"/>
          <w:lang w:val="id-ID"/>
        </w:rPr>
        <w:t xml:space="preserve">menggunakan </w:t>
      </w:r>
      <w:r w:rsidR="00393AF2" w:rsidRPr="008A3265">
        <w:rPr>
          <w:rFonts w:ascii="Brill" w:eastAsia="Calibri" w:hAnsi="Brill" w:cs="Calibri"/>
          <w:lang w:val="id-ID"/>
        </w:rPr>
        <w:t>pendekatan penelitian hukum</w:t>
      </w:r>
      <w:r w:rsidR="008730F6" w:rsidRPr="008A3265">
        <w:rPr>
          <w:rFonts w:ascii="Brill" w:eastAsia="Calibri" w:hAnsi="Brill" w:cs="Calibri"/>
          <w:lang w:val="id-ID"/>
        </w:rPr>
        <w:t xml:space="preserve"> sosio-legal untuk mengkaji proses politik hukum dalam penyusunan Ranperda Toleransi di Kota Pontianak. Penelitian sosio-legal diperkenalkan oleh Reza Banakar sebagai penelitian hukum interdisipliner yang tidak terjebak pada doktrin maupun non-doktriner.</w:t>
      </w:r>
      <w:r w:rsidR="008730F6" w:rsidRPr="008A3265">
        <w:rPr>
          <w:rStyle w:val="FootnoteReference"/>
          <w:rFonts w:ascii="Brill" w:eastAsia="Calibri" w:hAnsi="Brill" w:cs="Calibri"/>
          <w:lang w:val="id-ID"/>
        </w:rPr>
        <w:footnoteReference w:id="18"/>
      </w:r>
      <w:r w:rsidR="008730F6" w:rsidRPr="008A3265">
        <w:rPr>
          <w:rFonts w:ascii="Brill" w:eastAsia="Calibri" w:hAnsi="Brill" w:cs="Calibri"/>
          <w:lang w:val="id-ID"/>
        </w:rPr>
        <w:t xml:space="preserve"> </w:t>
      </w:r>
      <w:r w:rsidR="00393AF2" w:rsidRPr="008A3265">
        <w:rPr>
          <w:rFonts w:ascii="Brill" w:eastAsia="Calibri" w:hAnsi="Brill" w:cs="Calibri"/>
          <w:lang w:val="id-ID"/>
        </w:rPr>
        <w:t xml:space="preserve">Pendekatan sosio-legal menjadi penting untuk mengembangkan kajian </w:t>
      </w:r>
      <w:r w:rsidR="009D450E" w:rsidRPr="008A3265">
        <w:rPr>
          <w:rFonts w:ascii="Brill" w:eastAsia="Calibri" w:hAnsi="Brill" w:cs="Calibri"/>
          <w:lang w:val="id-ID"/>
        </w:rPr>
        <w:t xml:space="preserve">hukum </w:t>
      </w:r>
      <w:r w:rsidR="00393AF2" w:rsidRPr="008A3265">
        <w:rPr>
          <w:rFonts w:ascii="Brill" w:eastAsia="Calibri" w:hAnsi="Brill" w:cs="Calibri"/>
          <w:lang w:val="id-ID"/>
        </w:rPr>
        <w:t>kritis terhadap bagaimana hukum eksis dan bekerja sebagaimana fungsinya.</w:t>
      </w:r>
      <w:r w:rsidR="00393AF2" w:rsidRPr="008A3265">
        <w:rPr>
          <w:rStyle w:val="FootnoteReference"/>
          <w:rFonts w:ascii="Brill" w:eastAsia="Calibri" w:hAnsi="Brill" w:cs="Calibri"/>
          <w:lang w:val="id-ID"/>
        </w:rPr>
        <w:footnoteReference w:id="19"/>
      </w:r>
      <w:r w:rsidR="00393AF2" w:rsidRPr="008A3265">
        <w:rPr>
          <w:rFonts w:ascii="Brill" w:eastAsia="Calibri" w:hAnsi="Brill" w:cs="Calibri"/>
          <w:lang w:val="id-ID"/>
        </w:rPr>
        <w:t xml:space="preserve"> Sumber data berasal dari data primer melalui proses </w:t>
      </w:r>
      <w:r w:rsidR="00393AF2" w:rsidRPr="008A3265">
        <w:rPr>
          <w:rFonts w:ascii="Brill" w:eastAsia="Calibri" w:hAnsi="Brill" w:cs="Calibri"/>
          <w:i/>
          <w:iCs/>
          <w:lang w:val="id-ID"/>
        </w:rPr>
        <w:t xml:space="preserve">public hearing </w:t>
      </w:r>
      <w:r w:rsidR="00393AF2" w:rsidRPr="008A3265">
        <w:rPr>
          <w:rFonts w:ascii="Brill" w:eastAsia="Calibri" w:hAnsi="Brill" w:cs="Calibri"/>
          <w:lang w:val="id-ID"/>
        </w:rPr>
        <w:t xml:space="preserve">dan dialog bersama antara Bapemperda dengan masyarakat sipil di DPRD Kota Pontianak. </w:t>
      </w:r>
      <w:r w:rsidR="004B4779" w:rsidRPr="008A3265">
        <w:rPr>
          <w:rFonts w:ascii="Brill" w:eastAsia="Calibri" w:hAnsi="Brill" w:cs="Calibri"/>
          <w:lang w:val="id-ID"/>
        </w:rPr>
        <w:t>Teknik analisis melalui proses reduksi data, penyajian data dan penarikan kesimpulan.</w:t>
      </w:r>
      <w:r w:rsidR="00393AF2" w:rsidRPr="008A3265">
        <w:rPr>
          <w:rFonts w:ascii="Brill" w:eastAsia="Calibri" w:hAnsi="Brill" w:cs="Calibri"/>
          <w:lang w:val="id-ID"/>
        </w:rPr>
        <w:t xml:space="preserve"> </w:t>
      </w:r>
      <w:r w:rsidR="00B24797" w:rsidRPr="008A3265">
        <w:rPr>
          <w:rFonts w:ascii="Brill" w:eastAsia="Calibri" w:hAnsi="Brill" w:cs="Calibri"/>
          <w:lang w:val="id-ID"/>
        </w:rPr>
        <w:t xml:space="preserve">Data terkumpul kemudian dianalisis menggunakan teori politik hukum </w:t>
      </w:r>
      <w:r w:rsidR="00292EF7" w:rsidRPr="008A3265">
        <w:rPr>
          <w:rFonts w:ascii="Brill" w:eastAsia="Calibri" w:hAnsi="Brill" w:cs="Calibri"/>
          <w:lang w:val="id-ID"/>
        </w:rPr>
        <w:t>yang dikemukakan oleh Theo Huijbers.</w:t>
      </w:r>
    </w:p>
    <w:p w14:paraId="66651A36" w14:textId="77777777" w:rsidR="004B4779" w:rsidRPr="008A3265" w:rsidRDefault="004B4779" w:rsidP="00826DC1">
      <w:pPr>
        <w:ind w:firstLine="720"/>
        <w:jc w:val="both"/>
        <w:rPr>
          <w:rFonts w:ascii="Brill" w:eastAsia="Calibri" w:hAnsi="Brill" w:cs="Calibri"/>
          <w:i/>
          <w:iCs/>
          <w:lang w:val="id-ID"/>
        </w:rPr>
      </w:pPr>
    </w:p>
    <w:p w14:paraId="27735849" w14:textId="041FB925" w:rsidR="003D32C5" w:rsidRPr="008A3265" w:rsidRDefault="003D32C5" w:rsidP="00826DC1">
      <w:pPr>
        <w:jc w:val="both"/>
        <w:rPr>
          <w:rFonts w:ascii="Brill" w:eastAsia="Calibri" w:hAnsi="Brill" w:cs="Calibri"/>
          <w:b/>
          <w:bCs/>
          <w:lang w:val="id-ID"/>
        </w:rPr>
      </w:pPr>
      <w:r w:rsidRPr="008A3265">
        <w:rPr>
          <w:rFonts w:ascii="Brill" w:eastAsia="Calibri" w:hAnsi="Brill" w:cs="Calibri"/>
          <w:b/>
          <w:bCs/>
          <w:lang w:val="id-ID"/>
        </w:rPr>
        <w:lastRenderedPageBreak/>
        <w:t>Institusionalisasi Toleransi</w:t>
      </w:r>
      <w:r w:rsidR="000716B0" w:rsidRPr="008A3265">
        <w:rPr>
          <w:rFonts w:ascii="Brill" w:eastAsia="Calibri" w:hAnsi="Brill" w:cs="Calibri"/>
          <w:b/>
          <w:bCs/>
          <w:lang w:val="id-ID"/>
        </w:rPr>
        <w:t xml:space="preserve"> di Kota Pontianak: Konflik dan Gerakan Pembaharu </w:t>
      </w:r>
      <w:r w:rsidR="002A4DDA" w:rsidRPr="008A3265">
        <w:rPr>
          <w:rFonts w:ascii="Brill" w:eastAsia="Calibri" w:hAnsi="Brill" w:cs="Calibri"/>
          <w:b/>
          <w:bCs/>
          <w:lang w:val="id-ID"/>
        </w:rPr>
        <w:t>Masyarakat sipil</w:t>
      </w:r>
    </w:p>
    <w:p w14:paraId="07D1F3B0" w14:textId="4AABCF5D" w:rsidR="003D32C5" w:rsidRPr="008A3265" w:rsidRDefault="003D32C5" w:rsidP="00826DC1">
      <w:pPr>
        <w:jc w:val="both"/>
        <w:rPr>
          <w:rFonts w:ascii="Brill" w:eastAsia="Calibri" w:hAnsi="Brill" w:cs="Calibri"/>
          <w:lang w:val="id-ID"/>
        </w:rPr>
      </w:pPr>
      <w:r w:rsidRPr="008A3265">
        <w:rPr>
          <w:rFonts w:ascii="Brill" w:eastAsia="Calibri" w:hAnsi="Brill" w:cs="Calibri"/>
          <w:lang w:val="id-ID"/>
        </w:rPr>
        <w:t>Berdasarkan hasil riset yang dipublikasikan oleh Yayasan Suar Asa Khatulistiwa, terdapat temuan menarik mengenai sejarah keragaman yang membentuk heterogenitas</w:t>
      </w:r>
      <w:r w:rsidR="00295D4D" w:rsidRPr="008A3265">
        <w:rPr>
          <w:rFonts w:ascii="Brill" w:eastAsia="Calibri" w:hAnsi="Brill" w:cs="Calibri"/>
          <w:lang w:val="id-ID"/>
        </w:rPr>
        <w:t xml:space="preserve"> Kota Pontianak</w:t>
      </w:r>
      <w:r w:rsidRPr="008A3265">
        <w:rPr>
          <w:rFonts w:ascii="Brill" w:eastAsia="Calibri" w:hAnsi="Brill" w:cs="Calibri"/>
          <w:lang w:val="id-ID"/>
        </w:rPr>
        <w:t xml:space="preserve">. Sejak awal berdirinya, Kota Pontianak dikenal sebagai kota yang memiliki keragaman suku-suku di nusantara dan masing-masing dari mereka berperan penting dalam </w:t>
      </w:r>
      <w:r w:rsidR="00436185" w:rsidRPr="008A3265">
        <w:rPr>
          <w:rFonts w:ascii="Brill" w:eastAsia="Calibri" w:hAnsi="Brill" w:cs="Calibri"/>
          <w:lang w:val="id-ID"/>
        </w:rPr>
        <w:t xml:space="preserve">pembangunan, misalnya </w:t>
      </w:r>
      <w:r w:rsidR="00295D4D" w:rsidRPr="008A3265">
        <w:rPr>
          <w:rFonts w:ascii="Brill" w:eastAsia="Calibri" w:hAnsi="Brill" w:cs="Calibri"/>
          <w:lang w:val="id-ID"/>
        </w:rPr>
        <w:t xml:space="preserve">Bangsa Arab, </w:t>
      </w:r>
      <w:r w:rsidR="00436185" w:rsidRPr="008A3265">
        <w:rPr>
          <w:rFonts w:ascii="Brill" w:eastAsia="Calibri" w:hAnsi="Brill" w:cs="Calibri"/>
          <w:lang w:val="id-ID"/>
        </w:rPr>
        <w:t xml:space="preserve">Suku Melayu, Suku Bugis, Suku Tionghoa, Suku </w:t>
      </w:r>
      <w:r w:rsidR="00295D4D" w:rsidRPr="008A3265">
        <w:rPr>
          <w:rFonts w:ascii="Brill" w:eastAsia="Calibri" w:hAnsi="Brill" w:cs="Calibri"/>
          <w:lang w:val="id-ID"/>
        </w:rPr>
        <w:t>M</w:t>
      </w:r>
      <w:r w:rsidR="00436185" w:rsidRPr="008A3265">
        <w:rPr>
          <w:rFonts w:ascii="Brill" w:eastAsia="Calibri" w:hAnsi="Brill" w:cs="Calibri"/>
          <w:lang w:val="id-ID"/>
        </w:rPr>
        <w:t>adura, Suku Banjar, Suku Jawa, suku Dayak</w:t>
      </w:r>
      <w:r w:rsidR="00295D4D" w:rsidRPr="008A3265">
        <w:rPr>
          <w:rFonts w:ascii="Brill" w:eastAsia="Calibri" w:hAnsi="Brill" w:cs="Calibri"/>
          <w:lang w:val="id-ID"/>
        </w:rPr>
        <w:t xml:space="preserve"> dan suku-suku lainnya</w:t>
      </w:r>
      <w:r w:rsidR="00436185" w:rsidRPr="008A3265">
        <w:rPr>
          <w:rFonts w:ascii="Brill" w:eastAsia="Calibri" w:hAnsi="Brill" w:cs="Calibri"/>
          <w:lang w:val="id-ID"/>
        </w:rPr>
        <w:t>.</w:t>
      </w:r>
      <w:r w:rsidR="00295D4D" w:rsidRPr="008A3265">
        <w:rPr>
          <w:rStyle w:val="FootnoteReference"/>
          <w:rFonts w:ascii="Brill" w:eastAsia="Calibri" w:hAnsi="Brill" w:cs="Calibri"/>
          <w:lang w:val="id-ID"/>
        </w:rPr>
        <w:footnoteReference w:id="20"/>
      </w:r>
      <w:r w:rsidR="00436185" w:rsidRPr="008A3265">
        <w:rPr>
          <w:rFonts w:ascii="Brill" w:eastAsia="Calibri" w:hAnsi="Brill" w:cs="Calibri"/>
          <w:lang w:val="id-ID"/>
        </w:rPr>
        <w:t xml:space="preserve"> </w:t>
      </w:r>
      <w:r w:rsidR="00295D4D" w:rsidRPr="008A3265">
        <w:rPr>
          <w:rFonts w:ascii="Brill" w:eastAsia="Calibri" w:hAnsi="Brill" w:cs="Calibri"/>
          <w:lang w:val="id-ID"/>
        </w:rPr>
        <w:t xml:space="preserve">Abu Bakar, dalam risetnya tentang sejarah Kota Pontianak pada Tahun 1771 sampai 1778, menggambarkan situasi pada awal pendirian Kota Pontianak. Pada masa itu, sudah terdapat beberapa pemukiman warga yang membentuk perkampungan-perkampungan berdasarkan identitas sukunya, misalnya Kampung Cina, Kampung Bugis, Kampung Melayu, Kampung Tambi, Kampung Arab, Kampung Jawa, dan Kampung Banjar. </w:t>
      </w:r>
      <w:r w:rsidR="00436185" w:rsidRPr="008A3265">
        <w:rPr>
          <w:rFonts w:ascii="Brill" w:eastAsia="Calibri" w:hAnsi="Brill" w:cs="Calibri"/>
          <w:lang w:val="id-ID"/>
        </w:rPr>
        <w:t xml:space="preserve">Dari sini terlihat bahwa identitas etnis </w:t>
      </w:r>
      <w:r w:rsidR="0026649F" w:rsidRPr="008A3265">
        <w:rPr>
          <w:rFonts w:ascii="Brill" w:eastAsia="Calibri" w:hAnsi="Brill" w:cs="Calibri"/>
          <w:lang w:val="id-ID"/>
        </w:rPr>
        <w:t xml:space="preserve">di Kota Pontianak </w:t>
      </w:r>
      <w:r w:rsidR="00436185" w:rsidRPr="008A3265">
        <w:rPr>
          <w:rFonts w:ascii="Brill" w:eastAsia="Calibri" w:hAnsi="Brill" w:cs="Calibri"/>
          <w:lang w:val="id-ID"/>
        </w:rPr>
        <w:t xml:space="preserve">tidaklah tunggal dimiliki oleh suatu </w:t>
      </w:r>
      <w:r w:rsidR="0026649F" w:rsidRPr="008A3265">
        <w:rPr>
          <w:rFonts w:ascii="Brill" w:eastAsia="Calibri" w:hAnsi="Brill" w:cs="Calibri"/>
          <w:lang w:val="id-ID"/>
        </w:rPr>
        <w:t xml:space="preserve">bangsa atau </w:t>
      </w:r>
      <w:r w:rsidR="00436185" w:rsidRPr="008A3265">
        <w:rPr>
          <w:rFonts w:ascii="Brill" w:eastAsia="Calibri" w:hAnsi="Brill" w:cs="Calibri"/>
          <w:lang w:val="id-ID"/>
        </w:rPr>
        <w:t xml:space="preserve">suku, melainkan masing-masing dari mereka sejak awal telah berkontribusi dalam </w:t>
      </w:r>
      <w:r w:rsidR="0026649F" w:rsidRPr="008A3265">
        <w:rPr>
          <w:rFonts w:ascii="Brill" w:eastAsia="Calibri" w:hAnsi="Brill" w:cs="Calibri"/>
          <w:lang w:val="id-ID"/>
        </w:rPr>
        <w:t>membentuk kesatuan struktur sosial masyarakatnya</w:t>
      </w:r>
      <w:r w:rsidR="00436185" w:rsidRPr="008A3265">
        <w:rPr>
          <w:rFonts w:ascii="Brill" w:eastAsia="Calibri" w:hAnsi="Brill" w:cs="Calibri"/>
          <w:lang w:val="id-ID"/>
        </w:rPr>
        <w:t>.</w:t>
      </w:r>
      <w:r w:rsidR="00295D4D" w:rsidRPr="008A3265">
        <w:rPr>
          <w:rStyle w:val="FootnoteReference"/>
          <w:rFonts w:ascii="Brill" w:eastAsia="Calibri" w:hAnsi="Brill" w:cs="Calibri"/>
          <w:lang w:val="id-ID"/>
        </w:rPr>
        <w:footnoteReference w:id="21"/>
      </w:r>
    </w:p>
    <w:p w14:paraId="3C3EEE77" w14:textId="476C1AF9" w:rsidR="0026649F" w:rsidRPr="008A3265" w:rsidRDefault="0026649F" w:rsidP="00826DC1">
      <w:pPr>
        <w:ind w:firstLine="720"/>
        <w:jc w:val="both"/>
        <w:rPr>
          <w:rFonts w:ascii="Brill" w:eastAsia="Calibri" w:hAnsi="Brill" w:cs="Calibri"/>
          <w:lang w:val="id-ID"/>
        </w:rPr>
      </w:pPr>
      <w:r w:rsidRPr="008A3265">
        <w:rPr>
          <w:rFonts w:ascii="Brill" w:eastAsia="Calibri" w:hAnsi="Brill" w:cs="Calibri"/>
          <w:lang w:val="id-ID"/>
        </w:rPr>
        <w:t xml:space="preserve">Keragaman identitas tersebut merupakan modalitas yang kuat </w:t>
      </w:r>
      <w:r w:rsidR="00F43907" w:rsidRPr="008A3265">
        <w:rPr>
          <w:rFonts w:ascii="Brill" w:eastAsia="Calibri" w:hAnsi="Brill" w:cs="Calibri"/>
          <w:lang w:val="id-ID"/>
        </w:rPr>
        <w:t xml:space="preserve">sebagai peletak dasar </w:t>
      </w:r>
      <w:r w:rsidR="000F6827" w:rsidRPr="008A3265">
        <w:rPr>
          <w:rFonts w:ascii="Brill" w:eastAsia="Calibri" w:hAnsi="Brill" w:cs="Calibri"/>
          <w:lang w:val="id-ID"/>
        </w:rPr>
        <w:t xml:space="preserve">pengembangan kebudayaan, </w:t>
      </w:r>
      <w:r w:rsidR="00F43907" w:rsidRPr="008A3265">
        <w:rPr>
          <w:rFonts w:ascii="Brill" w:eastAsia="Calibri" w:hAnsi="Brill" w:cs="Calibri"/>
          <w:lang w:val="id-ID"/>
        </w:rPr>
        <w:t>gotong royong dan keberagaman. Namun, kemajemukan juga dapat berubah menjadi pisau bermata dua. Perbedaan-perbedaan tersebut jika tidak dikelola dengan baik akan berubah menjadi segregasi sosial yang merusak tatanan suatu bangsa. Sejarah mencatat bahwa Kota Pontianak memiliki goresan-goresan konflik yang berkaitan dengan etnis dan agama. Dalam catatan Faraz Sumaya, terdapat beberapa konflik identitas yang dapat dilihat pada tabel di bawah ini.</w:t>
      </w:r>
      <w:r w:rsidR="007D284A" w:rsidRPr="008A3265">
        <w:rPr>
          <w:rStyle w:val="FootnoteReference"/>
          <w:rFonts w:ascii="Brill" w:eastAsia="Calibri" w:hAnsi="Brill" w:cs="Calibri"/>
          <w:lang w:val="id-ID"/>
        </w:rPr>
        <w:footnoteReference w:id="22"/>
      </w:r>
    </w:p>
    <w:p w14:paraId="2AB21ECF" w14:textId="758B4EA7" w:rsidR="00F43907" w:rsidRPr="008A3265" w:rsidRDefault="00F43907" w:rsidP="00826DC1">
      <w:pPr>
        <w:ind w:firstLine="720"/>
        <w:jc w:val="center"/>
        <w:rPr>
          <w:rFonts w:ascii="Brill" w:eastAsia="Calibri" w:hAnsi="Brill" w:cs="Calibri"/>
          <w:b/>
          <w:bCs/>
          <w:lang w:val="id-ID"/>
        </w:rPr>
      </w:pPr>
      <w:r w:rsidRPr="008A3265">
        <w:rPr>
          <w:rFonts w:ascii="Brill" w:eastAsia="Calibri" w:hAnsi="Brill" w:cs="Calibri"/>
          <w:b/>
          <w:bCs/>
          <w:lang w:val="id-ID"/>
        </w:rPr>
        <w:t>Tabel 1. Konflik di Kota Pontianak</w:t>
      </w:r>
    </w:p>
    <w:tbl>
      <w:tblPr>
        <w:tblStyle w:val="PlainTable2"/>
        <w:tblW w:w="0" w:type="auto"/>
        <w:tblLook w:val="04A0" w:firstRow="1" w:lastRow="0" w:firstColumn="1" w:lastColumn="0" w:noHBand="0" w:noVBand="1"/>
      </w:tblPr>
      <w:tblGrid>
        <w:gridCol w:w="704"/>
        <w:gridCol w:w="1985"/>
        <w:gridCol w:w="5953"/>
      </w:tblGrid>
      <w:tr w:rsidR="00F43907" w:rsidRPr="008A3265" w14:paraId="7139B018" w14:textId="77777777" w:rsidTr="007D28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16E7623" w14:textId="723F8F9F" w:rsidR="00F43907" w:rsidRPr="008A3265" w:rsidRDefault="00F43907" w:rsidP="00826DC1">
            <w:pPr>
              <w:jc w:val="both"/>
              <w:rPr>
                <w:rFonts w:ascii="Brill" w:eastAsia="Calibri" w:hAnsi="Brill" w:cs="Calibri"/>
                <w:lang w:val="id-ID"/>
              </w:rPr>
            </w:pPr>
            <w:r w:rsidRPr="008A3265">
              <w:rPr>
                <w:rFonts w:ascii="Brill" w:eastAsia="Calibri" w:hAnsi="Brill" w:cs="Calibri"/>
                <w:lang w:val="id-ID"/>
              </w:rPr>
              <w:t>No.</w:t>
            </w:r>
          </w:p>
        </w:tc>
        <w:tc>
          <w:tcPr>
            <w:tcW w:w="1985" w:type="dxa"/>
          </w:tcPr>
          <w:p w14:paraId="55B6CE8B" w14:textId="14AB5721" w:rsidR="00F43907" w:rsidRPr="008A3265" w:rsidRDefault="00F43907" w:rsidP="00826DC1">
            <w:pPr>
              <w:jc w:val="both"/>
              <w:cnfStyle w:val="100000000000" w:firstRow="1" w:lastRow="0" w:firstColumn="0" w:lastColumn="0" w:oddVBand="0" w:evenVBand="0" w:oddHBand="0"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Tahun</w:t>
            </w:r>
          </w:p>
        </w:tc>
        <w:tc>
          <w:tcPr>
            <w:tcW w:w="5953" w:type="dxa"/>
          </w:tcPr>
          <w:p w14:paraId="611E7C51" w14:textId="4566EF29" w:rsidR="00F43907" w:rsidRPr="008A3265" w:rsidRDefault="00F43907" w:rsidP="00826DC1">
            <w:pPr>
              <w:jc w:val="both"/>
              <w:cnfStyle w:val="100000000000" w:firstRow="1" w:lastRow="0" w:firstColumn="0" w:lastColumn="0" w:oddVBand="0" w:evenVBand="0" w:oddHBand="0"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Konflik yang Terjadi</w:t>
            </w:r>
          </w:p>
        </w:tc>
      </w:tr>
      <w:tr w:rsidR="00F43907" w:rsidRPr="008A3265" w14:paraId="51069BE4" w14:textId="77777777" w:rsidTr="007D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D257B95" w14:textId="1146FC9E" w:rsidR="00F43907" w:rsidRPr="008A3265" w:rsidRDefault="00F43907" w:rsidP="00826DC1">
            <w:pPr>
              <w:jc w:val="both"/>
              <w:rPr>
                <w:rFonts w:ascii="Brill" w:eastAsia="Calibri" w:hAnsi="Brill" w:cs="Calibri"/>
                <w:lang w:val="id-ID"/>
              </w:rPr>
            </w:pPr>
            <w:r w:rsidRPr="008A3265">
              <w:rPr>
                <w:rFonts w:ascii="Brill" w:eastAsia="Calibri" w:hAnsi="Brill" w:cs="Calibri"/>
                <w:lang w:val="id-ID"/>
              </w:rPr>
              <w:t>1.</w:t>
            </w:r>
          </w:p>
        </w:tc>
        <w:tc>
          <w:tcPr>
            <w:tcW w:w="1985" w:type="dxa"/>
          </w:tcPr>
          <w:p w14:paraId="3202EE81" w14:textId="07E01CF0" w:rsidR="00F43907" w:rsidRPr="008A3265" w:rsidRDefault="00F43907" w:rsidP="00826DC1">
            <w:pPr>
              <w:jc w:val="both"/>
              <w:cnfStyle w:val="000000100000" w:firstRow="0" w:lastRow="0" w:firstColumn="0" w:lastColumn="0" w:oddVBand="0" w:evenVBand="0" w:oddHBand="1"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1966-1967</w:t>
            </w:r>
          </w:p>
        </w:tc>
        <w:tc>
          <w:tcPr>
            <w:tcW w:w="5953" w:type="dxa"/>
          </w:tcPr>
          <w:p w14:paraId="35848981" w14:textId="15FA4806" w:rsidR="00F43907" w:rsidRPr="008A3265" w:rsidRDefault="00F43907" w:rsidP="00826DC1">
            <w:pPr>
              <w:jc w:val="both"/>
              <w:cnfStyle w:val="000000100000" w:firstRow="0" w:lastRow="0" w:firstColumn="0" w:lastColumn="0" w:oddVBand="0" w:evenVBand="0" w:oddHBand="1"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Konflik etnis Dayak dan Cina yang berkaitan dengan PKI dan PGRS-Paraku</w:t>
            </w:r>
            <w:r w:rsidR="005C5EE5" w:rsidRPr="008A3265">
              <w:rPr>
                <w:rFonts w:ascii="Brill" w:eastAsia="Calibri" w:hAnsi="Brill" w:cs="Calibri"/>
                <w:lang w:val="id-ID"/>
              </w:rPr>
              <w:t>.</w:t>
            </w:r>
          </w:p>
        </w:tc>
      </w:tr>
      <w:tr w:rsidR="00F43907" w:rsidRPr="008A3265" w14:paraId="6B6B0915" w14:textId="77777777" w:rsidTr="007D284A">
        <w:tc>
          <w:tcPr>
            <w:cnfStyle w:val="001000000000" w:firstRow="0" w:lastRow="0" w:firstColumn="1" w:lastColumn="0" w:oddVBand="0" w:evenVBand="0" w:oddHBand="0" w:evenHBand="0" w:firstRowFirstColumn="0" w:firstRowLastColumn="0" w:lastRowFirstColumn="0" w:lastRowLastColumn="0"/>
            <w:tcW w:w="704" w:type="dxa"/>
          </w:tcPr>
          <w:p w14:paraId="05975984" w14:textId="463174FB" w:rsidR="00F43907" w:rsidRPr="008A3265" w:rsidRDefault="00F43907" w:rsidP="00826DC1">
            <w:pPr>
              <w:jc w:val="both"/>
              <w:rPr>
                <w:rFonts w:ascii="Brill" w:eastAsia="Calibri" w:hAnsi="Brill" w:cs="Calibri"/>
                <w:lang w:val="id-ID"/>
              </w:rPr>
            </w:pPr>
            <w:r w:rsidRPr="008A3265">
              <w:rPr>
                <w:rFonts w:ascii="Brill" w:eastAsia="Calibri" w:hAnsi="Brill" w:cs="Calibri"/>
                <w:lang w:val="id-ID"/>
              </w:rPr>
              <w:t>2.</w:t>
            </w:r>
          </w:p>
        </w:tc>
        <w:tc>
          <w:tcPr>
            <w:tcW w:w="1985" w:type="dxa"/>
          </w:tcPr>
          <w:p w14:paraId="1A51CEB5" w14:textId="391E10E9" w:rsidR="00F43907" w:rsidRPr="008A3265" w:rsidRDefault="00F43907" w:rsidP="00826DC1">
            <w:pPr>
              <w:jc w:val="both"/>
              <w:cnfStyle w:val="000000000000" w:firstRow="0" w:lastRow="0" w:firstColumn="0" w:lastColumn="0" w:oddVBand="0" w:evenVBand="0" w:oddHBand="0"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1993</w:t>
            </w:r>
          </w:p>
        </w:tc>
        <w:tc>
          <w:tcPr>
            <w:tcW w:w="5953" w:type="dxa"/>
          </w:tcPr>
          <w:p w14:paraId="4F73C09B" w14:textId="3DA9D0CB" w:rsidR="00F43907" w:rsidRPr="008A3265" w:rsidRDefault="00F43907" w:rsidP="00826DC1">
            <w:pPr>
              <w:jc w:val="both"/>
              <w:cnfStyle w:val="000000000000" w:firstRow="0" w:lastRow="0" w:firstColumn="0" w:lastColumn="0" w:oddVBand="0" w:evenVBand="0" w:oddHBand="0"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 xml:space="preserve">Konflik antara pemuda Madura dan pemuda Dayak menjelang pemilihan gubernur, konflik tersebut meluas ke konflik </w:t>
            </w:r>
            <w:r w:rsidR="005C5EE5" w:rsidRPr="008A3265">
              <w:rPr>
                <w:rFonts w:ascii="Brill" w:eastAsia="Calibri" w:hAnsi="Brill" w:cs="Calibri"/>
                <w:lang w:val="id-ID"/>
              </w:rPr>
              <w:t>beragama yang berdampak pada pembakaran Gereja Paroki Maria Ratu Pencinta Damai.</w:t>
            </w:r>
          </w:p>
        </w:tc>
      </w:tr>
      <w:tr w:rsidR="00F43907" w:rsidRPr="008A3265" w14:paraId="1B410442" w14:textId="77777777" w:rsidTr="007D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4486105" w14:textId="29D52B9B" w:rsidR="00F43907" w:rsidRPr="008A3265" w:rsidRDefault="005C5EE5" w:rsidP="00826DC1">
            <w:pPr>
              <w:jc w:val="both"/>
              <w:rPr>
                <w:rFonts w:ascii="Brill" w:eastAsia="Calibri" w:hAnsi="Brill" w:cs="Calibri"/>
                <w:lang w:val="id-ID"/>
              </w:rPr>
            </w:pPr>
            <w:r w:rsidRPr="008A3265">
              <w:rPr>
                <w:rFonts w:ascii="Brill" w:eastAsia="Calibri" w:hAnsi="Brill" w:cs="Calibri"/>
                <w:lang w:val="id-ID"/>
              </w:rPr>
              <w:t>3.</w:t>
            </w:r>
          </w:p>
        </w:tc>
        <w:tc>
          <w:tcPr>
            <w:tcW w:w="1985" w:type="dxa"/>
          </w:tcPr>
          <w:p w14:paraId="67BEAFFE" w14:textId="7DCA9005" w:rsidR="00F43907" w:rsidRPr="008A3265" w:rsidRDefault="005C5EE5" w:rsidP="00826DC1">
            <w:pPr>
              <w:jc w:val="both"/>
              <w:cnfStyle w:val="000000100000" w:firstRow="0" w:lastRow="0" w:firstColumn="0" w:lastColumn="0" w:oddVBand="0" w:evenVBand="0" w:oddHBand="1"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1997</w:t>
            </w:r>
          </w:p>
        </w:tc>
        <w:tc>
          <w:tcPr>
            <w:tcW w:w="5953" w:type="dxa"/>
          </w:tcPr>
          <w:p w14:paraId="19727F70" w14:textId="61B3F5A9" w:rsidR="00F43907" w:rsidRPr="008A3265" w:rsidRDefault="005C5EE5" w:rsidP="00826DC1">
            <w:pPr>
              <w:jc w:val="both"/>
              <w:cnfStyle w:val="000000100000" w:firstRow="0" w:lastRow="0" w:firstColumn="0" w:lastColumn="0" w:oddVBand="0" w:evenVBand="0" w:oddHBand="1"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Konflik antara Dayak dan Madura di Kabupaten Sambas yang dampaknya sampai di Kota Pontianak. Pada masa itu, sedang terjadi pergulatan politik yang bertepatan dengan pemilihan gubernur.</w:t>
            </w:r>
          </w:p>
        </w:tc>
      </w:tr>
      <w:tr w:rsidR="00F43907" w:rsidRPr="008A3265" w14:paraId="0F565467" w14:textId="77777777" w:rsidTr="007D284A">
        <w:tc>
          <w:tcPr>
            <w:cnfStyle w:val="001000000000" w:firstRow="0" w:lastRow="0" w:firstColumn="1" w:lastColumn="0" w:oddVBand="0" w:evenVBand="0" w:oddHBand="0" w:evenHBand="0" w:firstRowFirstColumn="0" w:firstRowLastColumn="0" w:lastRowFirstColumn="0" w:lastRowLastColumn="0"/>
            <w:tcW w:w="704" w:type="dxa"/>
          </w:tcPr>
          <w:p w14:paraId="284D0B74" w14:textId="41788CD7" w:rsidR="00F43907" w:rsidRPr="008A3265" w:rsidRDefault="005C5EE5" w:rsidP="00826DC1">
            <w:pPr>
              <w:jc w:val="both"/>
              <w:rPr>
                <w:rFonts w:ascii="Brill" w:eastAsia="Calibri" w:hAnsi="Brill" w:cs="Calibri"/>
                <w:lang w:val="id-ID"/>
              </w:rPr>
            </w:pPr>
            <w:r w:rsidRPr="008A3265">
              <w:rPr>
                <w:rFonts w:ascii="Brill" w:eastAsia="Calibri" w:hAnsi="Brill" w:cs="Calibri"/>
                <w:lang w:val="id-ID"/>
              </w:rPr>
              <w:t>4.</w:t>
            </w:r>
          </w:p>
        </w:tc>
        <w:tc>
          <w:tcPr>
            <w:tcW w:w="1985" w:type="dxa"/>
          </w:tcPr>
          <w:p w14:paraId="2EBD32D0" w14:textId="41FE5AA7" w:rsidR="00F43907" w:rsidRPr="008A3265" w:rsidRDefault="005C5EE5" w:rsidP="00826DC1">
            <w:pPr>
              <w:jc w:val="both"/>
              <w:cnfStyle w:val="000000000000" w:firstRow="0" w:lastRow="0" w:firstColumn="0" w:lastColumn="0" w:oddVBand="0" w:evenVBand="0" w:oddHBand="0"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1999</w:t>
            </w:r>
          </w:p>
        </w:tc>
        <w:tc>
          <w:tcPr>
            <w:tcW w:w="5953" w:type="dxa"/>
          </w:tcPr>
          <w:p w14:paraId="2B532EF4" w14:textId="0CAC8DC6" w:rsidR="00F43907" w:rsidRPr="008A3265" w:rsidRDefault="005C5EE5" w:rsidP="00826DC1">
            <w:pPr>
              <w:jc w:val="both"/>
              <w:cnfStyle w:val="000000000000" w:firstRow="0" w:lastRow="0" w:firstColumn="0" w:lastColumn="0" w:oddVBand="0" w:evenVBand="0" w:oddHBand="0"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Konflik antara Melayu dan Madura ikut meluas ke masyarakat Dayak di Kabupaten Sambas yang dampaknya sampai di Kota Pontianak.</w:t>
            </w:r>
            <w:r w:rsidR="00143147" w:rsidRPr="008A3265">
              <w:rPr>
                <w:rFonts w:ascii="Brill" w:eastAsia="Calibri" w:hAnsi="Brill" w:cs="Calibri"/>
                <w:lang w:val="id-ID"/>
              </w:rPr>
              <w:t xml:space="preserve"> Orang-orang Madura akhirnya pindah dan menetap di Kota Pontianak.</w:t>
            </w:r>
          </w:p>
        </w:tc>
      </w:tr>
      <w:tr w:rsidR="00F43907" w:rsidRPr="008A3265" w14:paraId="71CC3634" w14:textId="77777777" w:rsidTr="007D28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DF0BF64" w14:textId="4B7221FF" w:rsidR="00F43907" w:rsidRPr="008A3265" w:rsidRDefault="005C5EE5" w:rsidP="00826DC1">
            <w:pPr>
              <w:jc w:val="both"/>
              <w:rPr>
                <w:rFonts w:ascii="Brill" w:eastAsia="Calibri" w:hAnsi="Brill" w:cs="Calibri"/>
                <w:lang w:val="id-ID"/>
              </w:rPr>
            </w:pPr>
            <w:r w:rsidRPr="008A3265">
              <w:rPr>
                <w:rFonts w:ascii="Brill" w:eastAsia="Calibri" w:hAnsi="Brill" w:cs="Calibri"/>
                <w:lang w:val="id-ID"/>
              </w:rPr>
              <w:lastRenderedPageBreak/>
              <w:t>5.</w:t>
            </w:r>
          </w:p>
        </w:tc>
        <w:tc>
          <w:tcPr>
            <w:tcW w:w="1985" w:type="dxa"/>
          </w:tcPr>
          <w:p w14:paraId="17EB6694" w14:textId="616B2A3A" w:rsidR="00F43907" w:rsidRPr="008A3265" w:rsidRDefault="005C5EE5" w:rsidP="00826DC1">
            <w:pPr>
              <w:jc w:val="both"/>
              <w:cnfStyle w:val="000000100000" w:firstRow="0" w:lastRow="0" w:firstColumn="0" w:lastColumn="0" w:oddVBand="0" w:evenVBand="0" w:oddHBand="1"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2007</w:t>
            </w:r>
          </w:p>
        </w:tc>
        <w:tc>
          <w:tcPr>
            <w:tcW w:w="5953" w:type="dxa"/>
          </w:tcPr>
          <w:p w14:paraId="3CCAE9FF" w14:textId="1B2F6FEB" w:rsidR="00F43907" w:rsidRPr="008A3265" w:rsidRDefault="005C5EE5" w:rsidP="00826DC1">
            <w:pPr>
              <w:jc w:val="both"/>
              <w:cnfStyle w:val="000000100000" w:firstRow="0" w:lastRow="0" w:firstColumn="0" w:lastColumn="0" w:oddVBand="0" w:evenVBand="0" w:oddHBand="1"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Konflik antara Melayu dan Cina yang pada awalnya hanyalah pertikaian kecil antara seorang Melayu dan seorang Cina. Pertikaian tersebut meluas menjadi konflik etnis. Apalagi muncul isu yang mempertentangkan kedua etnis tersebut dikarenakan kekalahan calon gubernur yang berasal dari orang Melayu.</w:t>
            </w:r>
          </w:p>
        </w:tc>
      </w:tr>
      <w:tr w:rsidR="00143147" w:rsidRPr="008A3265" w14:paraId="75B89679" w14:textId="77777777" w:rsidTr="007D284A">
        <w:tc>
          <w:tcPr>
            <w:cnfStyle w:val="001000000000" w:firstRow="0" w:lastRow="0" w:firstColumn="1" w:lastColumn="0" w:oddVBand="0" w:evenVBand="0" w:oddHBand="0" w:evenHBand="0" w:firstRowFirstColumn="0" w:firstRowLastColumn="0" w:lastRowFirstColumn="0" w:lastRowLastColumn="0"/>
            <w:tcW w:w="704" w:type="dxa"/>
          </w:tcPr>
          <w:p w14:paraId="37680B7A" w14:textId="338191FD" w:rsidR="00143147" w:rsidRPr="008A3265" w:rsidRDefault="00143147" w:rsidP="00826DC1">
            <w:pPr>
              <w:jc w:val="both"/>
              <w:rPr>
                <w:rFonts w:ascii="Brill" w:eastAsia="Calibri" w:hAnsi="Brill" w:cs="Calibri"/>
                <w:lang w:val="id-ID"/>
              </w:rPr>
            </w:pPr>
            <w:r w:rsidRPr="008A3265">
              <w:rPr>
                <w:rFonts w:ascii="Brill" w:eastAsia="Calibri" w:hAnsi="Brill" w:cs="Calibri"/>
                <w:lang w:val="id-ID"/>
              </w:rPr>
              <w:t>6.</w:t>
            </w:r>
          </w:p>
        </w:tc>
        <w:tc>
          <w:tcPr>
            <w:tcW w:w="1985" w:type="dxa"/>
          </w:tcPr>
          <w:p w14:paraId="2D8D0D01" w14:textId="54A689A8" w:rsidR="00143147" w:rsidRPr="008A3265" w:rsidRDefault="00143147" w:rsidP="00826DC1">
            <w:pPr>
              <w:jc w:val="both"/>
              <w:cnfStyle w:val="000000000000" w:firstRow="0" w:lastRow="0" w:firstColumn="0" w:lastColumn="0" w:oddVBand="0" w:evenVBand="0" w:oddHBand="0"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2021</w:t>
            </w:r>
          </w:p>
        </w:tc>
        <w:tc>
          <w:tcPr>
            <w:tcW w:w="5953" w:type="dxa"/>
          </w:tcPr>
          <w:p w14:paraId="1738B65C" w14:textId="390AFD2B" w:rsidR="00143147" w:rsidRPr="008A3265" w:rsidRDefault="00143147" w:rsidP="00826DC1">
            <w:pPr>
              <w:jc w:val="both"/>
              <w:cnfStyle w:val="000000000000" w:firstRow="0" w:lastRow="0" w:firstColumn="0" w:lastColumn="0" w:oddVBand="0" w:evenVBand="0" w:oddHBand="0"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 xml:space="preserve">Konflik kebebasan beragama terjadi di Kabupaten Sintang antara masyarakat muslim dengan Jemaat Ahmadiyah Indonesia. Beberapa jemaat kemudian pindah ke Kota Pontianak. </w:t>
            </w:r>
          </w:p>
        </w:tc>
      </w:tr>
    </w:tbl>
    <w:p w14:paraId="3CF19FA1" w14:textId="227B76DA" w:rsidR="007D284A" w:rsidRPr="008A3265" w:rsidRDefault="007D284A" w:rsidP="00826DC1">
      <w:pPr>
        <w:jc w:val="both"/>
        <w:rPr>
          <w:rFonts w:ascii="Brill" w:eastAsia="Calibri" w:hAnsi="Brill" w:cs="Calibri"/>
          <w:lang w:val="id-ID"/>
        </w:rPr>
      </w:pPr>
      <w:r w:rsidRPr="008A3265">
        <w:rPr>
          <w:rFonts w:ascii="Brill" w:eastAsia="Calibri" w:hAnsi="Brill" w:cs="Calibri"/>
          <w:lang w:val="id-ID"/>
        </w:rPr>
        <w:t>Sumber: Faraz Sumaya, 2020</w:t>
      </w:r>
      <w:r w:rsidR="00143147" w:rsidRPr="008A3265">
        <w:rPr>
          <w:rFonts w:ascii="Brill" w:eastAsia="Calibri" w:hAnsi="Brill" w:cs="Calibri"/>
          <w:lang w:val="id-ID"/>
        </w:rPr>
        <w:t xml:space="preserve"> (diolah penulis)</w:t>
      </w:r>
    </w:p>
    <w:p w14:paraId="4ED7728E" w14:textId="370C1E81" w:rsidR="007D284A" w:rsidRPr="008A3265" w:rsidRDefault="00FF1ABD" w:rsidP="00826DC1">
      <w:pPr>
        <w:ind w:firstLine="720"/>
        <w:jc w:val="both"/>
        <w:rPr>
          <w:rFonts w:ascii="Brill" w:eastAsia="Calibri" w:hAnsi="Brill" w:cs="Calibri"/>
          <w:lang w:val="id-ID"/>
        </w:rPr>
      </w:pPr>
      <w:r w:rsidRPr="008A3265">
        <w:rPr>
          <w:rFonts w:ascii="Brill" w:eastAsia="Calibri" w:hAnsi="Brill" w:cs="Calibri"/>
          <w:lang w:val="id-ID"/>
        </w:rPr>
        <w:t>Sejarah konflik tersebut dalam pandangan Ismail Ruslan selalu muncul pada momen-momen politik. Kondisi tersebut kerap dimanipulasi oleh kelompok-kelompok intoleran untuk menghadirkan kebencian-kebencian kepada masyarakat. Skema-skema yang terjadi adalah kelompok-kelompok intoleran kerap muncul pada momen politik dan menciptakan apa yang disebut sebagai pelintiran kebencian (</w:t>
      </w:r>
      <w:r w:rsidRPr="008A3265">
        <w:rPr>
          <w:rFonts w:ascii="Brill" w:eastAsia="Calibri" w:hAnsi="Brill" w:cs="Calibri"/>
          <w:i/>
          <w:iCs/>
          <w:lang w:val="id-ID"/>
        </w:rPr>
        <w:t>hate spin</w:t>
      </w:r>
      <w:r w:rsidRPr="008A3265">
        <w:rPr>
          <w:rFonts w:ascii="Brill" w:eastAsia="Calibri" w:hAnsi="Brill" w:cs="Calibri"/>
          <w:lang w:val="id-ID"/>
        </w:rPr>
        <w:t>).</w:t>
      </w:r>
      <w:r w:rsidRPr="008A3265">
        <w:rPr>
          <w:rStyle w:val="FootnoteReference"/>
          <w:rFonts w:ascii="Brill" w:eastAsia="Calibri" w:hAnsi="Brill" w:cs="Calibri"/>
          <w:lang w:val="id-ID"/>
        </w:rPr>
        <w:footnoteReference w:id="23"/>
      </w:r>
      <w:r w:rsidRPr="008A3265">
        <w:rPr>
          <w:rFonts w:ascii="Brill" w:eastAsia="Calibri" w:hAnsi="Brill" w:cs="Calibri"/>
          <w:lang w:val="id-ID"/>
        </w:rPr>
        <w:t xml:space="preserve"> Istilah ini dipopulerkan oleh Cherian George untuk menyebut aksi kelompok intoleran dalam memanipulasikan hasutan dan keterhasutan atau penghinaan atau ketersinggungan untuk menciptakan politik identitas yang mengakibatkan segregasi sosial yang meluas dan kerap kali digunakan dalam agenda-agenda politik.</w:t>
      </w:r>
      <w:r w:rsidRPr="008A3265">
        <w:rPr>
          <w:rStyle w:val="FootnoteReference"/>
          <w:rFonts w:ascii="Brill" w:eastAsia="Calibri" w:hAnsi="Brill" w:cs="Calibri"/>
          <w:lang w:val="id-ID"/>
        </w:rPr>
        <w:footnoteReference w:id="24"/>
      </w:r>
    </w:p>
    <w:p w14:paraId="687019F9" w14:textId="038D44C6" w:rsidR="00D37BAA" w:rsidRPr="008A3265" w:rsidRDefault="00FF1ABD" w:rsidP="00826DC1">
      <w:pPr>
        <w:ind w:firstLine="720"/>
        <w:jc w:val="both"/>
        <w:rPr>
          <w:rFonts w:ascii="Brill" w:eastAsia="Calibri" w:hAnsi="Brill" w:cs="Calibri"/>
          <w:lang w:val="id-ID"/>
        </w:rPr>
      </w:pPr>
      <w:r w:rsidRPr="008A3265">
        <w:rPr>
          <w:rFonts w:ascii="Brill" w:eastAsia="Calibri" w:hAnsi="Brill" w:cs="Calibri"/>
          <w:lang w:val="id-ID"/>
        </w:rPr>
        <w:t xml:space="preserve">Kondisi tersebut disadari </w:t>
      </w:r>
      <w:r w:rsidR="006D6984" w:rsidRPr="008A3265">
        <w:rPr>
          <w:rFonts w:ascii="Brill" w:eastAsia="Calibri" w:hAnsi="Brill" w:cs="Calibri"/>
          <w:lang w:val="id-ID"/>
        </w:rPr>
        <w:t xml:space="preserve">oleh </w:t>
      </w:r>
      <w:r w:rsidR="002A4DDA" w:rsidRPr="008A3265">
        <w:rPr>
          <w:rFonts w:ascii="Brill" w:eastAsia="Calibri" w:hAnsi="Brill" w:cs="Calibri"/>
          <w:lang w:val="id-ID"/>
        </w:rPr>
        <w:t>masyarakat sipil</w:t>
      </w:r>
      <w:r w:rsidR="006D6984" w:rsidRPr="008A3265">
        <w:rPr>
          <w:rFonts w:ascii="Brill" w:eastAsia="Calibri" w:hAnsi="Brill" w:cs="Calibri"/>
          <w:lang w:val="id-ID"/>
        </w:rPr>
        <w:t xml:space="preserve"> sehingga kebanyakan dari mereka membentuk komunitas-komunitas dan lembaga-lembaga swadaya masyarakat yang bertujuan untuk membangun gerakan pendidikan kritis dan pendidikan HAM di generasi muda demi memutus mata rantai konflik melahirkan segregasi sosial di Kota Pontianak. </w:t>
      </w:r>
      <w:r w:rsidR="002A4DDA" w:rsidRPr="008A3265">
        <w:rPr>
          <w:rFonts w:ascii="Brill" w:eastAsia="Calibri" w:hAnsi="Brill" w:cs="Calibri"/>
          <w:lang w:val="id-ID"/>
        </w:rPr>
        <w:t>Masyarakat sipil</w:t>
      </w:r>
      <w:r w:rsidR="006D6984" w:rsidRPr="008A3265">
        <w:rPr>
          <w:rFonts w:ascii="Brill" w:eastAsia="Calibri" w:hAnsi="Brill" w:cs="Calibri"/>
          <w:lang w:val="id-ID"/>
        </w:rPr>
        <w:t xml:space="preserve"> menyadari bahwa segregasi sosial sangat membahayakan kondisi Kota Pontianak yang multi</w:t>
      </w:r>
      <w:r w:rsidR="008A3265">
        <w:rPr>
          <w:rFonts w:ascii="Brill" w:eastAsia="Calibri" w:hAnsi="Brill" w:cs="Calibri"/>
          <w:lang w:val="en-US"/>
        </w:rPr>
        <w:t>-</w:t>
      </w:r>
      <w:r w:rsidR="006D6984" w:rsidRPr="008A3265">
        <w:rPr>
          <w:rFonts w:ascii="Brill" w:eastAsia="Calibri" w:hAnsi="Brill" w:cs="Calibri"/>
          <w:lang w:val="id-ID"/>
        </w:rPr>
        <w:t>identitas</w:t>
      </w:r>
      <w:r w:rsidR="00D37BAA" w:rsidRPr="008A3265">
        <w:rPr>
          <w:rFonts w:ascii="Brill" w:eastAsia="Calibri" w:hAnsi="Brill" w:cs="Calibri"/>
          <w:lang w:val="id-ID"/>
        </w:rPr>
        <w:t xml:space="preserve"> sehingga gerakan-gerakan tersebut mempropagandakan kampanye </w:t>
      </w:r>
      <w:r w:rsidR="008C5148">
        <w:rPr>
          <w:rFonts w:ascii="Brill" w:eastAsia="Calibri" w:hAnsi="Brill" w:cs="Calibri"/>
          <w:lang w:val="id-ID"/>
        </w:rPr>
        <w:t>“</w:t>
      </w:r>
      <w:r w:rsidR="00D37BAA" w:rsidRPr="008A3265">
        <w:rPr>
          <w:rFonts w:ascii="Brill" w:eastAsia="Calibri" w:hAnsi="Brill" w:cs="Calibri"/>
          <w:lang w:val="id-ID"/>
        </w:rPr>
        <w:t>Pontianak Rumah Bersama</w:t>
      </w:r>
      <w:r w:rsidR="008C5148">
        <w:rPr>
          <w:rFonts w:ascii="Brill" w:eastAsia="Calibri" w:hAnsi="Brill" w:cs="Calibri"/>
          <w:lang w:val="id-ID"/>
        </w:rPr>
        <w:t>”</w:t>
      </w:r>
      <w:r w:rsidR="00A94F86" w:rsidRPr="008A3265">
        <w:rPr>
          <w:rFonts w:ascii="Brill" w:eastAsia="Calibri" w:hAnsi="Brill" w:cs="Calibri"/>
          <w:lang w:val="id-ID"/>
        </w:rPr>
        <w:t xml:space="preserve"> dan </w:t>
      </w:r>
      <w:r w:rsidR="008C5148">
        <w:rPr>
          <w:rFonts w:ascii="Brill" w:eastAsia="Calibri" w:hAnsi="Brill" w:cs="Calibri"/>
          <w:lang w:val="id-ID"/>
        </w:rPr>
        <w:t>“</w:t>
      </w:r>
      <w:r w:rsidR="001C6D96" w:rsidRPr="008A3265">
        <w:rPr>
          <w:rFonts w:ascii="Brill" w:eastAsia="Calibri" w:hAnsi="Brill" w:cs="Calibri"/>
          <w:lang w:val="id-ID"/>
        </w:rPr>
        <w:t>Jaringan</w:t>
      </w:r>
      <w:r w:rsidR="00A94F86" w:rsidRPr="008A3265">
        <w:rPr>
          <w:rFonts w:ascii="Brill" w:eastAsia="Calibri" w:hAnsi="Brill" w:cs="Calibri"/>
          <w:lang w:val="id-ID"/>
        </w:rPr>
        <w:t xml:space="preserve"> Pontianak Bhinneka</w:t>
      </w:r>
      <w:r w:rsidR="008C5148">
        <w:rPr>
          <w:rFonts w:ascii="Brill" w:eastAsia="Calibri" w:hAnsi="Brill" w:cs="Calibri"/>
          <w:lang w:val="id-ID"/>
        </w:rPr>
        <w:t>”</w:t>
      </w:r>
      <w:r w:rsidR="006D6984" w:rsidRPr="008A3265">
        <w:rPr>
          <w:rFonts w:ascii="Brill" w:eastAsia="Calibri" w:hAnsi="Brill" w:cs="Calibri"/>
          <w:lang w:val="id-ID"/>
        </w:rPr>
        <w:t>. Beberapa</w:t>
      </w:r>
      <w:r w:rsidR="00D37BAA" w:rsidRPr="008A3265">
        <w:rPr>
          <w:rFonts w:ascii="Brill" w:eastAsia="Calibri" w:hAnsi="Brill" w:cs="Calibri"/>
          <w:lang w:val="id-ID"/>
        </w:rPr>
        <w:t xml:space="preserve"> komunitas atau lembaga yang digagas </w:t>
      </w:r>
      <w:r w:rsidR="002A4DDA" w:rsidRPr="008A3265">
        <w:rPr>
          <w:rFonts w:ascii="Brill" w:eastAsia="Calibri" w:hAnsi="Brill" w:cs="Calibri"/>
          <w:lang w:val="id-ID"/>
        </w:rPr>
        <w:t>masyarakat sipil</w:t>
      </w:r>
      <w:r w:rsidR="00D37BAA" w:rsidRPr="008A3265">
        <w:rPr>
          <w:rFonts w:ascii="Brill" w:eastAsia="Calibri" w:hAnsi="Brill" w:cs="Calibri"/>
          <w:lang w:val="id-ID"/>
        </w:rPr>
        <w:t xml:space="preserve"> dapat dilihat pada tabel di bawah ini.</w:t>
      </w:r>
    </w:p>
    <w:p w14:paraId="5BA0CEC4" w14:textId="77777777" w:rsidR="00D37BAA" w:rsidRPr="008A3265" w:rsidRDefault="00D37BAA" w:rsidP="00826DC1">
      <w:pPr>
        <w:ind w:firstLine="720"/>
        <w:jc w:val="both"/>
        <w:rPr>
          <w:rFonts w:ascii="Brill" w:eastAsia="Calibri" w:hAnsi="Brill" w:cs="Calibri"/>
          <w:lang w:val="id-ID"/>
        </w:rPr>
      </w:pPr>
    </w:p>
    <w:p w14:paraId="437FB33B" w14:textId="6CBE10FD" w:rsidR="00D37BAA" w:rsidRPr="008A3265" w:rsidRDefault="00D37BAA" w:rsidP="00826DC1">
      <w:pPr>
        <w:ind w:firstLine="720"/>
        <w:jc w:val="center"/>
        <w:rPr>
          <w:rFonts w:ascii="Brill" w:eastAsia="Calibri" w:hAnsi="Brill" w:cs="Calibri"/>
          <w:b/>
          <w:bCs/>
          <w:lang w:val="id-ID"/>
        </w:rPr>
      </w:pPr>
      <w:r w:rsidRPr="008A3265">
        <w:rPr>
          <w:rFonts w:ascii="Brill" w:eastAsia="Calibri" w:hAnsi="Brill" w:cs="Calibri"/>
          <w:b/>
          <w:bCs/>
          <w:lang w:val="id-ID"/>
        </w:rPr>
        <w:t xml:space="preserve">Tabel 2. Gerakan Pembaharu </w:t>
      </w:r>
      <w:r w:rsidR="002A4DDA" w:rsidRPr="008A3265">
        <w:rPr>
          <w:rFonts w:ascii="Brill" w:eastAsia="Calibri" w:hAnsi="Brill" w:cs="Calibri"/>
          <w:b/>
          <w:bCs/>
          <w:lang w:val="id-ID"/>
        </w:rPr>
        <w:t>Masyarakat sipil</w:t>
      </w:r>
    </w:p>
    <w:tbl>
      <w:tblPr>
        <w:tblStyle w:val="TableGrid"/>
        <w:tblW w:w="0" w:type="auto"/>
        <w:tblLook w:val="04A0" w:firstRow="1" w:lastRow="0" w:firstColumn="1" w:lastColumn="0" w:noHBand="0" w:noVBand="1"/>
      </w:tblPr>
      <w:tblGrid>
        <w:gridCol w:w="704"/>
        <w:gridCol w:w="3402"/>
        <w:gridCol w:w="4904"/>
      </w:tblGrid>
      <w:tr w:rsidR="00D37BAA" w:rsidRPr="008A3265" w14:paraId="1394251F" w14:textId="77777777" w:rsidTr="00D37BAA">
        <w:tc>
          <w:tcPr>
            <w:tcW w:w="704" w:type="dxa"/>
          </w:tcPr>
          <w:p w14:paraId="3196A7E7" w14:textId="0158E659" w:rsidR="00D37BAA" w:rsidRPr="008A3265" w:rsidRDefault="00D37BAA" w:rsidP="00826DC1">
            <w:pPr>
              <w:jc w:val="both"/>
              <w:rPr>
                <w:rFonts w:ascii="Brill" w:eastAsia="Calibri" w:hAnsi="Brill" w:cs="Calibri"/>
                <w:lang w:val="id-ID"/>
              </w:rPr>
            </w:pPr>
            <w:r w:rsidRPr="008A3265">
              <w:rPr>
                <w:rFonts w:ascii="Brill" w:eastAsia="Calibri" w:hAnsi="Brill" w:cs="Calibri"/>
                <w:lang w:val="id-ID"/>
              </w:rPr>
              <w:t>No.</w:t>
            </w:r>
          </w:p>
        </w:tc>
        <w:tc>
          <w:tcPr>
            <w:tcW w:w="3402" w:type="dxa"/>
          </w:tcPr>
          <w:p w14:paraId="7BB40E4C" w14:textId="0746C2EC" w:rsidR="00D37BAA" w:rsidRPr="008A3265" w:rsidRDefault="00D37BAA" w:rsidP="00826DC1">
            <w:pPr>
              <w:jc w:val="both"/>
              <w:rPr>
                <w:rFonts w:ascii="Brill" w:eastAsia="Calibri" w:hAnsi="Brill" w:cs="Calibri"/>
                <w:lang w:val="id-ID"/>
              </w:rPr>
            </w:pPr>
            <w:r w:rsidRPr="008A3265">
              <w:rPr>
                <w:rFonts w:ascii="Brill" w:eastAsia="Calibri" w:hAnsi="Brill" w:cs="Calibri"/>
                <w:lang w:val="id-ID"/>
              </w:rPr>
              <w:t>Lembaga</w:t>
            </w:r>
          </w:p>
        </w:tc>
        <w:tc>
          <w:tcPr>
            <w:tcW w:w="4904" w:type="dxa"/>
          </w:tcPr>
          <w:p w14:paraId="45958174" w14:textId="7C977620" w:rsidR="00D37BAA" w:rsidRPr="008A3265" w:rsidRDefault="00D37BAA" w:rsidP="00826DC1">
            <w:pPr>
              <w:jc w:val="both"/>
              <w:rPr>
                <w:rFonts w:ascii="Brill" w:eastAsia="Calibri" w:hAnsi="Brill" w:cs="Calibri"/>
                <w:lang w:val="id-ID"/>
              </w:rPr>
            </w:pPr>
            <w:r w:rsidRPr="008A3265">
              <w:rPr>
                <w:rFonts w:ascii="Brill" w:eastAsia="Calibri" w:hAnsi="Brill" w:cs="Calibri"/>
                <w:lang w:val="id-ID"/>
              </w:rPr>
              <w:t>Fokus Agenda</w:t>
            </w:r>
          </w:p>
        </w:tc>
      </w:tr>
      <w:tr w:rsidR="00D37BAA" w:rsidRPr="008A3265" w14:paraId="08F1FA66" w14:textId="77777777" w:rsidTr="00D37BAA">
        <w:tc>
          <w:tcPr>
            <w:tcW w:w="704" w:type="dxa"/>
          </w:tcPr>
          <w:p w14:paraId="3560D1E8" w14:textId="75439115" w:rsidR="00D37BAA" w:rsidRPr="008A3265" w:rsidRDefault="000F6827" w:rsidP="00826DC1">
            <w:pPr>
              <w:jc w:val="both"/>
              <w:rPr>
                <w:rFonts w:ascii="Brill" w:eastAsia="Calibri" w:hAnsi="Brill" w:cs="Calibri"/>
                <w:lang w:val="id-ID"/>
              </w:rPr>
            </w:pPr>
            <w:r w:rsidRPr="008A3265">
              <w:rPr>
                <w:rFonts w:ascii="Brill" w:eastAsia="Calibri" w:hAnsi="Brill" w:cs="Calibri"/>
                <w:lang w:val="id-ID"/>
              </w:rPr>
              <w:t>1.</w:t>
            </w:r>
          </w:p>
        </w:tc>
        <w:tc>
          <w:tcPr>
            <w:tcW w:w="3402" w:type="dxa"/>
          </w:tcPr>
          <w:p w14:paraId="5E617B3C" w14:textId="7C8670FA" w:rsidR="00D37BAA" w:rsidRPr="008A3265" w:rsidRDefault="00D37BAA" w:rsidP="00826DC1">
            <w:pPr>
              <w:jc w:val="both"/>
              <w:rPr>
                <w:rFonts w:ascii="Brill" w:eastAsia="Calibri" w:hAnsi="Brill" w:cs="Calibri"/>
                <w:lang w:val="id-ID"/>
              </w:rPr>
            </w:pPr>
            <w:r w:rsidRPr="008A3265">
              <w:rPr>
                <w:rFonts w:ascii="Brill" w:eastAsia="Calibri" w:hAnsi="Brill" w:cs="Calibri"/>
                <w:lang w:val="id-ID"/>
              </w:rPr>
              <w:t>Yayasan Suar Asa Khatulistiwa</w:t>
            </w:r>
          </w:p>
        </w:tc>
        <w:tc>
          <w:tcPr>
            <w:tcW w:w="4904" w:type="dxa"/>
          </w:tcPr>
          <w:p w14:paraId="5CC19159" w14:textId="1B2DA275" w:rsidR="00D37BAA" w:rsidRPr="008A3265" w:rsidRDefault="00D37BAA" w:rsidP="00826DC1">
            <w:pPr>
              <w:jc w:val="both"/>
              <w:rPr>
                <w:rFonts w:ascii="Brill" w:eastAsia="Calibri" w:hAnsi="Brill" w:cs="Calibri"/>
                <w:lang w:val="id-ID"/>
              </w:rPr>
            </w:pPr>
            <w:r w:rsidRPr="008A3265">
              <w:rPr>
                <w:rFonts w:ascii="Brill" w:eastAsia="Calibri" w:hAnsi="Brill" w:cs="Calibri"/>
                <w:lang w:val="id-ID"/>
              </w:rPr>
              <w:t xml:space="preserve">Berfokus pada gerakan </w:t>
            </w:r>
            <w:r w:rsidR="008A3265" w:rsidRPr="008A3265">
              <w:rPr>
                <w:rFonts w:ascii="Brill" w:eastAsia="Calibri" w:hAnsi="Brill" w:cs="Calibri"/>
                <w:lang w:val="id-ID"/>
              </w:rPr>
              <w:t>kebinekaan</w:t>
            </w:r>
            <w:r w:rsidRPr="008A3265">
              <w:rPr>
                <w:rFonts w:ascii="Brill" w:eastAsia="Calibri" w:hAnsi="Brill" w:cs="Calibri"/>
                <w:lang w:val="id-ID"/>
              </w:rPr>
              <w:t xml:space="preserve">, pendidikan kritis, pendidikan HAM, </w:t>
            </w:r>
            <w:r w:rsidR="00650A30" w:rsidRPr="008A3265">
              <w:rPr>
                <w:rFonts w:ascii="Brill" w:eastAsia="Calibri" w:hAnsi="Brill" w:cs="Calibri"/>
                <w:lang w:val="id-ID"/>
              </w:rPr>
              <w:t>pendidikan toleransi,</w:t>
            </w:r>
            <w:r w:rsidRPr="008A3265">
              <w:rPr>
                <w:rFonts w:ascii="Brill" w:eastAsia="Calibri" w:hAnsi="Brill" w:cs="Calibri"/>
                <w:lang w:val="id-ID"/>
              </w:rPr>
              <w:t xml:space="preserve"> pendidikan demokrasi</w:t>
            </w:r>
            <w:r w:rsidR="00134588" w:rsidRPr="008A3265">
              <w:rPr>
                <w:rFonts w:ascii="Brill" w:eastAsia="Calibri" w:hAnsi="Brill" w:cs="Calibri"/>
                <w:lang w:val="id-ID"/>
              </w:rPr>
              <w:t>, dan tata kelola pemerintahan</w:t>
            </w:r>
            <w:r w:rsidRPr="008A3265">
              <w:rPr>
                <w:rFonts w:ascii="Brill" w:eastAsia="Calibri" w:hAnsi="Brill" w:cs="Calibri"/>
                <w:lang w:val="id-ID"/>
              </w:rPr>
              <w:t xml:space="preserve">. Target program kerjanya adalah generasi muda mulai dari anak sekolah sampai mahasiswa. </w:t>
            </w:r>
          </w:p>
        </w:tc>
      </w:tr>
      <w:tr w:rsidR="00D37BAA" w:rsidRPr="008A3265" w14:paraId="324EAD87" w14:textId="77777777" w:rsidTr="00D37BAA">
        <w:tc>
          <w:tcPr>
            <w:tcW w:w="704" w:type="dxa"/>
          </w:tcPr>
          <w:p w14:paraId="461FC038" w14:textId="78180D55" w:rsidR="00D37BAA" w:rsidRPr="008A3265" w:rsidRDefault="000F6827" w:rsidP="00826DC1">
            <w:pPr>
              <w:jc w:val="both"/>
              <w:rPr>
                <w:rFonts w:ascii="Brill" w:eastAsia="Calibri" w:hAnsi="Brill" w:cs="Calibri"/>
                <w:lang w:val="id-ID"/>
              </w:rPr>
            </w:pPr>
            <w:r w:rsidRPr="008A3265">
              <w:rPr>
                <w:rFonts w:ascii="Brill" w:eastAsia="Calibri" w:hAnsi="Brill" w:cs="Calibri"/>
                <w:lang w:val="id-ID"/>
              </w:rPr>
              <w:t>2.</w:t>
            </w:r>
          </w:p>
        </w:tc>
        <w:tc>
          <w:tcPr>
            <w:tcW w:w="3402" w:type="dxa"/>
          </w:tcPr>
          <w:p w14:paraId="4B1E01C7" w14:textId="59439F53" w:rsidR="00D37BAA" w:rsidRPr="008A3265" w:rsidRDefault="00650A30" w:rsidP="00826DC1">
            <w:pPr>
              <w:jc w:val="both"/>
              <w:rPr>
                <w:rFonts w:ascii="Brill" w:eastAsia="Calibri" w:hAnsi="Brill" w:cs="Calibri"/>
                <w:lang w:val="id-ID"/>
              </w:rPr>
            </w:pPr>
            <w:r w:rsidRPr="008A3265">
              <w:rPr>
                <w:rFonts w:ascii="Brill" w:eastAsia="Calibri" w:hAnsi="Brill" w:cs="Calibri"/>
                <w:lang w:val="id-ID"/>
              </w:rPr>
              <w:t>Serikat Jurnalis untuk Keberagaman Kalimantan Barat (Sejuk Kalbar)</w:t>
            </w:r>
          </w:p>
        </w:tc>
        <w:tc>
          <w:tcPr>
            <w:tcW w:w="4904" w:type="dxa"/>
          </w:tcPr>
          <w:p w14:paraId="59371C8A" w14:textId="2A33870A" w:rsidR="00D37BAA" w:rsidRPr="008A3265" w:rsidRDefault="00650A30" w:rsidP="00826DC1">
            <w:pPr>
              <w:jc w:val="both"/>
              <w:rPr>
                <w:rFonts w:ascii="Brill" w:eastAsia="Calibri" w:hAnsi="Brill" w:cs="Calibri"/>
                <w:lang w:val="id-ID"/>
              </w:rPr>
            </w:pPr>
            <w:r w:rsidRPr="008A3265">
              <w:rPr>
                <w:rFonts w:ascii="Brill" w:eastAsia="Calibri" w:hAnsi="Brill" w:cs="Calibri"/>
                <w:lang w:val="id-ID"/>
              </w:rPr>
              <w:t>Berfokus pada penyiaran berita-berita terkait keberagaman dan perlawanan terhadap intoleransi. Khusus di Kota Pontianak, kontribusi Sejuk terlihat dari penguatan narasi-narasi melawan intoleransi.</w:t>
            </w:r>
          </w:p>
        </w:tc>
      </w:tr>
      <w:tr w:rsidR="00D37BAA" w:rsidRPr="008A3265" w14:paraId="7696123F" w14:textId="77777777" w:rsidTr="00D37BAA">
        <w:tc>
          <w:tcPr>
            <w:tcW w:w="704" w:type="dxa"/>
          </w:tcPr>
          <w:p w14:paraId="0F63F441" w14:textId="01132212" w:rsidR="00D37BAA" w:rsidRPr="008A3265" w:rsidRDefault="000F6827" w:rsidP="00826DC1">
            <w:pPr>
              <w:jc w:val="both"/>
              <w:rPr>
                <w:rFonts w:ascii="Brill" w:eastAsia="Calibri" w:hAnsi="Brill" w:cs="Calibri"/>
                <w:lang w:val="id-ID"/>
              </w:rPr>
            </w:pPr>
            <w:r w:rsidRPr="008A3265">
              <w:rPr>
                <w:rFonts w:ascii="Brill" w:eastAsia="Calibri" w:hAnsi="Brill" w:cs="Calibri"/>
                <w:lang w:val="id-ID"/>
              </w:rPr>
              <w:lastRenderedPageBreak/>
              <w:t>3.</w:t>
            </w:r>
          </w:p>
        </w:tc>
        <w:tc>
          <w:tcPr>
            <w:tcW w:w="3402" w:type="dxa"/>
          </w:tcPr>
          <w:p w14:paraId="089E1DC9" w14:textId="2F471E39" w:rsidR="00D37BAA" w:rsidRPr="008A3265" w:rsidRDefault="00650A30" w:rsidP="00826DC1">
            <w:pPr>
              <w:jc w:val="both"/>
              <w:rPr>
                <w:rFonts w:ascii="Brill" w:eastAsia="Calibri" w:hAnsi="Brill" w:cs="Calibri"/>
                <w:lang w:val="id-ID"/>
              </w:rPr>
            </w:pPr>
            <w:r w:rsidRPr="008A3265">
              <w:rPr>
                <w:rFonts w:ascii="Brill" w:eastAsia="Calibri" w:hAnsi="Brill" w:cs="Calibri"/>
                <w:lang w:val="id-ID"/>
              </w:rPr>
              <w:t>Satu Dalam Perbedaan (Sadap)</w:t>
            </w:r>
          </w:p>
        </w:tc>
        <w:tc>
          <w:tcPr>
            <w:tcW w:w="4904" w:type="dxa"/>
          </w:tcPr>
          <w:p w14:paraId="34E95607" w14:textId="56B58635" w:rsidR="00D37BAA" w:rsidRPr="008A3265" w:rsidRDefault="00650A30" w:rsidP="00826DC1">
            <w:pPr>
              <w:jc w:val="both"/>
              <w:rPr>
                <w:rFonts w:ascii="Brill" w:eastAsia="Calibri" w:hAnsi="Brill" w:cs="Calibri"/>
                <w:lang w:val="id-ID"/>
              </w:rPr>
            </w:pPr>
            <w:r w:rsidRPr="008A3265">
              <w:rPr>
                <w:rFonts w:ascii="Brill" w:eastAsia="Calibri" w:hAnsi="Brill" w:cs="Calibri"/>
                <w:lang w:val="id-ID"/>
              </w:rPr>
              <w:t>Memperkuat jejaring anak muda lintas identitas melalui gerakan dan pendidikan toleransi.</w:t>
            </w:r>
          </w:p>
        </w:tc>
      </w:tr>
      <w:tr w:rsidR="00D37BAA" w:rsidRPr="008A3265" w14:paraId="02C2B949" w14:textId="77777777" w:rsidTr="00D37BAA">
        <w:tc>
          <w:tcPr>
            <w:tcW w:w="704" w:type="dxa"/>
          </w:tcPr>
          <w:p w14:paraId="7646F491" w14:textId="1147AFD7" w:rsidR="00D37BAA" w:rsidRPr="008A3265" w:rsidRDefault="000F6827" w:rsidP="00826DC1">
            <w:pPr>
              <w:jc w:val="both"/>
              <w:rPr>
                <w:rFonts w:ascii="Brill" w:eastAsia="Calibri" w:hAnsi="Brill" w:cs="Calibri"/>
                <w:lang w:val="id-ID"/>
              </w:rPr>
            </w:pPr>
            <w:r w:rsidRPr="008A3265">
              <w:rPr>
                <w:rFonts w:ascii="Brill" w:eastAsia="Calibri" w:hAnsi="Brill" w:cs="Calibri"/>
                <w:lang w:val="id-ID"/>
              </w:rPr>
              <w:t>4.</w:t>
            </w:r>
          </w:p>
        </w:tc>
        <w:tc>
          <w:tcPr>
            <w:tcW w:w="3402" w:type="dxa"/>
          </w:tcPr>
          <w:p w14:paraId="1B215E48" w14:textId="76605075" w:rsidR="00D37BAA" w:rsidRPr="008A3265" w:rsidRDefault="00650A30" w:rsidP="00826DC1">
            <w:pPr>
              <w:jc w:val="both"/>
              <w:rPr>
                <w:rFonts w:ascii="Brill" w:eastAsia="Calibri" w:hAnsi="Brill" w:cs="Calibri"/>
                <w:lang w:val="id-ID"/>
              </w:rPr>
            </w:pPr>
            <w:r w:rsidRPr="008A3265">
              <w:rPr>
                <w:rFonts w:ascii="Brill" w:eastAsia="Calibri" w:hAnsi="Brill" w:cs="Calibri"/>
                <w:lang w:val="id-ID"/>
              </w:rPr>
              <w:t>Rumah Diskusi</w:t>
            </w:r>
          </w:p>
        </w:tc>
        <w:tc>
          <w:tcPr>
            <w:tcW w:w="4904" w:type="dxa"/>
          </w:tcPr>
          <w:p w14:paraId="6A2AB084" w14:textId="3BA29DF4" w:rsidR="00D37BAA" w:rsidRPr="008A3265" w:rsidRDefault="00650A30" w:rsidP="00826DC1">
            <w:pPr>
              <w:jc w:val="both"/>
              <w:rPr>
                <w:rFonts w:ascii="Brill" w:eastAsia="Calibri" w:hAnsi="Brill" w:cs="Calibri"/>
                <w:lang w:val="id-ID"/>
              </w:rPr>
            </w:pPr>
            <w:r w:rsidRPr="008A3265">
              <w:rPr>
                <w:rFonts w:ascii="Brill" w:eastAsia="Calibri" w:hAnsi="Brill" w:cs="Calibri"/>
                <w:lang w:val="id-ID"/>
              </w:rPr>
              <w:t>Merupakan komunitas mahasiswa yang menggerakkan diskusi berbasis pendidikan kritis dan pendidikan HAM</w:t>
            </w:r>
            <w:r w:rsidR="005565F5" w:rsidRPr="008A3265">
              <w:rPr>
                <w:rFonts w:ascii="Brill" w:eastAsia="Calibri" w:hAnsi="Brill" w:cs="Calibri"/>
                <w:lang w:val="id-ID"/>
              </w:rPr>
              <w:t>.</w:t>
            </w:r>
          </w:p>
        </w:tc>
      </w:tr>
      <w:tr w:rsidR="00D37BAA" w:rsidRPr="008A3265" w14:paraId="7943A82D" w14:textId="77777777" w:rsidTr="00D37BAA">
        <w:tc>
          <w:tcPr>
            <w:tcW w:w="704" w:type="dxa"/>
          </w:tcPr>
          <w:p w14:paraId="034AC644" w14:textId="376402AD" w:rsidR="00D37BAA" w:rsidRPr="008A3265" w:rsidRDefault="000F6827" w:rsidP="00826DC1">
            <w:pPr>
              <w:jc w:val="both"/>
              <w:rPr>
                <w:rFonts w:ascii="Brill" w:eastAsia="Calibri" w:hAnsi="Brill" w:cs="Calibri"/>
                <w:lang w:val="id-ID"/>
              </w:rPr>
            </w:pPr>
            <w:r w:rsidRPr="008A3265">
              <w:rPr>
                <w:rFonts w:ascii="Brill" w:eastAsia="Calibri" w:hAnsi="Brill" w:cs="Calibri"/>
                <w:lang w:val="id-ID"/>
              </w:rPr>
              <w:t>5.</w:t>
            </w:r>
          </w:p>
        </w:tc>
        <w:tc>
          <w:tcPr>
            <w:tcW w:w="3402" w:type="dxa"/>
          </w:tcPr>
          <w:p w14:paraId="66A4E0A4" w14:textId="2E4906EF" w:rsidR="00D37BAA" w:rsidRPr="008A3265" w:rsidRDefault="00650A30" w:rsidP="00826DC1">
            <w:pPr>
              <w:jc w:val="both"/>
              <w:rPr>
                <w:rFonts w:ascii="Brill" w:eastAsia="Calibri" w:hAnsi="Brill" w:cs="Calibri"/>
                <w:lang w:val="id-ID"/>
              </w:rPr>
            </w:pPr>
            <w:r w:rsidRPr="008A3265">
              <w:rPr>
                <w:rFonts w:ascii="Brill" w:eastAsia="Calibri" w:hAnsi="Brill" w:cs="Calibri"/>
                <w:lang w:val="id-ID"/>
              </w:rPr>
              <w:t>Aksi Kamisan Pontianak</w:t>
            </w:r>
          </w:p>
        </w:tc>
        <w:tc>
          <w:tcPr>
            <w:tcW w:w="4904" w:type="dxa"/>
          </w:tcPr>
          <w:p w14:paraId="5E4ADE6B" w14:textId="011AC6B9" w:rsidR="00D37BAA" w:rsidRPr="008A3265" w:rsidRDefault="00650A30" w:rsidP="00826DC1">
            <w:pPr>
              <w:jc w:val="both"/>
              <w:rPr>
                <w:rFonts w:ascii="Brill" w:eastAsia="Calibri" w:hAnsi="Brill" w:cs="Calibri"/>
                <w:lang w:val="id-ID"/>
              </w:rPr>
            </w:pPr>
            <w:r w:rsidRPr="008A3265">
              <w:rPr>
                <w:rFonts w:ascii="Brill" w:eastAsia="Calibri" w:hAnsi="Brill" w:cs="Calibri"/>
                <w:lang w:val="id-ID"/>
              </w:rPr>
              <w:t>Merupakan komunitas kepemudaan yang setiap hari kamis menggelar aksi kamisan untuk menyuarakan perlawanan terhadap pelanggaran HAM berat, anti korupsi, dan pemerintahan yang tidak demokratis.</w:t>
            </w:r>
          </w:p>
        </w:tc>
      </w:tr>
      <w:tr w:rsidR="00D37BAA" w:rsidRPr="008A3265" w14:paraId="0AA6500C" w14:textId="77777777" w:rsidTr="00D37BAA">
        <w:tc>
          <w:tcPr>
            <w:tcW w:w="704" w:type="dxa"/>
          </w:tcPr>
          <w:p w14:paraId="3397C979" w14:textId="09A3BCFE" w:rsidR="00D37BAA" w:rsidRPr="008A3265" w:rsidRDefault="000F6827" w:rsidP="00826DC1">
            <w:pPr>
              <w:jc w:val="both"/>
              <w:rPr>
                <w:rFonts w:ascii="Brill" w:eastAsia="Calibri" w:hAnsi="Brill" w:cs="Calibri"/>
                <w:lang w:val="id-ID"/>
              </w:rPr>
            </w:pPr>
            <w:r w:rsidRPr="008A3265">
              <w:rPr>
                <w:rFonts w:ascii="Brill" w:eastAsia="Calibri" w:hAnsi="Brill" w:cs="Calibri"/>
                <w:lang w:val="id-ID"/>
              </w:rPr>
              <w:t>6.</w:t>
            </w:r>
          </w:p>
        </w:tc>
        <w:tc>
          <w:tcPr>
            <w:tcW w:w="3402" w:type="dxa"/>
          </w:tcPr>
          <w:p w14:paraId="6118FC00" w14:textId="127E1976" w:rsidR="00D37BAA" w:rsidRPr="008A3265" w:rsidRDefault="00650A30" w:rsidP="00826DC1">
            <w:pPr>
              <w:jc w:val="both"/>
              <w:rPr>
                <w:rFonts w:ascii="Brill" w:eastAsia="Calibri" w:hAnsi="Brill" w:cs="Calibri"/>
                <w:lang w:val="id-ID"/>
              </w:rPr>
            </w:pPr>
            <w:r w:rsidRPr="008A3265">
              <w:rPr>
                <w:rFonts w:ascii="Brill" w:eastAsia="Calibri" w:hAnsi="Brill" w:cs="Calibri"/>
                <w:lang w:val="id-ID"/>
              </w:rPr>
              <w:t>Eco Bhinneka Kalimantan Barat</w:t>
            </w:r>
          </w:p>
        </w:tc>
        <w:tc>
          <w:tcPr>
            <w:tcW w:w="4904" w:type="dxa"/>
          </w:tcPr>
          <w:p w14:paraId="16886C10" w14:textId="39DF03D4" w:rsidR="00D37BAA" w:rsidRPr="008A3265" w:rsidRDefault="00650A30" w:rsidP="00826DC1">
            <w:pPr>
              <w:jc w:val="both"/>
              <w:rPr>
                <w:rFonts w:ascii="Brill" w:eastAsia="Calibri" w:hAnsi="Brill" w:cs="Calibri"/>
                <w:lang w:val="id-ID"/>
              </w:rPr>
            </w:pPr>
            <w:r w:rsidRPr="008A3265">
              <w:rPr>
                <w:rFonts w:ascii="Brill" w:eastAsia="Calibri" w:hAnsi="Brill" w:cs="Calibri"/>
                <w:lang w:val="id-ID"/>
              </w:rPr>
              <w:t>Merupakan gerakan membangun kebhinnekaan melalui pelestarian lingkungan</w:t>
            </w:r>
            <w:r w:rsidR="005565F5" w:rsidRPr="008A3265">
              <w:rPr>
                <w:rFonts w:ascii="Brill" w:eastAsia="Calibri" w:hAnsi="Brill" w:cs="Calibri"/>
                <w:lang w:val="id-ID"/>
              </w:rPr>
              <w:t>.</w:t>
            </w:r>
          </w:p>
        </w:tc>
      </w:tr>
      <w:tr w:rsidR="00D37BAA" w:rsidRPr="008A3265" w14:paraId="2CB5D26F" w14:textId="77777777" w:rsidTr="00D37BAA">
        <w:tc>
          <w:tcPr>
            <w:tcW w:w="704" w:type="dxa"/>
          </w:tcPr>
          <w:p w14:paraId="2959929C" w14:textId="3F70AD32" w:rsidR="00D37BAA" w:rsidRPr="008A3265" w:rsidRDefault="000F6827" w:rsidP="00826DC1">
            <w:pPr>
              <w:jc w:val="both"/>
              <w:rPr>
                <w:rFonts w:ascii="Brill" w:eastAsia="Calibri" w:hAnsi="Brill" w:cs="Calibri"/>
                <w:lang w:val="id-ID"/>
              </w:rPr>
            </w:pPr>
            <w:r w:rsidRPr="008A3265">
              <w:rPr>
                <w:rFonts w:ascii="Brill" w:eastAsia="Calibri" w:hAnsi="Brill" w:cs="Calibri"/>
                <w:lang w:val="id-ID"/>
              </w:rPr>
              <w:t>7.</w:t>
            </w:r>
          </w:p>
        </w:tc>
        <w:tc>
          <w:tcPr>
            <w:tcW w:w="3402" w:type="dxa"/>
          </w:tcPr>
          <w:p w14:paraId="6C5A31A0" w14:textId="54B52905" w:rsidR="00D37BAA" w:rsidRPr="008A3265" w:rsidRDefault="00650A30" w:rsidP="00826DC1">
            <w:pPr>
              <w:jc w:val="both"/>
              <w:rPr>
                <w:rFonts w:ascii="Brill" w:eastAsia="Calibri" w:hAnsi="Brill" w:cs="Calibri"/>
                <w:lang w:val="id-ID"/>
              </w:rPr>
            </w:pPr>
            <w:r w:rsidRPr="008A3265">
              <w:rPr>
                <w:rFonts w:ascii="Brill" w:eastAsia="Calibri" w:hAnsi="Brill" w:cs="Calibri"/>
                <w:lang w:val="id-ID"/>
              </w:rPr>
              <w:t>Mitra Sekolah Masyarakat</w:t>
            </w:r>
          </w:p>
        </w:tc>
        <w:tc>
          <w:tcPr>
            <w:tcW w:w="4904" w:type="dxa"/>
          </w:tcPr>
          <w:p w14:paraId="5B2EC7DA" w14:textId="5B40A31B" w:rsidR="00D37BAA" w:rsidRPr="008A3265" w:rsidRDefault="00650A30" w:rsidP="00826DC1">
            <w:pPr>
              <w:jc w:val="both"/>
              <w:rPr>
                <w:rFonts w:ascii="Brill" w:eastAsia="Calibri" w:hAnsi="Brill" w:cs="Calibri"/>
                <w:lang w:val="id-ID"/>
              </w:rPr>
            </w:pPr>
            <w:r w:rsidRPr="008A3265">
              <w:rPr>
                <w:rFonts w:ascii="Brill" w:eastAsia="Calibri" w:hAnsi="Brill" w:cs="Calibri"/>
                <w:lang w:val="id-ID"/>
              </w:rPr>
              <w:t>Menggagas pendidikan kritis dan pemberdayaan masyarakat yang multi</w:t>
            </w:r>
            <w:r w:rsidR="008A3265">
              <w:rPr>
                <w:rFonts w:ascii="Brill" w:eastAsia="Calibri" w:hAnsi="Brill" w:cs="Calibri"/>
                <w:lang w:val="en-US"/>
              </w:rPr>
              <w:t>-</w:t>
            </w:r>
            <w:r w:rsidRPr="008A3265">
              <w:rPr>
                <w:rFonts w:ascii="Brill" w:eastAsia="Calibri" w:hAnsi="Brill" w:cs="Calibri"/>
                <w:lang w:val="id-ID"/>
              </w:rPr>
              <w:t xml:space="preserve">identitas untuk dapat membangun kesejahteraan bersama </w:t>
            </w:r>
            <w:r w:rsidR="00134588" w:rsidRPr="008A3265">
              <w:rPr>
                <w:rFonts w:ascii="Brill" w:eastAsia="Calibri" w:hAnsi="Brill" w:cs="Calibri"/>
                <w:lang w:val="id-ID"/>
              </w:rPr>
              <w:t>dan kesadaran akan kemanusiaan</w:t>
            </w:r>
            <w:r w:rsidR="005565F5" w:rsidRPr="008A3265">
              <w:rPr>
                <w:rFonts w:ascii="Brill" w:eastAsia="Calibri" w:hAnsi="Brill" w:cs="Calibri"/>
                <w:lang w:val="id-ID"/>
              </w:rPr>
              <w:t>.</w:t>
            </w:r>
          </w:p>
        </w:tc>
      </w:tr>
      <w:tr w:rsidR="00134588" w:rsidRPr="008A3265" w14:paraId="3C7C67BA" w14:textId="77777777" w:rsidTr="00D37BAA">
        <w:tc>
          <w:tcPr>
            <w:tcW w:w="704" w:type="dxa"/>
          </w:tcPr>
          <w:p w14:paraId="2EBFDCB3" w14:textId="0708582E" w:rsidR="00134588" w:rsidRPr="008A3265" w:rsidRDefault="000F6827" w:rsidP="00826DC1">
            <w:pPr>
              <w:jc w:val="both"/>
              <w:rPr>
                <w:rFonts w:ascii="Brill" w:eastAsia="Calibri" w:hAnsi="Brill" w:cs="Calibri"/>
                <w:lang w:val="id-ID"/>
              </w:rPr>
            </w:pPr>
            <w:r w:rsidRPr="008A3265">
              <w:rPr>
                <w:rFonts w:ascii="Brill" w:eastAsia="Calibri" w:hAnsi="Brill" w:cs="Calibri"/>
                <w:lang w:val="id-ID"/>
              </w:rPr>
              <w:t>8.</w:t>
            </w:r>
          </w:p>
        </w:tc>
        <w:tc>
          <w:tcPr>
            <w:tcW w:w="3402" w:type="dxa"/>
          </w:tcPr>
          <w:p w14:paraId="1182987F" w14:textId="423590AE" w:rsidR="00134588" w:rsidRPr="008A3265" w:rsidRDefault="00134588" w:rsidP="00826DC1">
            <w:pPr>
              <w:jc w:val="both"/>
              <w:rPr>
                <w:rFonts w:ascii="Brill" w:eastAsia="Calibri" w:hAnsi="Brill" w:cs="Calibri"/>
                <w:lang w:val="id-ID"/>
              </w:rPr>
            </w:pPr>
            <w:r w:rsidRPr="008A3265">
              <w:rPr>
                <w:rFonts w:ascii="Brill" w:eastAsia="Calibri" w:hAnsi="Brill" w:cs="Calibri"/>
                <w:lang w:val="id-ID"/>
              </w:rPr>
              <w:t>Gusdurian Pontianak</w:t>
            </w:r>
          </w:p>
        </w:tc>
        <w:tc>
          <w:tcPr>
            <w:tcW w:w="4904" w:type="dxa"/>
          </w:tcPr>
          <w:p w14:paraId="5A20EEF7" w14:textId="6C7298A5" w:rsidR="00134588" w:rsidRPr="008A3265" w:rsidRDefault="00134588" w:rsidP="00826DC1">
            <w:pPr>
              <w:jc w:val="both"/>
              <w:rPr>
                <w:rFonts w:ascii="Brill" w:eastAsia="Calibri" w:hAnsi="Brill" w:cs="Calibri"/>
                <w:lang w:val="id-ID"/>
              </w:rPr>
            </w:pPr>
            <w:r w:rsidRPr="008A3265">
              <w:rPr>
                <w:rFonts w:ascii="Brill" w:eastAsia="Calibri" w:hAnsi="Brill" w:cs="Calibri"/>
                <w:lang w:val="id-ID"/>
              </w:rPr>
              <w:t>Hadir di Kota Pontianak bersama-sama komunitas lainnya melakukan pendidikan toleransi antar umat beragama setiap tahun</w:t>
            </w:r>
            <w:r w:rsidR="005565F5" w:rsidRPr="008A3265">
              <w:rPr>
                <w:rFonts w:ascii="Brill" w:eastAsia="Calibri" w:hAnsi="Brill" w:cs="Calibri"/>
                <w:lang w:val="id-ID"/>
              </w:rPr>
              <w:t>.</w:t>
            </w:r>
          </w:p>
        </w:tc>
      </w:tr>
      <w:tr w:rsidR="00134588" w:rsidRPr="008A3265" w14:paraId="03858F65" w14:textId="77777777" w:rsidTr="00D37BAA">
        <w:tc>
          <w:tcPr>
            <w:tcW w:w="704" w:type="dxa"/>
          </w:tcPr>
          <w:p w14:paraId="73E10224" w14:textId="2FA09A9D" w:rsidR="00134588" w:rsidRPr="008A3265" w:rsidRDefault="000F6827" w:rsidP="00826DC1">
            <w:pPr>
              <w:jc w:val="both"/>
              <w:rPr>
                <w:rFonts w:ascii="Brill" w:eastAsia="Calibri" w:hAnsi="Brill" w:cs="Calibri"/>
                <w:lang w:val="id-ID"/>
              </w:rPr>
            </w:pPr>
            <w:r w:rsidRPr="008A3265">
              <w:rPr>
                <w:rFonts w:ascii="Brill" w:eastAsia="Calibri" w:hAnsi="Brill" w:cs="Calibri"/>
                <w:lang w:val="id-ID"/>
              </w:rPr>
              <w:t>9.</w:t>
            </w:r>
          </w:p>
        </w:tc>
        <w:tc>
          <w:tcPr>
            <w:tcW w:w="3402" w:type="dxa"/>
          </w:tcPr>
          <w:p w14:paraId="1A1C0CB3" w14:textId="0A3B2C63" w:rsidR="00134588" w:rsidRPr="008A3265" w:rsidRDefault="00134588" w:rsidP="00826DC1">
            <w:pPr>
              <w:jc w:val="both"/>
              <w:rPr>
                <w:rFonts w:ascii="Brill" w:eastAsia="Calibri" w:hAnsi="Brill" w:cs="Calibri"/>
                <w:lang w:val="id-ID"/>
              </w:rPr>
            </w:pPr>
            <w:r w:rsidRPr="008A3265">
              <w:rPr>
                <w:rFonts w:ascii="Brill" w:eastAsia="Calibri" w:hAnsi="Brill" w:cs="Calibri"/>
                <w:lang w:val="id-ID"/>
              </w:rPr>
              <w:t>Lembaga Gemawan</w:t>
            </w:r>
          </w:p>
        </w:tc>
        <w:tc>
          <w:tcPr>
            <w:tcW w:w="4904" w:type="dxa"/>
          </w:tcPr>
          <w:p w14:paraId="411FFEFA" w14:textId="18255D22" w:rsidR="00134588" w:rsidRPr="008A3265" w:rsidRDefault="00134588" w:rsidP="00826DC1">
            <w:pPr>
              <w:jc w:val="both"/>
              <w:rPr>
                <w:rFonts w:ascii="Brill" w:eastAsia="Calibri" w:hAnsi="Brill" w:cs="Calibri"/>
                <w:lang w:val="id-ID"/>
              </w:rPr>
            </w:pPr>
            <w:r w:rsidRPr="008A3265">
              <w:rPr>
                <w:rFonts w:ascii="Brill" w:eastAsia="Calibri" w:hAnsi="Brill" w:cs="Calibri"/>
                <w:lang w:val="id-ID"/>
              </w:rPr>
              <w:t>Sebagai lembaga yang berperan aktif dalam pendidikan dan pemberdayaan masyarakat dalam hal pembangunan kapasitas, pemberdayaan ekonomi kerakyatan dan kesejahteraan, pendidikan antikorupsi untuk generasi muda dan masyarakat, pengelolaan sumber daya alam, dan perbaikan tata kelola pemerintahan</w:t>
            </w:r>
            <w:r w:rsidR="005565F5" w:rsidRPr="008A3265">
              <w:rPr>
                <w:rFonts w:ascii="Brill" w:eastAsia="Calibri" w:hAnsi="Brill" w:cs="Calibri"/>
                <w:lang w:val="id-ID"/>
              </w:rPr>
              <w:t>.</w:t>
            </w:r>
          </w:p>
        </w:tc>
      </w:tr>
      <w:tr w:rsidR="00E97187" w:rsidRPr="008A3265" w14:paraId="4BD7B6B9" w14:textId="77777777" w:rsidTr="00D37BAA">
        <w:tc>
          <w:tcPr>
            <w:tcW w:w="704" w:type="dxa"/>
          </w:tcPr>
          <w:p w14:paraId="7725F044" w14:textId="2E778A7C" w:rsidR="00E97187" w:rsidRPr="008A3265" w:rsidRDefault="000F6827" w:rsidP="00826DC1">
            <w:pPr>
              <w:jc w:val="both"/>
              <w:rPr>
                <w:rFonts w:ascii="Brill" w:eastAsia="Calibri" w:hAnsi="Brill" w:cs="Calibri"/>
                <w:lang w:val="id-ID"/>
              </w:rPr>
            </w:pPr>
            <w:r w:rsidRPr="008A3265">
              <w:rPr>
                <w:rFonts w:ascii="Brill" w:eastAsia="Calibri" w:hAnsi="Brill" w:cs="Calibri"/>
                <w:lang w:val="id-ID"/>
              </w:rPr>
              <w:t>10.</w:t>
            </w:r>
          </w:p>
        </w:tc>
        <w:tc>
          <w:tcPr>
            <w:tcW w:w="3402" w:type="dxa"/>
          </w:tcPr>
          <w:p w14:paraId="057F4F4D" w14:textId="2E601762" w:rsidR="00E97187" w:rsidRPr="008A3265" w:rsidRDefault="00E97187" w:rsidP="00826DC1">
            <w:pPr>
              <w:jc w:val="both"/>
              <w:rPr>
                <w:rFonts w:ascii="Brill" w:eastAsia="Calibri" w:hAnsi="Brill" w:cs="Calibri"/>
                <w:lang w:val="id-ID"/>
              </w:rPr>
            </w:pPr>
            <w:r w:rsidRPr="008A3265">
              <w:rPr>
                <w:rFonts w:ascii="Brill" w:eastAsia="Calibri" w:hAnsi="Brill" w:cs="Calibri"/>
                <w:lang w:val="id-ID"/>
              </w:rPr>
              <w:t>Lembaga Bantuan Hukum (LBH) Kalimantan Barat</w:t>
            </w:r>
          </w:p>
        </w:tc>
        <w:tc>
          <w:tcPr>
            <w:tcW w:w="4904" w:type="dxa"/>
          </w:tcPr>
          <w:p w14:paraId="0011F459" w14:textId="3E0D1D2F" w:rsidR="00E97187" w:rsidRPr="008A3265" w:rsidRDefault="00E97187" w:rsidP="00826DC1">
            <w:pPr>
              <w:jc w:val="both"/>
              <w:rPr>
                <w:rFonts w:ascii="Brill" w:eastAsia="Calibri" w:hAnsi="Brill" w:cs="Calibri"/>
                <w:lang w:val="id-ID"/>
              </w:rPr>
            </w:pPr>
            <w:r w:rsidRPr="008A3265">
              <w:rPr>
                <w:rFonts w:ascii="Brill" w:eastAsia="Calibri" w:hAnsi="Brill" w:cs="Calibri"/>
                <w:lang w:val="id-ID"/>
              </w:rPr>
              <w:t>Berfokus pada pendidikan HAM, pendidikan kritis, dan advokasi terhadap kelompok minoritas, advokasi sumber daya alam, dan advokasi kebijakan</w:t>
            </w:r>
            <w:r w:rsidR="005565F5" w:rsidRPr="008A3265">
              <w:rPr>
                <w:rFonts w:ascii="Brill" w:eastAsia="Calibri" w:hAnsi="Brill" w:cs="Calibri"/>
                <w:lang w:val="id-ID"/>
              </w:rPr>
              <w:t>.</w:t>
            </w:r>
          </w:p>
        </w:tc>
      </w:tr>
      <w:tr w:rsidR="00D66ADE" w:rsidRPr="008A3265" w14:paraId="5E0AC09D" w14:textId="77777777" w:rsidTr="00D37BAA">
        <w:tc>
          <w:tcPr>
            <w:tcW w:w="704" w:type="dxa"/>
          </w:tcPr>
          <w:p w14:paraId="5BA6DE58" w14:textId="7374A3CD" w:rsidR="00D66ADE" w:rsidRPr="008A3265" w:rsidRDefault="000F6827" w:rsidP="00826DC1">
            <w:pPr>
              <w:jc w:val="both"/>
              <w:rPr>
                <w:rFonts w:ascii="Brill" w:eastAsia="Calibri" w:hAnsi="Brill" w:cs="Calibri"/>
                <w:lang w:val="id-ID"/>
              </w:rPr>
            </w:pPr>
            <w:r w:rsidRPr="008A3265">
              <w:rPr>
                <w:rFonts w:ascii="Brill" w:eastAsia="Calibri" w:hAnsi="Brill" w:cs="Calibri"/>
                <w:lang w:val="id-ID"/>
              </w:rPr>
              <w:t>11.</w:t>
            </w:r>
          </w:p>
        </w:tc>
        <w:tc>
          <w:tcPr>
            <w:tcW w:w="3402" w:type="dxa"/>
          </w:tcPr>
          <w:p w14:paraId="2BACC22B" w14:textId="0759C181" w:rsidR="00D66ADE" w:rsidRPr="008A3265" w:rsidRDefault="00D66ADE" w:rsidP="00826DC1">
            <w:pPr>
              <w:jc w:val="both"/>
              <w:rPr>
                <w:rFonts w:ascii="Brill" w:eastAsia="Calibri" w:hAnsi="Brill" w:cs="Calibri"/>
                <w:lang w:val="id-ID"/>
              </w:rPr>
            </w:pPr>
            <w:r w:rsidRPr="008A3265">
              <w:rPr>
                <w:rFonts w:ascii="Brill" w:eastAsia="Calibri" w:hAnsi="Brill" w:cs="Calibri"/>
                <w:lang w:val="id-ID"/>
              </w:rPr>
              <w:t>Rumah Perempuan dan Anak Pontianak</w:t>
            </w:r>
          </w:p>
        </w:tc>
        <w:tc>
          <w:tcPr>
            <w:tcW w:w="4904" w:type="dxa"/>
          </w:tcPr>
          <w:p w14:paraId="1DA1AA30" w14:textId="25E42FDE" w:rsidR="00D66ADE" w:rsidRPr="008A3265" w:rsidRDefault="00D66ADE" w:rsidP="00826DC1">
            <w:pPr>
              <w:jc w:val="both"/>
              <w:rPr>
                <w:rFonts w:ascii="Brill" w:eastAsia="Calibri" w:hAnsi="Brill" w:cs="Calibri"/>
                <w:lang w:val="id-ID"/>
              </w:rPr>
            </w:pPr>
            <w:r w:rsidRPr="008A3265">
              <w:rPr>
                <w:rFonts w:ascii="Brill" w:eastAsia="Calibri" w:hAnsi="Brill" w:cs="Calibri"/>
                <w:lang w:val="id-ID"/>
              </w:rPr>
              <w:t>Berfokus pada isu perlindungan terhadap hak-hak perempuan dan anak khususnya di Kota Pontianak</w:t>
            </w:r>
            <w:r w:rsidR="005565F5" w:rsidRPr="008A3265">
              <w:rPr>
                <w:rFonts w:ascii="Brill" w:eastAsia="Calibri" w:hAnsi="Brill" w:cs="Calibri"/>
                <w:lang w:val="id-ID"/>
              </w:rPr>
              <w:t>.</w:t>
            </w:r>
          </w:p>
        </w:tc>
      </w:tr>
      <w:tr w:rsidR="000F6827" w:rsidRPr="008A3265" w14:paraId="51DCA78D" w14:textId="77777777" w:rsidTr="00D37BAA">
        <w:tc>
          <w:tcPr>
            <w:tcW w:w="704" w:type="dxa"/>
          </w:tcPr>
          <w:p w14:paraId="0BEAB7C8" w14:textId="6D5E6FFF" w:rsidR="000F6827" w:rsidRPr="008A3265" w:rsidRDefault="000F6827" w:rsidP="00826DC1">
            <w:pPr>
              <w:jc w:val="both"/>
              <w:rPr>
                <w:rFonts w:ascii="Brill" w:eastAsia="Calibri" w:hAnsi="Brill" w:cs="Calibri"/>
                <w:lang w:val="id-ID"/>
              </w:rPr>
            </w:pPr>
            <w:r w:rsidRPr="008A3265">
              <w:rPr>
                <w:rFonts w:ascii="Brill" w:eastAsia="Calibri" w:hAnsi="Brill" w:cs="Calibri"/>
                <w:lang w:val="id-ID"/>
              </w:rPr>
              <w:t>12.</w:t>
            </w:r>
          </w:p>
        </w:tc>
        <w:tc>
          <w:tcPr>
            <w:tcW w:w="3402" w:type="dxa"/>
          </w:tcPr>
          <w:p w14:paraId="46992675" w14:textId="24B46F8B" w:rsidR="000F6827" w:rsidRPr="008A3265" w:rsidRDefault="000F6827" w:rsidP="00826DC1">
            <w:pPr>
              <w:jc w:val="both"/>
              <w:rPr>
                <w:rFonts w:ascii="Brill" w:eastAsia="Calibri" w:hAnsi="Brill" w:cs="Calibri"/>
                <w:lang w:val="id-ID"/>
              </w:rPr>
            </w:pPr>
            <w:r w:rsidRPr="008A3265">
              <w:rPr>
                <w:rFonts w:ascii="Brill" w:eastAsia="Calibri" w:hAnsi="Brill" w:cs="Calibri"/>
                <w:lang w:val="id-ID"/>
              </w:rPr>
              <w:t>Lembaga Pers Mahasiswa Universitas Tanjung Pura</w:t>
            </w:r>
          </w:p>
        </w:tc>
        <w:tc>
          <w:tcPr>
            <w:tcW w:w="4904" w:type="dxa"/>
          </w:tcPr>
          <w:p w14:paraId="7C65362F" w14:textId="2B683285" w:rsidR="000F6827" w:rsidRPr="008A3265" w:rsidRDefault="000F6827" w:rsidP="00826DC1">
            <w:pPr>
              <w:jc w:val="both"/>
              <w:rPr>
                <w:rFonts w:ascii="Brill" w:eastAsia="Calibri" w:hAnsi="Brill" w:cs="Calibri"/>
                <w:lang w:val="id-ID"/>
              </w:rPr>
            </w:pPr>
            <w:r w:rsidRPr="008A3265">
              <w:rPr>
                <w:rFonts w:ascii="Brill" w:eastAsia="Calibri" w:hAnsi="Brill" w:cs="Calibri"/>
                <w:lang w:val="id-ID"/>
              </w:rPr>
              <w:t>Menjadi corong informasi dan propaganda berita serta informasi seputar pendidikan kritis dan pendidikan HAM.</w:t>
            </w:r>
          </w:p>
        </w:tc>
      </w:tr>
      <w:tr w:rsidR="000F6827" w:rsidRPr="008A3265" w14:paraId="1982B92E" w14:textId="77777777" w:rsidTr="00D37BAA">
        <w:tc>
          <w:tcPr>
            <w:tcW w:w="704" w:type="dxa"/>
          </w:tcPr>
          <w:p w14:paraId="1914BD71" w14:textId="10A76895" w:rsidR="000F6827" w:rsidRPr="008A3265" w:rsidRDefault="000F6827" w:rsidP="00826DC1">
            <w:pPr>
              <w:jc w:val="both"/>
              <w:rPr>
                <w:rFonts w:ascii="Brill" w:eastAsia="Calibri" w:hAnsi="Brill" w:cs="Calibri"/>
                <w:lang w:val="id-ID"/>
              </w:rPr>
            </w:pPr>
            <w:r w:rsidRPr="008A3265">
              <w:rPr>
                <w:rFonts w:ascii="Brill" w:eastAsia="Calibri" w:hAnsi="Brill" w:cs="Calibri"/>
                <w:lang w:val="id-ID"/>
              </w:rPr>
              <w:t>13.</w:t>
            </w:r>
          </w:p>
        </w:tc>
        <w:tc>
          <w:tcPr>
            <w:tcW w:w="3402" w:type="dxa"/>
          </w:tcPr>
          <w:p w14:paraId="4BB45D22" w14:textId="3D05627E" w:rsidR="000F6827" w:rsidRPr="008A3265" w:rsidRDefault="000F6827" w:rsidP="00826DC1">
            <w:pPr>
              <w:jc w:val="both"/>
              <w:rPr>
                <w:rFonts w:ascii="Brill" w:eastAsia="Calibri" w:hAnsi="Brill" w:cs="Calibri"/>
                <w:lang w:val="id-ID"/>
              </w:rPr>
            </w:pPr>
            <w:r w:rsidRPr="008A3265">
              <w:rPr>
                <w:rFonts w:ascii="Brill" w:eastAsia="Calibri" w:hAnsi="Brill" w:cs="Calibri"/>
                <w:lang w:val="id-ID"/>
              </w:rPr>
              <w:t>Lembaga Pers Mahasiswa Warta IAIN Pontianak</w:t>
            </w:r>
          </w:p>
        </w:tc>
        <w:tc>
          <w:tcPr>
            <w:tcW w:w="4904" w:type="dxa"/>
          </w:tcPr>
          <w:p w14:paraId="6165CD52" w14:textId="1836BFAD" w:rsidR="000F6827" w:rsidRPr="008A3265" w:rsidRDefault="000F6827" w:rsidP="00826DC1">
            <w:pPr>
              <w:jc w:val="both"/>
              <w:rPr>
                <w:rFonts w:ascii="Brill" w:eastAsia="Calibri" w:hAnsi="Brill" w:cs="Calibri"/>
                <w:lang w:val="id-ID"/>
              </w:rPr>
            </w:pPr>
            <w:r w:rsidRPr="008A3265">
              <w:rPr>
                <w:rFonts w:ascii="Brill" w:eastAsia="Calibri" w:hAnsi="Brill" w:cs="Calibri"/>
                <w:lang w:val="id-ID"/>
              </w:rPr>
              <w:t>Menjadi corong informasi dan propaganda berita serta informasi seputar pendidikan kritis dan pendidikan HAM.</w:t>
            </w:r>
          </w:p>
        </w:tc>
      </w:tr>
      <w:tr w:rsidR="000F6827" w:rsidRPr="008A3265" w14:paraId="013F27B2" w14:textId="77777777" w:rsidTr="00D37BAA">
        <w:tc>
          <w:tcPr>
            <w:tcW w:w="704" w:type="dxa"/>
          </w:tcPr>
          <w:p w14:paraId="1AB07955" w14:textId="6F29C304" w:rsidR="000F6827" w:rsidRPr="008A3265" w:rsidRDefault="000F6827" w:rsidP="00826DC1">
            <w:pPr>
              <w:jc w:val="both"/>
              <w:rPr>
                <w:rFonts w:ascii="Brill" w:eastAsia="Calibri" w:hAnsi="Brill" w:cs="Calibri"/>
                <w:lang w:val="id-ID"/>
              </w:rPr>
            </w:pPr>
            <w:r w:rsidRPr="008A3265">
              <w:rPr>
                <w:rFonts w:ascii="Brill" w:eastAsia="Calibri" w:hAnsi="Brill" w:cs="Calibri"/>
                <w:lang w:val="id-ID"/>
              </w:rPr>
              <w:t>14.</w:t>
            </w:r>
          </w:p>
        </w:tc>
        <w:tc>
          <w:tcPr>
            <w:tcW w:w="3402" w:type="dxa"/>
          </w:tcPr>
          <w:p w14:paraId="7F2B5EFB" w14:textId="577B0884" w:rsidR="000F6827" w:rsidRPr="008A3265" w:rsidRDefault="00DF433A" w:rsidP="00826DC1">
            <w:pPr>
              <w:jc w:val="both"/>
              <w:rPr>
                <w:rFonts w:ascii="Brill" w:eastAsia="Calibri" w:hAnsi="Brill" w:cs="Calibri"/>
                <w:lang w:val="id-ID"/>
              </w:rPr>
            </w:pPr>
            <w:r w:rsidRPr="008A3265">
              <w:rPr>
                <w:rFonts w:ascii="Brill" w:eastAsia="Calibri" w:hAnsi="Brill" w:cs="Calibri"/>
                <w:lang w:val="id-ID"/>
              </w:rPr>
              <w:t>Precompiling</w:t>
            </w:r>
            <w:r w:rsidR="000F6827" w:rsidRPr="008A3265">
              <w:rPr>
                <w:rFonts w:ascii="Brill" w:eastAsia="Calibri" w:hAnsi="Brill" w:cs="Calibri"/>
                <w:lang w:val="id-ID"/>
              </w:rPr>
              <w:t xml:space="preserve"> Lembaga Pemberdayaan Gerakan Rakyat (Elpagar)</w:t>
            </w:r>
          </w:p>
        </w:tc>
        <w:tc>
          <w:tcPr>
            <w:tcW w:w="4904" w:type="dxa"/>
          </w:tcPr>
          <w:p w14:paraId="3DE7D0B9" w14:textId="3B889BD8" w:rsidR="000F6827" w:rsidRPr="008A3265" w:rsidRDefault="000F6827" w:rsidP="00826DC1">
            <w:pPr>
              <w:jc w:val="both"/>
              <w:rPr>
                <w:rFonts w:ascii="Brill" w:eastAsia="Calibri" w:hAnsi="Brill" w:cs="Calibri"/>
                <w:lang w:val="id-ID"/>
              </w:rPr>
            </w:pPr>
            <w:r w:rsidRPr="008A3265">
              <w:rPr>
                <w:rFonts w:ascii="Brill" w:eastAsia="Calibri" w:hAnsi="Brill" w:cs="Calibri"/>
                <w:lang w:val="id-ID"/>
              </w:rPr>
              <w:t>Lembaga yang mendorong gerakan pemberdayaan masyarakat yang berpedoman pada hak-hak sipil dan politik serta hak ekonomi, sosial, dan budaya.</w:t>
            </w:r>
          </w:p>
        </w:tc>
      </w:tr>
      <w:tr w:rsidR="00DF433A" w:rsidRPr="008A3265" w14:paraId="04568C9E" w14:textId="77777777" w:rsidTr="00D37BAA">
        <w:tc>
          <w:tcPr>
            <w:tcW w:w="704" w:type="dxa"/>
          </w:tcPr>
          <w:p w14:paraId="493886FB" w14:textId="1CCA6802" w:rsidR="00DF433A" w:rsidRPr="008A3265" w:rsidRDefault="00DF433A" w:rsidP="00826DC1">
            <w:pPr>
              <w:jc w:val="both"/>
              <w:rPr>
                <w:rFonts w:ascii="Brill" w:eastAsia="Calibri" w:hAnsi="Brill" w:cs="Calibri"/>
                <w:lang w:val="id-ID"/>
              </w:rPr>
            </w:pPr>
            <w:r w:rsidRPr="008A3265">
              <w:rPr>
                <w:rFonts w:ascii="Brill" w:eastAsia="Calibri" w:hAnsi="Brill" w:cs="Calibri"/>
                <w:lang w:val="id-ID"/>
              </w:rPr>
              <w:t>15</w:t>
            </w:r>
          </w:p>
        </w:tc>
        <w:tc>
          <w:tcPr>
            <w:tcW w:w="3402" w:type="dxa"/>
          </w:tcPr>
          <w:p w14:paraId="189F1CC9" w14:textId="49E8E7F9" w:rsidR="00DF433A" w:rsidRPr="008A3265" w:rsidRDefault="00DF433A" w:rsidP="00826DC1">
            <w:pPr>
              <w:jc w:val="both"/>
              <w:rPr>
                <w:rFonts w:ascii="Brill" w:eastAsia="Calibri" w:hAnsi="Brill" w:cs="Calibri"/>
                <w:lang w:val="id-ID"/>
              </w:rPr>
            </w:pPr>
            <w:r w:rsidRPr="008A3265">
              <w:rPr>
                <w:rFonts w:ascii="Brill" w:eastAsia="Calibri" w:hAnsi="Brill" w:cs="Calibri"/>
                <w:lang w:val="id-ID"/>
              </w:rPr>
              <w:t>Jurnalis Perempuan Khatulistiwa (JPK)</w:t>
            </w:r>
          </w:p>
        </w:tc>
        <w:tc>
          <w:tcPr>
            <w:tcW w:w="4904" w:type="dxa"/>
          </w:tcPr>
          <w:p w14:paraId="2B1FF714" w14:textId="7438BE87" w:rsidR="00DF433A" w:rsidRPr="008A3265" w:rsidRDefault="00DF433A" w:rsidP="00826DC1">
            <w:pPr>
              <w:jc w:val="both"/>
              <w:rPr>
                <w:rFonts w:ascii="Brill" w:eastAsia="Calibri" w:hAnsi="Brill" w:cs="Calibri"/>
                <w:lang w:val="id-ID"/>
              </w:rPr>
            </w:pPr>
            <w:r w:rsidRPr="008A3265">
              <w:rPr>
                <w:rFonts w:ascii="Brill" w:eastAsia="Calibri" w:hAnsi="Brill" w:cs="Calibri"/>
                <w:lang w:val="id-ID"/>
              </w:rPr>
              <w:t xml:space="preserve">Berfokus pada pengarusutamaan informasi seputar hak-hak perempuan dan penguatan </w:t>
            </w:r>
            <w:r w:rsidRPr="008A3265">
              <w:rPr>
                <w:rFonts w:ascii="Brill" w:eastAsia="Calibri" w:hAnsi="Brill" w:cs="Calibri"/>
                <w:lang w:val="id-ID"/>
              </w:rPr>
              <w:lastRenderedPageBreak/>
              <w:t>narasi menentang kekerasan terhadap perempuan.</w:t>
            </w:r>
          </w:p>
        </w:tc>
      </w:tr>
    </w:tbl>
    <w:p w14:paraId="752DECC6" w14:textId="59BE3C1E" w:rsidR="000F6827" w:rsidRDefault="006D6984" w:rsidP="00826DC1">
      <w:pPr>
        <w:jc w:val="both"/>
        <w:rPr>
          <w:rFonts w:ascii="Brill" w:eastAsia="Calibri" w:hAnsi="Brill" w:cs="Calibri"/>
          <w:lang w:val="id-ID"/>
        </w:rPr>
      </w:pPr>
      <w:r w:rsidRPr="008A3265">
        <w:rPr>
          <w:rFonts w:ascii="Brill" w:eastAsia="Calibri" w:hAnsi="Brill" w:cs="Calibri"/>
          <w:lang w:val="id-ID"/>
        </w:rPr>
        <w:lastRenderedPageBreak/>
        <w:t xml:space="preserve"> </w:t>
      </w:r>
      <w:r w:rsidR="000F6827" w:rsidRPr="008A3265">
        <w:rPr>
          <w:rFonts w:ascii="Brill" w:eastAsia="Calibri" w:hAnsi="Brill" w:cs="Calibri"/>
          <w:lang w:val="id-ID"/>
        </w:rPr>
        <w:t>Sumber: Hasil pengamatan penulis sepanjang Tahun 2020-2022.</w:t>
      </w:r>
    </w:p>
    <w:p w14:paraId="721527A8" w14:textId="77777777" w:rsidR="008A3265" w:rsidRPr="008A3265" w:rsidRDefault="008A3265" w:rsidP="00826DC1">
      <w:pPr>
        <w:jc w:val="both"/>
        <w:rPr>
          <w:rFonts w:ascii="Brill" w:eastAsia="Calibri" w:hAnsi="Brill" w:cs="Calibri"/>
          <w:lang w:val="id-ID"/>
        </w:rPr>
      </w:pPr>
    </w:p>
    <w:p w14:paraId="336ED78E" w14:textId="39B4B312" w:rsidR="00EC505C" w:rsidRPr="008A3265" w:rsidRDefault="000F6827" w:rsidP="008A3265">
      <w:pPr>
        <w:ind w:firstLine="720"/>
        <w:jc w:val="both"/>
        <w:rPr>
          <w:rFonts w:ascii="Brill" w:eastAsia="Calibri" w:hAnsi="Brill" w:cs="Calibri"/>
          <w:lang w:val="id-ID"/>
        </w:rPr>
      </w:pPr>
      <w:r w:rsidRPr="008A3265">
        <w:rPr>
          <w:rFonts w:ascii="Brill" w:eastAsia="Calibri" w:hAnsi="Brill" w:cs="Calibri"/>
          <w:lang w:val="id-ID"/>
        </w:rPr>
        <w:t xml:space="preserve">Berbagai komunitas dan lembaga di atas kerap berkolaborasi dalam penguatan </w:t>
      </w:r>
      <w:r w:rsidR="008B5E1B" w:rsidRPr="008A3265">
        <w:rPr>
          <w:rFonts w:ascii="Brill" w:eastAsia="Calibri" w:hAnsi="Brill" w:cs="Calibri"/>
          <w:lang w:val="id-ID"/>
        </w:rPr>
        <w:t xml:space="preserve">kapasitas melalui forum diskusi maupun program-program yang berkaitan dengan pendidikan kritis dan pendidikan HAM. Salah satu isu penting yang menjadi fokus bersama adalah membangun toleransi sebagai suatu gerakan penguatan keberagaman berbasis pluralisme kewargaan. Pada Tahun 2021, muncul kesadaran bersama bahwa wacana toleransi perlu direproduksi melalui suatu kebijakan publik daerah. Institusionalisasi toleransi ke dalam produk hukum daerah adalah urgen mengingat berbagai </w:t>
      </w:r>
      <w:r w:rsidR="00A94F86" w:rsidRPr="008A3265">
        <w:rPr>
          <w:rFonts w:ascii="Brill" w:eastAsia="Calibri" w:hAnsi="Brill" w:cs="Calibri"/>
          <w:lang w:val="id-ID"/>
        </w:rPr>
        <w:t>isu kekerasan yang terjadi di Kota Pontianak kerap kali mengarah pada identitas etnis maupun indentitas agama.</w:t>
      </w:r>
      <w:r w:rsidR="008A3265">
        <w:rPr>
          <w:rFonts w:ascii="Brill" w:eastAsia="Calibri" w:hAnsi="Brill" w:cs="Calibri"/>
          <w:lang w:val="en-US"/>
        </w:rPr>
        <w:t xml:space="preserve"> </w:t>
      </w:r>
      <w:r w:rsidR="00A94F86" w:rsidRPr="008A3265">
        <w:rPr>
          <w:rFonts w:ascii="Brill" w:eastAsia="Calibri" w:hAnsi="Brill" w:cs="Calibri"/>
          <w:lang w:val="id-ID"/>
        </w:rPr>
        <w:t xml:space="preserve">Mengapa demikian? </w:t>
      </w:r>
      <w:r w:rsidR="002A4DDA" w:rsidRPr="008A3265">
        <w:rPr>
          <w:rFonts w:ascii="Brill" w:eastAsia="Calibri" w:hAnsi="Brill" w:cs="Calibri"/>
          <w:lang w:val="id-ID"/>
        </w:rPr>
        <w:t>Masyarakat sipil</w:t>
      </w:r>
      <w:r w:rsidR="00A94F86" w:rsidRPr="008A3265">
        <w:rPr>
          <w:rFonts w:ascii="Brill" w:eastAsia="Calibri" w:hAnsi="Brill" w:cs="Calibri"/>
          <w:lang w:val="id-ID"/>
        </w:rPr>
        <w:t xml:space="preserve"> menyadari bahwa residu konflik di masa lalu masih belum terurai sehingga ketegangan antar identitas etnis dan agama masih terpendam ibarat api dalam sekam. Dalam beberapa kasus misalnya, ketika terjadi tindak pidana (misalnya pembunuhan atau </w:t>
      </w:r>
      <w:r w:rsidR="00EC505C" w:rsidRPr="008A3265">
        <w:rPr>
          <w:rFonts w:ascii="Brill" w:eastAsia="Calibri" w:hAnsi="Brill" w:cs="Calibri"/>
          <w:lang w:val="id-ID"/>
        </w:rPr>
        <w:t>kelalaian yang menyebabkan kecelakaan lalu lintas), selalu saja muncul narasi yang mengarah pada isu etnis, sehingga kesalahan satu orang dapat berkembang menjadi kesalahan suatu etnis tertentu.</w:t>
      </w:r>
    </w:p>
    <w:p w14:paraId="29D805BD" w14:textId="01B1EEC5" w:rsidR="00A94F86" w:rsidRPr="008A3265" w:rsidRDefault="00EC505C" w:rsidP="00826DC1">
      <w:pPr>
        <w:ind w:firstLine="720"/>
        <w:jc w:val="both"/>
        <w:rPr>
          <w:rFonts w:ascii="Brill" w:eastAsia="Calibri" w:hAnsi="Brill" w:cs="Calibri"/>
          <w:lang w:val="id-ID"/>
        </w:rPr>
      </w:pPr>
      <w:r w:rsidRPr="008A3265">
        <w:rPr>
          <w:rFonts w:ascii="Brill" w:eastAsia="Calibri" w:hAnsi="Brill" w:cs="Calibri"/>
          <w:lang w:val="id-ID"/>
        </w:rPr>
        <w:t>Contoh kasus lainnya yang berkembang ke arah ketegangan identitas adalah aksi bela ulama pada Tahun 2017 yang bersamaan dengan Festival Gawai Dayak sehingga muncul ketegangan identitas etnik dan agama. Selanjutnya pada Tahun 2018,</w:t>
      </w:r>
      <w:r w:rsidR="008C5148">
        <w:rPr>
          <w:rFonts w:ascii="Brill" w:eastAsia="Calibri" w:hAnsi="Brill" w:cs="Calibri"/>
          <w:lang w:val="id-ID"/>
        </w:rPr>
        <w:t xml:space="preserve"> </w:t>
      </w:r>
      <w:r w:rsidRPr="008A3265">
        <w:rPr>
          <w:rFonts w:ascii="Brill" w:eastAsia="Calibri" w:hAnsi="Brill" w:cs="Calibri"/>
          <w:lang w:val="id-ID"/>
        </w:rPr>
        <w:t>peringatan Hari Tari Dunia yang bertujuan menampilkan keberagamaan etnis dan budaya justru dimanfaatkan oleh kelompok intoleran untuk menyuarakan intoleransi dan tindakan-tindakan rasisme. Pada tahun yang sama juga terjadi aksi penolakan pendirian rumah ibadah yang menyebabkan ketegangan identitas agama. Pada Tahun 2019, terjadi kerusuhan pasca pemilu akibat politik identitas dan pelintiran kebencian (</w:t>
      </w:r>
      <w:r w:rsidRPr="008A3265">
        <w:rPr>
          <w:rFonts w:ascii="Brill" w:eastAsia="Calibri" w:hAnsi="Brill" w:cs="Calibri"/>
          <w:i/>
          <w:iCs/>
          <w:lang w:val="id-ID"/>
        </w:rPr>
        <w:t>hate spin</w:t>
      </w:r>
      <w:r w:rsidRPr="008A3265">
        <w:rPr>
          <w:rFonts w:ascii="Brill" w:eastAsia="Calibri" w:hAnsi="Brill" w:cs="Calibri"/>
          <w:lang w:val="id-ID"/>
        </w:rPr>
        <w:t>) yang mengarah pada identitas etnis dan agama.</w:t>
      </w:r>
      <w:r w:rsidR="0023278C" w:rsidRPr="008A3265">
        <w:rPr>
          <w:rStyle w:val="FootnoteReference"/>
          <w:rFonts w:ascii="Brill" w:eastAsia="Calibri" w:hAnsi="Brill" w:cs="Calibri"/>
          <w:lang w:val="id-ID"/>
        </w:rPr>
        <w:footnoteReference w:id="25"/>
      </w:r>
    </w:p>
    <w:p w14:paraId="23CD0BA1" w14:textId="6FAC4BC2" w:rsidR="00EC505C" w:rsidRPr="008A3265" w:rsidRDefault="0023278C" w:rsidP="008A3265">
      <w:pPr>
        <w:ind w:firstLine="720"/>
        <w:jc w:val="both"/>
        <w:rPr>
          <w:rFonts w:ascii="Brill" w:eastAsia="Calibri" w:hAnsi="Brill" w:cs="Calibri"/>
          <w:lang w:val="id-ID"/>
        </w:rPr>
      </w:pPr>
      <w:r w:rsidRPr="008A3265">
        <w:rPr>
          <w:rFonts w:ascii="Brill" w:eastAsia="Calibri" w:hAnsi="Brill" w:cs="Calibri"/>
          <w:lang w:val="id-ID"/>
        </w:rPr>
        <w:t>Secara lebih jelas terdapat tiga landasan pokok mengenai urgensi institusionalisasi toleransi di Kota Pontianak.</w:t>
      </w:r>
      <w:r w:rsidR="00BC69B2" w:rsidRPr="008A3265">
        <w:rPr>
          <w:rStyle w:val="FootnoteReference"/>
          <w:rFonts w:ascii="Brill" w:eastAsia="Calibri" w:hAnsi="Brill" w:cs="Calibri"/>
          <w:lang w:val="id-ID"/>
        </w:rPr>
        <w:footnoteReference w:id="26"/>
      </w:r>
      <w:r w:rsidRPr="008A3265">
        <w:rPr>
          <w:rFonts w:ascii="Brill" w:eastAsia="Calibri" w:hAnsi="Brill" w:cs="Calibri"/>
          <w:lang w:val="id-ID"/>
        </w:rPr>
        <w:t xml:space="preserve"> Pertama, secara filosofis di dalam sila kedua Pancasila menyebut </w:t>
      </w:r>
      <w:r w:rsidR="008C5148">
        <w:rPr>
          <w:rFonts w:ascii="Brill" w:eastAsia="Calibri" w:hAnsi="Brill" w:cs="Calibri"/>
          <w:lang w:val="id-ID"/>
        </w:rPr>
        <w:t>“</w:t>
      </w:r>
      <w:r w:rsidRPr="008A3265">
        <w:rPr>
          <w:rFonts w:ascii="Brill" w:eastAsia="Calibri" w:hAnsi="Brill" w:cs="Calibri"/>
          <w:lang w:val="id-ID"/>
        </w:rPr>
        <w:t>Kemanusiaan yang adil dan beradab</w:t>
      </w:r>
      <w:r w:rsidR="008C5148">
        <w:rPr>
          <w:rFonts w:ascii="Brill" w:eastAsia="Calibri" w:hAnsi="Brill" w:cs="Calibri"/>
          <w:lang w:val="id-ID"/>
        </w:rPr>
        <w:t>”</w:t>
      </w:r>
      <w:r w:rsidRPr="008A3265">
        <w:rPr>
          <w:rFonts w:ascii="Brill" w:eastAsia="Calibri" w:hAnsi="Brill" w:cs="Calibri"/>
          <w:lang w:val="id-ID"/>
        </w:rPr>
        <w:t xml:space="preserve"> sebagai suatu pandangan hidup bangsa Indonesia (</w:t>
      </w:r>
      <w:r w:rsidRPr="008A3265">
        <w:rPr>
          <w:rFonts w:ascii="Brill" w:eastAsia="Calibri" w:hAnsi="Brill" w:cs="Calibri"/>
          <w:i/>
          <w:iCs/>
          <w:lang w:val="id-ID"/>
        </w:rPr>
        <w:t>weltanschauung</w:t>
      </w:r>
      <w:r w:rsidRPr="008A3265">
        <w:rPr>
          <w:rFonts w:ascii="Brill" w:eastAsia="Calibri" w:hAnsi="Brill" w:cs="Calibri"/>
          <w:lang w:val="id-ID"/>
        </w:rPr>
        <w:t xml:space="preserve">). Pandangan hidup ini berakar dalam filosofi </w:t>
      </w:r>
      <w:r w:rsidR="008C5148">
        <w:rPr>
          <w:rFonts w:ascii="Brill" w:eastAsia="Calibri" w:hAnsi="Brill" w:cs="Calibri"/>
          <w:lang w:val="id-ID"/>
        </w:rPr>
        <w:t>“</w:t>
      </w:r>
      <w:r w:rsidRPr="008A3265">
        <w:rPr>
          <w:rFonts w:ascii="Brill" w:eastAsia="Calibri" w:hAnsi="Brill" w:cs="Calibri"/>
          <w:lang w:val="id-ID"/>
        </w:rPr>
        <w:t>bhinneka tunggal ika</w:t>
      </w:r>
      <w:r w:rsidR="008C5148">
        <w:rPr>
          <w:rFonts w:ascii="Brill" w:eastAsia="Calibri" w:hAnsi="Brill" w:cs="Calibri"/>
          <w:lang w:val="id-ID"/>
        </w:rPr>
        <w:t>”</w:t>
      </w:r>
      <w:r w:rsidRPr="008A3265">
        <w:rPr>
          <w:rFonts w:ascii="Brill" w:eastAsia="Calibri" w:hAnsi="Brill" w:cs="Calibri"/>
          <w:lang w:val="id-ID"/>
        </w:rPr>
        <w:t xml:space="preserve"> sebagai semangat dasar toleransi kehidupan bermasyarakat. Toleransi akan melahirkan kesetaraan, keadilan, dan kemanusiaan yang mengikat semua perbedaan. Kedua, secara sosiologis menunjukkan bahwa Kota Pontianak didirikan dan dibangun tidak hanya oleh satu identitas tunggal melainkan identitas yang majemuk. Oleh karena itu, Kota Pontianak memiliki modalitas yang kuat pada aspek kebudayaan dan keragaman. Namun, berbagai fakta empiris menunjukkan bahwa keragaman tersebut </w:t>
      </w:r>
      <w:r w:rsidR="00BC69B2" w:rsidRPr="008A3265">
        <w:rPr>
          <w:rFonts w:ascii="Brill" w:eastAsia="Calibri" w:hAnsi="Brill" w:cs="Calibri"/>
          <w:lang w:val="id-ID"/>
        </w:rPr>
        <w:t xml:space="preserve">adalah </w:t>
      </w:r>
      <w:r w:rsidR="008C5148">
        <w:rPr>
          <w:rFonts w:ascii="Brill" w:eastAsia="Calibri" w:hAnsi="Brill" w:cs="Calibri"/>
          <w:lang w:val="id-ID"/>
        </w:rPr>
        <w:t>“</w:t>
      </w:r>
      <w:r w:rsidR="00BC69B2" w:rsidRPr="008A3265">
        <w:rPr>
          <w:rFonts w:ascii="Brill" w:eastAsia="Calibri" w:hAnsi="Brill" w:cs="Calibri"/>
          <w:lang w:val="id-ID"/>
        </w:rPr>
        <w:t>keindahan yang melenakan mata, namun juga memberikan luka</w:t>
      </w:r>
      <w:r w:rsidR="008C5148">
        <w:rPr>
          <w:rFonts w:ascii="Brill" w:eastAsia="Calibri" w:hAnsi="Brill" w:cs="Calibri"/>
          <w:lang w:val="id-ID"/>
        </w:rPr>
        <w:t>”</w:t>
      </w:r>
      <w:r w:rsidR="00BC69B2" w:rsidRPr="008A3265">
        <w:rPr>
          <w:rFonts w:ascii="Brill" w:eastAsia="Calibri" w:hAnsi="Brill" w:cs="Calibri"/>
          <w:lang w:val="id-ID"/>
        </w:rPr>
        <w:t xml:space="preserve">. Kemajemukan identitas selalu saja diproduksi dalam wacana intoleransi oleh berbagai kelompok sehingga konflik identitas kerap terjadi dan menghasilkan residu yang belum terurai. Ketiga, secara yuridis pasal 28I ayat (4) UUD NRI 1945 menegaskan tanggung jawab pemerintah dalam perlindungan, pemajuan, penegakan, dan pemenuhan HAM. Selanjutnya Pasal 28J ayat (1) UUD NRI 1945 menegaskan pentingnya setiap warga negara dalam menghormati HAM orang lain. </w:t>
      </w:r>
      <w:r w:rsidR="001964FF" w:rsidRPr="008A3265">
        <w:rPr>
          <w:rFonts w:ascii="Brill" w:eastAsia="Calibri" w:hAnsi="Brill" w:cs="Calibri"/>
          <w:lang w:val="id-ID"/>
        </w:rPr>
        <w:t xml:space="preserve">Selanjutnya dalam Undang-Undang Pemerintahan Daerah mengatur tentang tanggung jawab pemerintah daerah dalam </w:t>
      </w:r>
      <w:r w:rsidR="001964FF" w:rsidRPr="008A3265">
        <w:rPr>
          <w:rFonts w:ascii="Brill" w:eastAsia="Calibri" w:hAnsi="Brill" w:cs="Calibri"/>
          <w:lang w:val="id-ID"/>
        </w:rPr>
        <w:lastRenderedPageBreak/>
        <w:t>penyediaan akses pelayanan dasar dalam hal ketentraman, ketertiban umum, dan perlindungan masyarakat. Desentralisasi menempatkan posisi penting pemerintah daerah dal</w:t>
      </w:r>
      <w:r w:rsidR="00375F01" w:rsidRPr="008A3265">
        <w:rPr>
          <w:rFonts w:ascii="Brill" w:eastAsia="Calibri" w:hAnsi="Brill" w:cs="Calibri"/>
          <w:lang w:val="id-ID"/>
        </w:rPr>
        <w:t xml:space="preserve">am membangun kota dan kabupaten yang berlandaskan prinsip-prinsip dan norma-norma HAM. Dengan formulasi kebijakan toleransi akan menjadi pintu masuk bagi lahirnya program dan kebijakan </w:t>
      </w:r>
      <w:r w:rsidR="00DB3CE1" w:rsidRPr="008A3265">
        <w:rPr>
          <w:rFonts w:ascii="Brill" w:eastAsia="Calibri" w:hAnsi="Brill" w:cs="Calibri"/>
          <w:lang w:val="id-ID"/>
        </w:rPr>
        <w:t xml:space="preserve">berbasis pengarusutamaan HAM </w:t>
      </w:r>
      <w:r w:rsidR="00375F01" w:rsidRPr="008A3265">
        <w:rPr>
          <w:rFonts w:ascii="Brill" w:eastAsia="Calibri" w:hAnsi="Brill" w:cs="Calibri"/>
          <w:lang w:val="id-ID"/>
        </w:rPr>
        <w:t>menuju Kota Pontianak peduli HAM.</w:t>
      </w:r>
    </w:p>
    <w:p w14:paraId="19387B5D" w14:textId="26E16C6A" w:rsidR="00375F01" w:rsidRPr="008A3265" w:rsidRDefault="00375F01" w:rsidP="00826DC1">
      <w:pPr>
        <w:jc w:val="both"/>
        <w:rPr>
          <w:rFonts w:ascii="Brill" w:eastAsia="Calibri" w:hAnsi="Brill" w:cs="Calibri"/>
          <w:lang w:val="id-ID"/>
        </w:rPr>
      </w:pPr>
    </w:p>
    <w:p w14:paraId="1B783127" w14:textId="6E4971D4" w:rsidR="00375F01" w:rsidRPr="008A3265" w:rsidRDefault="00960045" w:rsidP="00826DC1">
      <w:pPr>
        <w:jc w:val="both"/>
        <w:rPr>
          <w:rFonts w:ascii="Brill" w:eastAsia="Calibri" w:hAnsi="Brill" w:cs="Calibri"/>
          <w:b/>
          <w:bCs/>
          <w:lang w:val="id-ID"/>
        </w:rPr>
      </w:pPr>
      <w:r w:rsidRPr="008A3265">
        <w:rPr>
          <w:rFonts w:ascii="Brill" w:eastAsia="Calibri" w:hAnsi="Brill" w:cs="Calibri"/>
          <w:b/>
          <w:bCs/>
          <w:lang w:val="id-ID"/>
        </w:rPr>
        <w:t>Politik Hukum</w:t>
      </w:r>
      <w:r w:rsidR="00375F01" w:rsidRPr="008A3265">
        <w:rPr>
          <w:rFonts w:ascii="Brill" w:eastAsia="Calibri" w:hAnsi="Brill" w:cs="Calibri"/>
          <w:b/>
          <w:bCs/>
          <w:lang w:val="id-ID"/>
        </w:rPr>
        <w:t xml:space="preserve"> </w:t>
      </w:r>
      <w:r w:rsidR="000716B0" w:rsidRPr="008A3265">
        <w:rPr>
          <w:rFonts w:ascii="Brill" w:eastAsia="Calibri" w:hAnsi="Brill" w:cs="Calibri"/>
          <w:b/>
          <w:bCs/>
          <w:lang w:val="id-ID"/>
        </w:rPr>
        <w:t xml:space="preserve">di balik </w:t>
      </w:r>
      <w:r w:rsidR="000716B0" w:rsidRPr="008A3265">
        <w:rPr>
          <w:rFonts w:ascii="Brill" w:eastAsia="Calibri" w:hAnsi="Brill" w:cs="Calibri"/>
          <w:b/>
          <w:bCs/>
          <w:color w:val="000000" w:themeColor="text1"/>
          <w:lang w:val="id-ID"/>
        </w:rPr>
        <w:t>Rancangan Peraturan Daerah Kota Pontianak tentang Toleransi: Aktor Negara Vs Masyarakat Sipil</w:t>
      </w:r>
    </w:p>
    <w:p w14:paraId="58C02179" w14:textId="174C1ED3" w:rsidR="00470CC8" w:rsidRPr="008A3265" w:rsidRDefault="00DB3CE1" w:rsidP="008A3265">
      <w:pPr>
        <w:jc w:val="both"/>
        <w:rPr>
          <w:rFonts w:ascii="Brill" w:eastAsia="Calibri" w:hAnsi="Brill" w:cs="Calibri"/>
          <w:lang w:val="id-ID"/>
        </w:rPr>
      </w:pPr>
      <w:r w:rsidRPr="008A3265">
        <w:rPr>
          <w:rFonts w:ascii="Brill" w:eastAsia="Calibri" w:hAnsi="Brill" w:cs="Calibri"/>
          <w:lang w:val="id-ID"/>
        </w:rPr>
        <w:t xml:space="preserve">Upaya </w:t>
      </w:r>
      <w:r w:rsidR="008A3265" w:rsidRPr="008A3265">
        <w:rPr>
          <w:rFonts w:ascii="Brill" w:eastAsia="Calibri" w:hAnsi="Brill" w:cs="Calibri"/>
          <w:lang w:val="id-ID"/>
        </w:rPr>
        <w:t>konkret</w:t>
      </w:r>
      <w:r w:rsidRPr="008A3265">
        <w:rPr>
          <w:rFonts w:ascii="Brill" w:eastAsia="Calibri" w:hAnsi="Brill" w:cs="Calibri"/>
          <w:lang w:val="id-ID"/>
        </w:rPr>
        <w:t xml:space="preserve"> yang dibangun oleh </w:t>
      </w:r>
      <w:r w:rsidR="002A4DDA" w:rsidRPr="008A3265">
        <w:rPr>
          <w:rFonts w:ascii="Brill" w:eastAsia="Calibri" w:hAnsi="Brill" w:cs="Calibri"/>
          <w:lang w:val="id-ID"/>
        </w:rPr>
        <w:t>masyarakat sipil</w:t>
      </w:r>
      <w:r w:rsidRPr="008A3265">
        <w:rPr>
          <w:rFonts w:ascii="Brill" w:eastAsia="Calibri" w:hAnsi="Brill" w:cs="Calibri"/>
          <w:lang w:val="id-ID"/>
        </w:rPr>
        <w:t xml:space="preserve"> menghasilkan usulan Ranperda Toleransi melalui DPRD Kota Pontianak. </w:t>
      </w:r>
      <w:r w:rsidR="001C6D96" w:rsidRPr="008A3265">
        <w:rPr>
          <w:rFonts w:ascii="Brill" w:eastAsia="Calibri" w:hAnsi="Brill" w:cs="Calibri"/>
          <w:lang w:val="id-ID"/>
        </w:rPr>
        <w:t>Selanjutnya, usulan tersebut telah masuk dalam Program Legislasi Daerah namun belum menjadi usulan prioritas. Pada prosesnya, penulis ikut terlibat langsung mengamati proses audiensi antara Yayasan Suar Asa Khatulistiwa bersama Jaringan Pontianak Bhinneka</w:t>
      </w:r>
      <w:r w:rsidR="00470CC8" w:rsidRPr="008A3265">
        <w:rPr>
          <w:rFonts w:ascii="Brill" w:eastAsia="Calibri" w:hAnsi="Brill" w:cs="Calibri"/>
          <w:lang w:val="id-ID"/>
        </w:rPr>
        <w:t>, akademisi,</w:t>
      </w:r>
      <w:r w:rsidR="001C6D96" w:rsidRPr="008A3265">
        <w:rPr>
          <w:rFonts w:ascii="Brill" w:eastAsia="Calibri" w:hAnsi="Brill" w:cs="Calibri"/>
          <w:lang w:val="id-ID"/>
        </w:rPr>
        <w:t xml:space="preserve"> dan LBH Kalimantan Barat </w:t>
      </w:r>
      <w:r w:rsidR="00470CC8" w:rsidRPr="008A3265">
        <w:rPr>
          <w:rFonts w:ascii="Brill" w:eastAsia="Calibri" w:hAnsi="Brill" w:cs="Calibri"/>
          <w:lang w:val="id-ID"/>
        </w:rPr>
        <w:t xml:space="preserve">(perwakilan </w:t>
      </w:r>
      <w:r w:rsidR="002A4DDA" w:rsidRPr="008A3265">
        <w:rPr>
          <w:rFonts w:ascii="Brill" w:eastAsia="Calibri" w:hAnsi="Brill" w:cs="Calibri"/>
          <w:lang w:val="id-ID"/>
        </w:rPr>
        <w:t>masyarakat sipil</w:t>
      </w:r>
      <w:r w:rsidR="00470CC8" w:rsidRPr="008A3265">
        <w:rPr>
          <w:rFonts w:ascii="Brill" w:eastAsia="Calibri" w:hAnsi="Brill" w:cs="Calibri"/>
          <w:lang w:val="id-ID"/>
        </w:rPr>
        <w:t>) dengan Badan Pembentukan Peraturan Daerah DPRD Kota Pontianak (</w:t>
      </w:r>
      <w:r w:rsidR="002A4DDA" w:rsidRPr="008A3265">
        <w:rPr>
          <w:rFonts w:ascii="Brill" w:eastAsia="Calibri" w:hAnsi="Brill" w:cs="Calibri"/>
          <w:lang w:val="id-ID"/>
        </w:rPr>
        <w:t>aktor negara</w:t>
      </w:r>
      <w:r w:rsidR="00470CC8" w:rsidRPr="008A3265">
        <w:rPr>
          <w:rFonts w:ascii="Brill" w:eastAsia="Calibri" w:hAnsi="Brill" w:cs="Calibri"/>
          <w:lang w:val="id-ID"/>
        </w:rPr>
        <w:t xml:space="preserve">) </w:t>
      </w:r>
      <w:r w:rsidR="001C6D96" w:rsidRPr="008A3265">
        <w:rPr>
          <w:rFonts w:ascii="Brill" w:eastAsia="Calibri" w:hAnsi="Brill" w:cs="Calibri"/>
          <w:lang w:val="id-ID"/>
        </w:rPr>
        <w:t xml:space="preserve">pada tanggal 10 Februari 2023 di ruang </w:t>
      </w:r>
      <w:r w:rsidR="00470CC8" w:rsidRPr="008A3265">
        <w:rPr>
          <w:rFonts w:ascii="Brill" w:eastAsia="Calibri" w:hAnsi="Brill" w:cs="Calibri"/>
          <w:lang w:val="id-ID"/>
        </w:rPr>
        <w:t>rapat Gedung DPRD Kota Pontianak</w:t>
      </w:r>
      <w:r w:rsidR="001C6D96" w:rsidRPr="008A3265">
        <w:rPr>
          <w:rFonts w:ascii="Brill" w:eastAsia="Calibri" w:hAnsi="Brill" w:cs="Calibri"/>
          <w:lang w:val="id-ID"/>
        </w:rPr>
        <w:t>.</w:t>
      </w:r>
      <w:r w:rsidR="00470CC8" w:rsidRPr="008A3265">
        <w:rPr>
          <w:rFonts w:ascii="Brill" w:eastAsia="Calibri" w:hAnsi="Brill" w:cs="Calibri"/>
          <w:lang w:val="id-ID"/>
        </w:rPr>
        <w:t xml:space="preserve"> Dari proses audiensi tersebut terdapat perdebatan paradigmati</w:t>
      </w:r>
      <w:r w:rsidR="002A4DDA" w:rsidRPr="008A3265">
        <w:rPr>
          <w:rFonts w:ascii="Brill" w:eastAsia="Calibri" w:hAnsi="Brill" w:cs="Calibri"/>
          <w:lang w:val="id-ID"/>
        </w:rPr>
        <w:t>s</w:t>
      </w:r>
      <w:r w:rsidR="00470CC8" w:rsidRPr="008A3265">
        <w:rPr>
          <w:rFonts w:ascii="Brill" w:eastAsia="Calibri" w:hAnsi="Brill" w:cs="Calibri"/>
          <w:lang w:val="id-ID"/>
        </w:rPr>
        <w:t xml:space="preserve"> antara </w:t>
      </w:r>
      <w:r w:rsidR="002A4DDA" w:rsidRPr="008A3265">
        <w:rPr>
          <w:rFonts w:ascii="Brill" w:eastAsia="Calibri" w:hAnsi="Brill" w:cs="Calibri"/>
          <w:lang w:val="id-ID"/>
        </w:rPr>
        <w:t>masyarakat sipil</w:t>
      </w:r>
      <w:r w:rsidR="00470CC8" w:rsidRPr="008A3265">
        <w:rPr>
          <w:rFonts w:ascii="Brill" w:eastAsia="Calibri" w:hAnsi="Brill" w:cs="Calibri"/>
          <w:lang w:val="id-ID"/>
        </w:rPr>
        <w:t xml:space="preserve"> dan </w:t>
      </w:r>
      <w:r w:rsidR="002A4DDA" w:rsidRPr="008A3265">
        <w:rPr>
          <w:rFonts w:ascii="Brill" w:eastAsia="Calibri" w:hAnsi="Brill" w:cs="Calibri"/>
          <w:lang w:val="id-ID"/>
        </w:rPr>
        <w:t>aktor negara</w:t>
      </w:r>
      <w:r w:rsidR="00470CC8" w:rsidRPr="008A3265">
        <w:rPr>
          <w:rFonts w:ascii="Brill" w:eastAsia="Calibri" w:hAnsi="Brill" w:cs="Calibri"/>
          <w:lang w:val="id-ID"/>
        </w:rPr>
        <w:t xml:space="preserve"> dalam memandang urgensi Ranperda Toleransi di Kota Pontianak. Beberapa poin-poin penting penulis jabarkan mulai dari pernyataan-pernyataan perwakilan </w:t>
      </w:r>
      <w:r w:rsidR="002A4DDA" w:rsidRPr="008A3265">
        <w:rPr>
          <w:rFonts w:ascii="Brill" w:eastAsia="Calibri" w:hAnsi="Brill" w:cs="Calibri"/>
          <w:lang w:val="id-ID"/>
        </w:rPr>
        <w:t>masyarakat sipil</w:t>
      </w:r>
      <w:r w:rsidR="00470CC8" w:rsidRPr="008A3265">
        <w:rPr>
          <w:rFonts w:ascii="Brill" w:eastAsia="Calibri" w:hAnsi="Brill" w:cs="Calibri"/>
          <w:lang w:val="id-ID"/>
        </w:rPr>
        <w:t xml:space="preserve"> lalu perwakilan </w:t>
      </w:r>
      <w:r w:rsidR="002A4DDA" w:rsidRPr="008A3265">
        <w:rPr>
          <w:rFonts w:ascii="Brill" w:eastAsia="Calibri" w:hAnsi="Brill" w:cs="Calibri"/>
          <w:lang w:val="id-ID"/>
        </w:rPr>
        <w:t>aktor negara</w:t>
      </w:r>
      <w:r w:rsidR="00470CC8" w:rsidRPr="008A3265">
        <w:rPr>
          <w:rFonts w:ascii="Brill" w:eastAsia="Calibri" w:hAnsi="Brill" w:cs="Calibri"/>
          <w:lang w:val="id-ID"/>
        </w:rPr>
        <w:t xml:space="preserve">. Lalu akan penulis bahas distingsi antara paradigma </w:t>
      </w:r>
      <w:r w:rsidR="002A4DDA" w:rsidRPr="008A3265">
        <w:rPr>
          <w:rFonts w:ascii="Brill" w:eastAsia="Calibri" w:hAnsi="Brill" w:cs="Calibri"/>
          <w:lang w:val="id-ID"/>
        </w:rPr>
        <w:t>masyarakat sipil</w:t>
      </w:r>
      <w:r w:rsidR="00470CC8" w:rsidRPr="008A3265">
        <w:rPr>
          <w:rFonts w:ascii="Brill" w:eastAsia="Calibri" w:hAnsi="Brill" w:cs="Calibri"/>
          <w:lang w:val="id-ID"/>
        </w:rPr>
        <w:t xml:space="preserve"> dengan paradigma </w:t>
      </w:r>
      <w:r w:rsidR="002A4DDA" w:rsidRPr="008A3265">
        <w:rPr>
          <w:rFonts w:ascii="Brill" w:eastAsia="Calibri" w:hAnsi="Brill" w:cs="Calibri"/>
          <w:lang w:val="id-ID"/>
        </w:rPr>
        <w:t>aktor negara</w:t>
      </w:r>
      <w:r w:rsidR="00470CC8" w:rsidRPr="008A3265">
        <w:rPr>
          <w:rFonts w:ascii="Brill" w:eastAsia="Calibri" w:hAnsi="Brill" w:cs="Calibri"/>
          <w:lang w:val="id-ID"/>
        </w:rPr>
        <w:t xml:space="preserve"> menggunakan analisis paradigma</w:t>
      </w:r>
      <w:r w:rsidR="00960045" w:rsidRPr="008A3265">
        <w:rPr>
          <w:rFonts w:ascii="Brill" w:eastAsia="Calibri" w:hAnsi="Brill" w:cs="Calibri"/>
          <w:lang w:val="id-ID"/>
        </w:rPr>
        <w:t xml:space="preserve"> hukum</w:t>
      </w:r>
      <w:r w:rsidR="00470CC8" w:rsidRPr="008A3265">
        <w:rPr>
          <w:rFonts w:ascii="Brill" w:eastAsia="Calibri" w:hAnsi="Brill" w:cs="Calibri"/>
          <w:lang w:val="id-ID"/>
        </w:rPr>
        <w:t xml:space="preserve"> </w:t>
      </w:r>
      <w:r w:rsidR="006C13C3" w:rsidRPr="008A3265">
        <w:rPr>
          <w:rFonts w:ascii="Brill" w:eastAsia="Calibri" w:hAnsi="Brill" w:cs="Calibri"/>
          <w:lang w:val="id-ID"/>
        </w:rPr>
        <w:t>Indarti</w:t>
      </w:r>
      <w:r w:rsidR="00470CC8" w:rsidRPr="008A3265">
        <w:rPr>
          <w:rFonts w:ascii="Brill" w:eastAsia="Calibri" w:hAnsi="Brill" w:cs="Calibri"/>
          <w:lang w:val="id-ID"/>
        </w:rPr>
        <w:t>.</w:t>
      </w:r>
    </w:p>
    <w:p w14:paraId="53D506AE" w14:textId="070923BA" w:rsidR="00470CC8" w:rsidRPr="008A3265" w:rsidRDefault="00F144A7" w:rsidP="00826DC1">
      <w:pPr>
        <w:ind w:firstLine="720"/>
        <w:jc w:val="both"/>
        <w:rPr>
          <w:rFonts w:ascii="Brill" w:eastAsia="Calibri" w:hAnsi="Brill" w:cs="Calibri"/>
          <w:lang w:val="id-ID"/>
        </w:rPr>
      </w:pPr>
      <w:r w:rsidRPr="008A3265">
        <w:rPr>
          <w:rFonts w:ascii="Brill" w:eastAsia="Calibri" w:hAnsi="Brill" w:cs="Calibri"/>
          <w:lang w:val="id-ID"/>
        </w:rPr>
        <w:t>Pandangan pertama dari</w:t>
      </w:r>
      <w:r w:rsidR="004F3970" w:rsidRPr="008A3265">
        <w:rPr>
          <w:rFonts w:ascii="Brill" w:eastAsia="Calibri" w:hAnsi="Brill" w:cs="Calibri"/>
          <w:lang w:val="id-ID"/>
        </w:rPr>
        <w:t xml:space="preserve"> </w:t>
      </w:r>
      <w:r w:rsidR="002A4DDA" w:rsidRPr="008A3265">
        <w:rPr>
          <w:rFonts w:ascii="Brill" w:eastAsia="Calibri" w:hAnsi="Brill" w:cs="Calibri"/>
          <w:lang w:val="id-ID"/>
        </w:rPr>
        <w:t>masyarakat sipil</w:t>
      </w:r>
      <w:r w:rsidR="004F3970" w:rsidRPr="008A3265">
        <w:rPr>
          <w:rFonts w:ascii="Brill" w:eastAsia="Calibri" w:hAnsi="Brill" w:cs="Calibri"/>
          <w:lang w:val="id-ID"/>
        </w:rPr>
        <w:t xml:space="preserve"> dimulai dari pandangan Lulu Musyarofah sebagai perwakilan Yayasan Suar Asa Khatulistiwa di bawah ini:</w:t>
      </w:r>
    </w:p>
    <w:p w14:paraId="33CC9F9C" w14:textId="03EB2DD2" w:rsidR="004F3970" w:rsidRPr="008A3265" w:rsidRDefault="008C5148" w:rsidP="00826DC1">
      <w:pPr>
        <w:ind w:left="709" w:firstLine="11"/>
        <w:jc w:val="both"/>
        <w:rPr>
          <w:rFonts w:ascii="Brill" w:hAnsi="Brill"/>
          <w:lang w:val="id-ID"/>
        </w:rPr>
      </w:pPr>
      <w:r>
        <w:rPr>
          <w:rFonts w:ascii="Brill" w:eastAsia="Calibri" w:hAnsi="Brill" w:cs="Calibri"/>
          <w:lang w:val="id-ID"/>
        </w:rPr>
        <w:t>“</w:t>
      </w:r>
      <w:r w:rsidR="004F3970" w:rsidRPr="008A3265">
        <w:rPr>
          <w:rFonts w:ascii="Brill" w:hAnsi="Brill"/>
          <w:i/>
          <w:iCs/>
          <w:lang w:val="id-ID"/>
        </w:rPr>
        <w:t>Ranperda ini lahir dari kesepakatan bersama OMS, pemerintah, FKUB, dan stakeholder lainnya melalui tahap Forum Group Discussion, semuanya</w:t>
      </w:r>
      <w:r w:rsidR="008A3265">
        <w:rPr>
          <w:rFonts w:ascii="Brill" w:hAnsi="Brill"/>
          <w:i/>
          <w:iCs/>
          <w:lang w:val="en-US"/>
        </w:rPr>
        <w:t xml:space="preserve"> </w:t>
      </w:r>
      <w:r w:rsidR="004F3970" w:rsidRPr="008A3265">
        <w:rPr>
          <w:rFonts w:ascii="Brill" w:hAnsi="Brill"/>
          <w:i/>
          <w:iCs/>
          <w:lang w:val="id-ID"/>
        </w:rPr>
        <w:t>bersepakat bahwa dibutuhkannya sebuah produk hukum (landasan kebijakan) untuk mengatur kehidupan bertoleransi di Kota Pontianak</w:t>
      </w:r>
      <w:r>
        <w:rPr>
          <w:rFonts w:ascii="Brill" w:hAnsi="Brill"/>
          <w:lang w:val="id-ID"/>
        </w:rPr>
        <w:t>”</w:t>
      </w:r>
      <w:r w:rsidR="004F3970" w:rsidRPr="008A3265">
        <w:rPr>
          <w:rFonts w:ascii="Brill" w:hAnsi="Brill"/>
          <w:lang w:val="id-ID"/>
        </w:rPr>
        <w:t>.</w:t>
      </w:r>
    </w:p>
    <w:p w14:paraId="72DF1668" w14:textId="77777777" w:rsidR="004F3970" w:rsidRPr="008A3265" w:rsidRDefault="004F3970" w:rsidP="00826DC1">
      <w:pPr>
        <w:ind w:left="709" w:firstLine="11"/>
        <w:jc w:val="both"/>
        <w:rPr>
          <w:rFonts w:ascii="Brill" w:hAnsi="Brill"/>
          <w:lang w:val="id-ID"/>
        </w:rPr>
      </w:pPr>
    </w:p>
    <w:p w14:paraId="5F779366" w14:textId="58184A10" w:rsidR="004F3970" w:rsidRPr="008A3265" w:rsidRDefault="004F3970" w:rsidP="00826DC1">
      <w:pPr>
        <w:ind w:firstLine="709"/>
        <w:jc w:val="both"/>
        <w:rPr>
          <w:rFonts w:ascii="Brill" w:hAnsi="Brill"/>
          <w:lang w:val="id-ID"/>
        </w:rPr>
      </w:pPr>
      <w:r w:rsidRPr="008A3265">
        <w:rPr>
          <w:rFonts w:ascii="Brill" w:hAnsi="Brill"/>
          <w:lang w:val="id-ID"/>
        </w:rPr>
        <w:t>Selanjutnya pandangan dari Ivan Wagner sebagai perwakilan LBH Kalimantan Barat yang menerangkan di bawah ini:</w:t>
      </w:r>
    </w:p>
    <w:p w14:paraId="11B98BA2" w14:textId="4F3F25CF" w:rsidR="004F3970" w:rsidRPr="008A3265" w:rsidRDefault="008C5148" w:rsidP="00826DC1">
      <w:pPr>
        <w:ind w:left="709"/>
        <w:jc w:val="both"/>
        <w:rPr>
          <w:rFonts w:ascii="Brill" w:hAnsi="Brill"/>
          <w:lang w:val="id-ID"/>
        </w:rPr>
      </w:pPr>
      <w:r>
        <w:rPr>
          <w:rFonts w:ascii="Brill" w:eastAsia="Calibri" w:hAnsi="Brill" w:cs="Calibri"/>
          <w:i/>
          <w:iCs/>
          <w:lang w:val="id-ID"/>
        </w:rPr>
        <w:t>“</w:t>
      </w:r>
      <w:r w:rsidR="004F3970" w:rsidRPr="008A3265">
        <w:rPr>
          <w:rFonts w:ascii="Brill" w:hAnsi="Brill"/>
          <w:i/>
          <w:iCs/>
          <w:lang w:val="id-ID"/>
        </w:rPr>
        <w:t>Peraturan ini dibuat untuk mengakomodir modal keberagaman yang sudah ada sejak lama di Kota Pontianak, sehingga menjadi pedoman bagi pemerintah dan masyarakat untuk menyelenggarakan toleransi di Kota Pontianak.</w:t>
      </w:r>
      <w:r>
        <w:rPr>
          <w:rFonts w:ascii="Brill" w:hAnsi="Brill"/>
          <w:i/>
          <w:iCs/>
          <w:lang w:val="id-ID"/>
        </w:rPr>
        <w:t xml:space="preserve"> </w:t>
      </w:r>
      <w:r w:rsidR="004F3970" w:rsidRPr="008A3265">
        <w:rPr>
          <w:rFonts w:ascii="Brill" w:hAnsi="Brill"/>
          <w:i/>
          <w:iCs/>
          <w:lang w:val="id-ID"/>
        </w:rPr>
        <w:t>Orientasinya adalah membangun dan</w:t>
      </w:r>
      <w:r>
        <w:rPr>
          <w:rFonts w:ascii="Brill" w:hAnsi="Brill"/>
          <w:i/>
          <w:iCs/>
          <w:lang w:val="id-ID"/>
        </w:rPr>
        <w:t xml:space="preserve"> </w:t>
      </w:r>
      <w:r w:rsidR="004F3970" w:rsidRPr="008A3265">
        <w:rPr>
          <w:rFonts w:ascii="Brill" w:hAnsi="Brill"/>
          <w:i/>
          <w:iCs/>
          <w:lang w:val="id-ID"/>
        </w:rPr>
        <w:t xml:space="preserve">menjembatani dialog-dialog keberagaman itu sendiri. </w:t>
      </w:r>
      <w:r w:rsidR="00DF433A" w:rsidRPr="008A3265">
        <w:rPr>
          <w:rFonts w:ascii="Brill" w:hAnsi="Brill"/>
          <w:i/>
          <w:iCs/>
          <w:lang w:val="id-ID"/>
        </w:rPr>
        <w:t>Ranperda</w:t>
      </w:r>
      <w:r w:rsidR="004F3970" w:rsidRPr="008A3265">
        <w:rPr>
          <w:rFonts w:ascii="Brill" w:hAnsi="Brill"/>
          <w:i/>
          <w:iCs/>
          <w:lang w:val="id-ID"/>
        </w:rPr>
        <w:t xml:space="preserve"> ini </w:t>
      </w:r>
      <w:r w:rsidR="001112C1">
        <w:rPr>
          <w:rFonts w:ascii="Brill" w:hAnsi="Brill"/>
          <w:i/>
          <w:iCs/>
          <w:lang w:val="en-US"/>
        </w:rPr>
        <w:t>memuat</w:t>
      </w:r>
      <w:r w:rsidR="004F3970" w:rsidRPr="008A3265">
        <w:rPr>
          <w:rFonts w:ascii="Brill" w:hAnsi="Brill"/>
          <w:i/>
          <w:iCs/>
          <w:lang w:val="id-ID"/>
        </w:rPr>
        <w:t xml:space="preserve"> bab tentang penanganan intoleransi </w:t>
      </w:r>
      <w:r w:rsidR="001112C1">
        <w:rPr>
          <w:rFonts w:ascii="Brill" w:hAnsi="Brill"/>
          <w:i/>
          <w:iCs/>
          <w:lang w:val="en-US"/>
        </w:rPr>
        <w:t>dan</w:t>
      </w:r>
      <w:r w:rsidR="004F3970" w:rsidRPr="008A3265">
        <w:rPr>
          <w:rFonts w:ascii="Brill" w:hAnsi="Brill"/>
          <w:i/>
          <w:iCs/>
          <w:lang w:val="id-ID"/>
        </w:rPr>
        <w:t xml:space="preserve"> perlindungan terhadap korban, apabila gesekan sosia</w:t>
      </w:r>
      <w:r w:rsidR="00DF433A" w:rsidRPr="008A3265">
        <w:rPr>
          <w:rFonts w:ascii="Brill" w:hAnsi="Brill"/>
          <w:i/>
          <w:iCs/>
          <w:lang w:val="id-ID"/>
        </w:rPr>
        <w:t>l</w:t>
      </w:r>
      <w:r w:rsidR="004F3970" w:rsidRPr="008A3265">
        <w:rPr>
          <w:rFonts w:ascii="Brill" w:hAnsi="Brill"/>
          <w:i/>
          <w:iCs/>
          <w:lang w:val="id-ID"/>
        </w:rPr>
        <w:t xml:space="preserve"> tersebut terjadi, maka Perda ini dapat menjadi </w:t>
      </w:r>
      <w:r w:rsidR="001112C1">
        <w:rPr>
          <w:rFonts w:ascii="Brill" w:hAnsi="Brill"/>
          <w:i/>
          <w:iCs/>
          <w:lang w:val="en-US"/>
        </w:rPr>
        <w:t>pedoman</w:t>
      </w:r>
      <w:r w:rsidR="004F3970" w:rsidRPr="008A3265">
        <w:rPr>
          <w:rFonts w:ascii="Brill" w:hAnsi="Brill"/>
          <w:i/>
          <w:iCs/>
          <w:lang w:val="id-ID"/>
        </w:rPr>
        <w:t xml:space="preserve"> pemerintah </w:t>
      </w:r>
      <w:r w:rsidR="001112C1">
        <w:rPr>
          <w:rFonts w:ascii="Brill" w:hAnsi="Brill"/>
          <w:i/>
          <w:iCs/>
          <w:lang w:val="en-US"/>
        </w:rPr>
        <w:t>dalam resolusi konflik</w:t>
      </w:r>
      <w:r>
        <w:rPr>
          <w:rFonts w:ascii="Brill" w:hAnsi="Brill"/>
          <w:i/>
          <w:iCs/>
          <w:lang w:val="id-ID"/>
        </w:rPr>
        <w:t>”</w:t>
      </w:r>
      <w:r w:rsidR="004F3970" w:rsidRPr="008A3265">
        <w:rPr>
          <w:rFonts w:ascii="Brill" w:hAnsi="Brill"/>
          <w:lang w:val="id-ID"/>
        </w:rPr>
        <w:t>.</w:t>
      </w:r>
    </w:p>
    <w:p w14:paraId="3B43A768" w14:textId="77777777" w:rsidR="00FB391F" w:rsidRPr="008A3265" w:rsidRDefault="00FB391F" w:rsidP="00826DC1">
      <w:pPr>
        <w:ind w:left="709"/>
        <w:jc w:val="both"/>
        <w:rPr>
          <w:rFonts w:ascii="Brill" w:hAnsi="Brill"/>
          <w:lang w:val="id-ID"/>
        </w:rPr>
      </w:pPr>
    </w:p>
    <w:p w14:paraId="7E363D9A" w14:textId="2BA3099D" w:rsidR="004F3970" w:rsidRPr="008A3265" w:rsidRDefault="004F3970" w:rsidP="00826DC1">
      <w:pPr>
        <w:ind w:firstLine="709"/>
        <w:jc w:val="both"/>
        <w:rPr>
          <w:rFonts w:ascii="Brill" w:eastAsia="Calibri" w:hAnsi="Brill" w:cs="Calibri"/>
          <w:lang w:val="id-ID"/>
        </w:rPr>
      </w:pPr>
      <w:r w:rsidRPr="008A3265">
        <w:rPr>
          <w:rFonts w:ascii="Brill" w:eastAsia="Calibri" w:hAnsi="Brill" w:cs="Calibri"/>
          <w:lang w:val="id-ID"/>
        </w:rPr>
        <w:t>Selanjutnya pandangan dari akademisi Subandri Simbolon sebagai perwakilan Jaringan Pontianak Bhinneka yang menerangkan di bawah ini:</w:t>
      </w:r>
    </w:p>
    <w:p w14:paraId="2E2C0008" w14:textId="0B66D362" w:rsidR="004F3970" w:rsidRPr="008A3265" w:rsidRDefault="008C5148" w:rsidP="00826DC1">
      <w:pPr>
        <w:ind w:left="709"/>
        <w:jc w:val="both"/>
        <w:rPr>
          <w:rFonts w:ascii="Brill" w:hAnsi="Brill"/>
          <w:i/>
          <w:iCs/>
          <w:lang w:val="id-ID"/>
        </w:rPr>
      </w:pPr>
      <w:r>
        <w:rPr>
          <w:rFonts w:ascii="Brill" w:hAnsi="Brill"/>
          <w:i/>
          <w:iCs/>
          <w:lang w:val="id-ID"/>
        </w:rPr>
        <w:t>“</w:t>
      </w:r>
      <w:r w:rsidR="004F3970" w:rsidRPr="008A3265">
        <w:rPr>
          <w:rFonts w:ascii="Brill" w:hAnsi="Brill"/>
          <w:i/>
          <w:iCs/>
          <w:lang w:val="id-ID"/>
        </w:rPr>
        <w:t>Dalam setiap kondisi konflik, setiap orang bisa menjadi korban yang dirugikan, terutama perempuan dan anak. Pontianak sudah memiliki modal sosial yang besar untuk isu keberagaman di Kota Pontianak</w:t>
      </w:r>
      <w:r>
        <w:rPr>
          <w:rFonts w:ascii="Brill" w:hAnsi="Brill"/>
          <w:i/>
          <w:iCs/>
          <w:lang w:val="id-ID"/>
        </w:rPr>
        <w:t xml:space="preserve"> </w:t>
      </w:r>
      <w:r w:rsidR="004F3970" w:rsidRPr="008A3265">
        <w:rPr>
          <w:rFonts w:ascii="Brill" w:hAnsi="Brill"/>
          <w:i/>
          <w:iCs/>
          <w:lang w:val="id-ID"/>
        </w:rPr>
        <w:t>dan perlu untuk menginstitusi</w:t>
      </w:r>
      <w:r w:rsidR="001112C1">
        <w:rPr>
          <w:rFonts w:ascii="Brill" w:hAnsi="Brill"/>
          <w:i/>
          <w:iCs/>
          <w:lang w:val="en-US"/>
        </w:rPr>
        <w:t>onalisasi</w:t>
      </w:r>
      <w:r w:rsidR="004F3970" w:rsidRPr="008A3265">
        <w:rPr>
          <w:rFonts w:ascii="Brill" w:hAnsi="Brill"/>
          <w:i/>
          <w:iCs/>
          <w:lang w:val="id-ID"/>
        </w:rPr>
        <w:t>kannya</w:t>
      </w:r>
      <w:r>
        <w:rPr>
          <w:rFonts w:ascii="Brill" w:hAnsi="Brill"/>
          <w:i/>
          <w:iCs/>
          <w:lang w:val="id-ID"/>
        </w:rPr>
        <w:t>”</w:t>
      </w:r>
      <w:r w:rsidR="004F3970" w:rsidRPr="008A3265">
        <w:rPr>
          <w:rFonts w:ascii="Brill" w:hAnsi="Brill"/>
          <w:i/>
          <w:iCs/>
          <w:lang w:val="id-ID"/>
        </w:rPr>
        <w:t>.</w:t>
      </w:r>
    </w:p>
    <w:p w14:paraId="3F5C42F2" w14:textId="77777777" w:rsidR="00FB391F" w:rsidRPr="008A3265" w:rsidRDefault="00FB391F" w:rsidP="00826DC1">
      <w:pPr>
        <w:ind w:left="709"/>
        <w:jc w:val="both"/>
        <w:rPr>
          <w:rFonts w:ascii="Brill" w:hAnsi="Brill"/>
          <w:lang w:val="id-ID"/>
        </w:rPr>
      </w:pPr>
    </w:p>
    <w:p w14:paraId="77349B96" w14:textId="76D93842" w:rsidR="004F3970" w:rsidRPr="008A3265" w:rsidRDefault="004F3970" w:rsidP="00826DC1">
      <w:pPr>
        <w:ind w:firstLine="709"/>
        <w:jc w:val="both"/>
        <w:rPr>
          <w:rFonts w:ascii="Brill" w:hAnsi="Brill"/>
          <w:lang w:val="id-ID"/>
        </w:rPr>
      </w:pPr>
      <w:r w:rsidRPr="008A3265">
        <w:rPr>
          <w:rFonts w:ascii="Brill" w:hAnsi="Brill"/>
          <w:lang w:val="id-ID"/>
        </w:rPr>
        <w:t>Selanjutnya pandangan dari Doni Chairullah sebagai perwakilan Yayasan Suar Asa Khatulistiwa yang menerangkan sebagai berikut:</w:t>
      </w:r>
    </w:p>
    <w:p w14:paraId="65160751" w14:textId="0CE16A1B" w:rsidR="004F3970" w:rsidRPr="008A3265" w:rsidRDefault="008C5148" w:rsidP="00826DC1">
      <w:pPr>
        <w:ind w:left="709"/>
        <w:jc w:val="both"/>
        <w:rPr>
          <w:rFonts w:ascii="Brill" w:hAnsi="Brill"/>
          <w:lang w:val="id-ID"/>
        </w:rPr>
      </w:pPr>
      <w:r>
        <w:rPr>
          <w:rFonts w:ascii="Brill" w:hAnsi="Brill"/>
          <w:i/>
          <w:iCs/>
          <w:lang w:val="id-ID"/>
        </w:rPr>
        <w:lastRenderedPageBreak/>
        <w:t>“</w:t>
      </w:r>
      <w:r w:rsidR="004F3970" w:rsidRPr="008A3265">
        <w:rPr>
          <w:rFonts w:ascii="Brill" w:hAnsi="Brill"/>
          <w:i/>
          <w:iCs/>
          <w:lang w:val="id-ID"/>
        </w:rPr>
        <w:t>Dalam proses pembuatan Perda ini, kami membayangkan kejadian-kejadian intoler</w:t>
      </w:r>
      <w:r w:rsidR="001112C1">
        <w:rPr>
          <w:rFonts w:ascii="Brill" w:hAnsi="Brill"/>
          <w:i/>
          <w:iCs/>
          <w:lang w:val="en-US"/>
        </w:rPr>
        <w:t>a</w:t>
      </w:r>
      <w:r w:rsidR="004F3970" w:rsidRPr="008A3265">
        <w:rPr>
          <w:rFonts w:ascii="Brill" w:hAnsi="Brill"/>
          <w:i/>
          <w:iCs/>
          <w:lang w:val="id-ID"/>
        </w:rPr>
        <w:t xml:space="preserve">nsi yang pernah terjadi di Kalimantan Barat. Setidaknya </w:t>
      </w:r>
      <w:r w:rsidR="001112C1">
        <w:rPr>
          <w:rFonts w:ascii="Brill" w:hAnsi="Brill"/>
          <w:i/>
          <w:iCs/>
          <w:lang w:val="en-US"/>
        </w:rPr>
        <w:t>dalam riset terdahulu</w:t>
      </w:r>
      <w:r w:rsidR="004F3970" w:rsidRPr="008A3265">
        <w:rPr>
          <w:rFonts w:ascii="Brill" w:hAnsi="Brill"/>
          <w:i/>
          <w:iCs/>
          <w:lang w:val="id-ID"/>
        </w:rPr>
        <w:t>, kita sudah mengalami 17 konflik SARA, dan belum ada upaya sistematis untuk mencegah ini</w:t>
      </w:r>
      <w:r>
        <w:rPr>
          <w:rFonts w:ascii="Brill" w:hAnsi="Brill"/>
          <w:i/>
          <w:iCs/>
          <w:lang w:val="id-ID"/>
        </w:rPr>
        <w:t xml:space="preserve"> </w:t>
      </w:r>
      <w:r w:rsidR="004F3970" w:rsidRPr="008A3265">
        <w:rPr>
          <w:rFonts w:ascii="Brill" w:hAnsi="Brill"/>
          <w:i/>
          <w:iCs/>
          <w:lang w:val="id-ID"/>
        </w:rPr>
        <w:t>terulang kembali. Saya memahami kecemasan Bapak dan Ibu, namun kita harus memahami konteks hari ini.</w:t>
      </w:r>
      <w:r w:rsidR="004F3970" w:rsidRPr="008A3265">
        <w:rPr>
          <w:rFonts w:ascii="Brill" w:hAnsi="Brill"/>
          <w:lang w:val="id-ID"/>
        </w:rPr>
        <w:t xml:space="preserve"> </w:t>
      </w:r>
      <w:r w:rsidR="004F3970" w:rsidRPr="008A3265">
        <w:rPr>
          <w:rFonts w:ascii="Brill" w:hAnsi="Brill"/>
          <w:i/>
          <w:iCs/>
          <w:lang w:val="id-ID"/>
        </w:rPr>
        <w:t>Ranperda kami juga mengakomodir kebutuhan ekonomi masyarakat berbasis suku dan keberagaman. Kita bisa belajar dari kegiatan Cap Go Meh, secara implisit memberi tahu kita bahwa pagelaran kebudayaan, toleransi bisa berdampak terhadap pendapat</w:t>
      </w:r>
      <w:r w:rsidR="00DF433A" w:rsidRPr="008A3265">
        <w:rPr>
          <w:rFonts w:ascii="Brill" w:hAnsi="Brill"/>
          <w:i/>
          <w:iCs/>
          <w:lang w:val="id-ID"/>
        </w:rPr>
        <w:t>an</w:t>
      </w:r>
      <w:r w:rsidR="004F3970" w:rsidRPr="008A3265">
        <w:rPr>
          <w:rFonts w:ascii="Brill" w:hAnsi="Brill"/>
          <w:i/>
          <w:iCs/>
          <w:lang w:val="id-ID"/>
        </w:rPr>
        <w:t xml:space="preserve"> ekonomi di suatu daerah</w:t>
      </w:r>
      <w:r>
        <w:rPr>
          <w:rFonts w:ascii="Brill" w:hAnsi="Brill"/>
          <w:i/>
          <w:iCs/>
          <w:lang w:val="id-ID"/>
        </w:rPr>
        <w:t>”</w:t>
      </w:r>
      <w:r w:rsidR="004F3970" w:rsidRPr="008A3265">
        <w:rPr>
          <w:rFonts w:ascii="Brill" w:hAnsi="Brill"/>
          <w:i/>
          <w:iCs/>
          <w:lang w:val="id-ID"/>
        </w:rPr>
        <w:t>.</w:t>
      </w:r>
    </w:p>
    <w:p w14:paraId="3BB84776" w14:textId="279A3DAE" w:rsidR="000F6827" w:rsidRPr="008A3265" w:rsidRDefault="000F6827" w:rsidP="00826DC1">
      <w:pPr>
        <w:ind w:firstLine="720"/>
        <w:jc w:val="both"/>
        <w:rPr>
          <w:rFonts w:ascii="Brill" w:eastAsia="Calibri" w:hAnsi="Brill" w:cs="Calibri"/>
          <w:lang w:val="id-ID"/>
        </w:rPr>
      </w:pPr>
    </w:p>
    <w:p w14:paraId="633CFE72" w14:textId="572E4A54" w:rsidR="000F6827" w:rsidRPr="008A3265" w:rsidRDefault="004F3970" w:rsidP="00826DC1">
      <w:pPr>
        <w:ind w:firstLine="720"/>
        <w:jc w:val="both"/>
        <w:rPr>
          <w:rFonts w:ascii="Brill" w:eastAsia="Calibri" w:hAnsi="Brill" w:cs="Calibri"/>
          <w:lang w:val="id-ID"/>
        </w:rPr>
      </w:pPr>
      <w:r w:rsidRPr="008A3265">
        <w:rPr>
          <w:rFonts w:ascii="Brill" w:eastAsia="Calibri" w:hAnsi="Brill" w:cs="Calibri"/>
          <w:lang w:val="id-ID"/>
        </w:rPr>
        <w:t>Selanjutnya pandangan dari Lev</w:t>
      </w:r>
      <w:r w:rsidR="00DF433A" w:rsidRPr="008A3265">
        <w:rPr>
          <w:rFonts w:ascii="Brill" w:eastAsia="Calibri" w:hAnsi="Brill" w:cs="Calibri"/>
          <w:lang w:val="id-ID"/>
        </w:rPr>
        <w:t>i</w:t>
      </w:r>
      <w:r w:rsidRPr="008A3265">
        <w:rPr>
          <w:rFonts w:ascii="Brill" w:eastAsia="Calibri" w:hAnsi="Brill" w:cs="Calibri"/>
          <w:lang w:val="id-ID"/>
        </w:rPr>
        <w:t xml:space="preserve"> sebagai perwakilan dari </w:t>
      </w:r>
      <w:r w:rsidR="00DF433A" w:rsidRPr="008A3265">
        <w:rPr>
          <w:rFonts w:ascii="Brill" w:eastAsia="Calibri" w:hAnsi="Brill" w:cs="Calibri"/>
          <w:lang w:val="id-ID"/>
        </w:rPr>
        <w:t xml:space="preserve">Jurnalis Perempuan Khatulistiwa </w:t>
      </w:r>
      <w:r w:rsidRPr="008A3265">
        <w:rPr>
          <w:rFonts w:ascii="Brill" w:eastAsia="Calibri" w:hAnsi="Brill" w:cs="Calibri"/>
          <w:lang w:val="id-ID"/>
        </w:rPr>
        <w:t>yang menerangkan sebagai berikut:</w:t>
      </w:r>
    </w:p>
    <w:p w14:paraId="324CB5F3" w14:textId="0FD3A2D0" w:rsidR="004F3970" w:rsidRPr="008A3265" w:rsidRDefault="008C5148" w:rsidP="00826DC1">
      <w:pPr>
        <w:ind w:left="709"/>
        <w:jc w:val="both"/>
        <w:rPr>
          <w:rFonts w:ascii="Brill" w:hAnsi="Brill"/>
          <w:lang w:val="id-ID"/>
        </w:rPr>
      </w:pPr>
      <w:r>
        <w:rPr>
          <w:rFonts w:ascii="Brill" w:eastAsia="Calibri" w:hAnsi="Brill" w:cs="Calibri"/>
          <w:i/>
          <w:iCs/>
          <w:lang w:val="id-ID"/>
        </w:rPr>
        <w:t>“</w:t>
      </w:r>
      <w:r w:rsidR="004F3970" w:rsidRPr="008A3265">
        <w:rPr>
          <w:rFonts w:ascii="Brill" w:hAnsi="Brill"/>
          <w:i/>
          <w:iCs/>
          <w:lang w:val="id-ID"/>
        </w:rPr>
        <w:t>Anggota DPRD belum membaca konten keseluruhan, dan tidak memahami</w:t>
      </w:r>
      <w:r>
        <w:rPr>
          <w:rFonts w:ascii="Brill" w:hAnsi="Brill"/>
          <w:i/>
          <w:iCs/>
          <w:lang w:val="id-ID"/>
        </w:rPr>
        <w:t xml:space="preserve"> </w:t>
      </w:r>
      <w:r w:rsidR="004F3970" w:rsidRPr="008A3265">
        <w:rPr>
          <w:rFonts w:ascii="Brill" w:hAnsi="Brill"/>
          <w:i/>
          <w:iCs/>
          <w:lang w:val="id-ID"/>
        </w:rPr>
        <w:t>diksi keberagaman dan toleransi. Saya punya cerita kalau Investor dari Amerika sangat ingin menanamkan investasi kepada</w:t>
      </w:r>
      <w:r>
        <w:rPr>
          <w:rFonts w:ascii="Brill" w:hAnsi="Brill"/>
          <w:i/>
          <w:iCs/>
          <w:lang w:val="id-ID"/>
        </w:rPr>
        <w:t xml:space="preserve"> </w:t>
      </w:r>
      <w:r w:rsidR="004F3970" w:rsidRPr="008A3265">
        <w:rPr>
          <w:rFonts w:ascii="Brill" w:hAnsi="Brill"/>
          <w:i/>
          <w:iCs/>
          <w:lang w:val="id-ID"/>
        </w:rPr>
        <w:t>kota yang aman dan toleran. Mungkin kita</w:t>
      </w:r>
      <w:r>
        <w:rPr>
          <w:rFonts w:ascii="Brill" w:hAnsi="Brill"/>
          <w:i/>
          <w:iCs/>
          <w:lang w:val="id-ID"/>
        </w:rPr>
        <w:t xml:space="preserve"> </w:t>
      </w:r>
      <w:r w:rsidR="004F3970" w:rsidRPr="008A3265">
        <w:rPr>
          <w:rFonts w:ascii="Brill" w:hAnsi="Brill"/>
          <w:i/>
          <w:iCs/>
          <w:lang w:val="id-ID"/>
        </w:rPr>
        <w:t>bisa membuka diri untuk melihat pandangan-pandangan terbuka, hal ini untuk menghindari pencitraan-pencitraan yang selama ini kita banggakan, seperti Pontianak aman, Pontianak Damai, dan lain-lain. Kita harus memahami sekam-sekam apa yang harus kita pahami bersama, sehingga masalah intoleransi selama ini bisa diredam</w:t>
      </w:r>
      <w:r>
        <w:rPr>
          <w:rFonts w:ascii="Brill" w:hAnsi="Brill"/>
          <w:i/>
          <w:iCs/>
          <w:lang w:val="id-ID"/>
        </w:rPr>
        <w:t>”</w:t>
      </w:r>
      <w:r w:rsidR="004F3970" w:rsidRPr="008A3265">
        <w:rPr>
          <w:rFonts w:ascii="Brill" w:hAnsi="Brill"/>
          <w:i/>
          <w:iCs/>
          <w:lang w:val="id-ID"/>
        </w:rPr>
        <w:t>.</w:t>
      </w:r>
    </w:p>
    <w:p w14:paraId="26E57F7F" w14:textId="4D58F76A" w:rsidR="00DF433A" w:rsidRPr="008A3265" w:rsidRDefault="00DF433A" w:rsidP="00826DC1">
      <w:pPr>
        <w:ind w:left="709"/>
        <w:jc w:val="both"/>
        <w:rPr>
          <w:rFonts w:ascii="Brill" w:hAnsi="Brill"/>
          <w:lang w:val="id-ID"/>
        </w:rPr>
      </w:pPr>
    </w:p>
    <w:p w14:paraId="05623525" w14:textId="5EE11434" w:rsidR="00F144A7" w:rsidRPr="008A3265" w:rsidRDefault="00DF433A" w:rsidP="00826DC1">
      <w:pPr>
        <w:ind w:firstLine="709"/>
        <w:jc w:val="both"/>
        <w:rPr>
          <w:rFonts w:ascii="Brill" w:hAnsi="Brill"/>
          <w:lang w:val="id-ID"/>
        </w:rPr>
      </w:pPr>
      <w:r w:rsidRPr="008A3265">
        <w:rPr>
          <w:rFonts w:ascii="Brill" w:hAnsi="Brill"/>
          <w:lang w:val="id-ID"/>
        </w:rPr>
        <w:t xml:space="preserve">Dari pandangan-pandangan </w:t>
      </w:r>
      <w:r w:rsidR="002A4DDA" w:rsidRPr="008A3265">
        <w:rPr>
          <w:rFonts w:ascii="Brill" w:hAnsi="Brill"/>
          <w:lang w:val="id-ID"/>
        </w:rPr>
        <w:t>masyarakat sipil</w:t>
      </w:r>
      <w:r w:rsidRPr="008A3265">
        <w:rPr>
          <w:rFonts w:ascii="Brill" w:hAnsi="Brill"/>
          <w:lang w:val="id-ID"/>
        </w:rPr>
        <w:t xml:space="preserve"> di atas, terlihat bahwa politik hukum yang dibangun dalam kerangka kebijakan Ranperda Toleransi adalah prinsip-prinsip dan nilai-nilai HAM. Pencegahan dan pemutusan keberulangan konflik perlu digagas lebih konkrit ke dalam Ranperda Toleransi sebagai pintu masuk </w:t>
      </w:r>
      <w:r w:rsidR="00F144A7" w:rsidRPr="008A3265">
        <w:rPr>
          <w:rFonts w:ascii="Brill" w:hAnsi="Brill"/>
          <w:lang w:val="id-ID"/>
        </w:rPr>
        <w:t xml:space="preserve">atau pedoman awal bagi pembentukan kota Pontianak peduli HAM. </w:t>
      </w:r>
    </w:p>
    <w:p w14:paraId="6636D43A" w14:textId="6613A39C" w:rsidR="004F3970" w:rsidRPr="008A3265" w:rsidRDefault="00F144A7" w:rsidP="00826DC1">
      <w:pPr>
        <w:ind w:firstLine="709"/>
        <w:jc w:val="both"/>
        <w:rPr>
          <w:rFonts w:ascii="Brill" w:eastAsia="Calibri" w:hAnsi="Brill" w:cs="Calibri"/>
          <w:lang w:val="id-ID"/>
        </w:rPr>
      </w:pPr>
      <w:r w:rsidRPr="008A3265">
        <w:rPr>
          <w:rFonts w:ascii="Brill" w:hAnsi="Brill"/>
          <w:lang w:val="id-ID"/>
        </w:rPr>
        <w:t xml:space="preserve">Mengenai hal ini, pandangan-pandangan </w:t>
      </w:r>
      <w:r w:rsidR="002A4DDA" w:rsidRPr="008A3265">
        <w:rPr>
          <w:rFonts w:ascii="Brill" w:hAnsi="Brill"/>
          <w:lang w:val="id-ID"/>
        </w:rPr>
        <w:t>aktor negara</w:t>
      </w:r>
      <w:r w:rsidRPr="008A3265">
        <w:rPr>
          <w:rFonts w:ascii="Brill" w:hAnsi="Brill"/>
          <w:lang w:val="id-ID"/>
        </w:rPr>
        <w:t xml:space="preserve"> perlu dijabarkan, terutama pemahamannya terhadap prinsip-prinsip dan nilai-nilai HAM. </w:t>
      </w:r>
      <w:r w:rsidRPr="008A3265">
        <w:rPr>
          <w:rFonts w:ascii="Brill" w:eastAsia="Calibri" w:hAnsi="Brill" w:cs="Calibri"/>
          <w:lang w:val="id-ID"/>
        </w:rPr>
        <w:t xml:space="preserve">Pandangan-pandangan </w:t>
      </w:r>
      <w:r w:rsidR="002A4DDA" w:rsidRPr="008A3265">
        <w:rPr>
          <w:rFonts w:ascii="Brill" w:eastAsia="Calibri" w:hAnsi="Brill" w:cs="Calibri"/>
          <w:lang w:val="id-ID"/>
        </w:rPr>
        <w:t>aktor negara</w:t>
      </w:r>
      <w:r w:rsidRPr="008A3265">
        <w:rPr>
          <w:rFonts w:ascii="Brill" w:eastAsia="Calibri" w:hAnsi="Brill" w:cs="Calibri"/>
          <w:lang w:val="id-ID"/>
        </w:rPr>
        <w:t xml:space="preserve"> dapat dilihat pada pernyataan-pernyataan anggota DPRD yang hadir dalam rapat audiensi tersebut. Pandangan pertama dari Bebby Nailufa yang menerangkan di bawah ini:</w:t>
      </w:r>
    </w:p>
    <w:p w14:paraId="0378A736" w14:textId="0A77C2B0" w:rsidR="00F144A7" w:rsidRPr="008A3265" w:rsidRDefault="008C5148" w:rsidP="00826DC1">
      <w:pPr>
        <w:ind w:left="709"/>
        <w:jc w:val="both"/>
        <w:rPr>
          <w:rFonts w:ascii="Brill" w:hAnsi="Brill"/>
          <w:lang w:val="id-ID"/>
        </w:rPr>
      </w:pPr>
      <w:r>
        <w:rPr>
          <w:rFonts w:ascii="Brill" w:eastAsia="Calibri" w:hAnsi="Brill" w:cs="Calibri"/>
          <w:i/>
          <w:iCs/>
          <w:lang w:val="id-ID"/>
        </w:rPr>
        <w:t>“</w:t>
      </w:r>
      <w:r w:rsidR="00F144A7" w:rsidRPr="008A3265">
        <w:rPr>
          <w:rFonts w:ascii="Brill" w:hAnsi="Brill"/>
          <w:i/>
          <w:iCs/>
          <w:lang w:val="id-ID"/>
        </w:rPr>
        <w:t>Perda ini jangan sampai melanggar norma agama, jangan sedikit-sedikit melanggar HAM, saya tidak setuju</w:t>
      </w:r>
      <w:r>
        <w:rPr>
          <w:rFonts w:ascii="Brill" w:hAnsi="Brill"/>
          <w:i/>
          <w:iCs/>
          <w:lang w:val="id-ID"/>
        </w:rPr>
        <w:t xml:space="preserve"> </w:t>
      </w:r>
      <w:r w:rsidR="00F144A7" w:rsidRPr="008A3265">
        <w:rPr>
          <w:rFonts w:ascii="Brill" w:hAnsi="Brill"/>
          <w:i/>
          <w:iCs/>
          <w:lang w:val="id-ID"/>
        </w:rPr>
        <w:t>misalnya jika kita tidak melarang</w:t>
      </w:r>
      <w:r>
        <w:rPr>
          <w:rFonts w:ascii="Brill" w:hAnsi="Brill"/>
          <w:i/>
          <w:iCs/>
          <w:lang w:val="id-ID"/>
        </w:rPr>
        <w:t xml:space="preserve"> </w:t>
      </w:r>
      <w:r w:rsidR="00F144A7" w:rsidRPr="008A3265">
        <w:rPr>
          <w:rFonts w:ascii="Brill" w:hAnsi="Brill"/>
          <w:i/>
          <w:iCs/>
          <w:lang w:val="id-ID"/>
        </w:rPr>
        <w:t>orang berciuman seperti di barat, saya tidak ingin Indonesia</w:t>
      </w:r>
      <w:r>
        <w:rPr>
          <w:rFonts w:ascii="Brill" w:hAnsi="Brill"/>
          <w:i/>
          <w:iCs/>
          <w:lang w:val="id-ID"/>
        </w:rPr>
        <w:t xml:space="preserve"> </w:t>
      </w:r>
      <w:r w:rsidR="00F144A7" w:rsidRPr="008A3265">
        <w:rPr>
          <w:rFonts w:ascii="Brill" w:hAnsi="Brill"/>
          <w:i/>
          <w:iCs/>
          <w:lang w:val="id-ID"/>
        </w:rPr>
        <w:t>meninggalkan ciri khas kita.</w:t>
      </w:r>
      <w:r>
        <w:rPr>
          <w:rFonts w:ascii="Brill" w:hAnsi="Brill"/>
          <w:i/>
          <w:iCs/>
          <w:lang w:val="id-ID"/>
        </w:rPr>
        <w:t xml:space="preserve"> </w:t>
      </w:r>
      <w:r w:rsidR="00F144A7" w:rsidRPr="008A3265">
        <w:rPr>
          <w:rFonts w:ascii="Brill" w:hAnsi="Brill"/>
          <w:i/>
          <w:iCs/>
          <w:lang w:val="id-ID"/>
        </w:rPr>
        <w:t>Nanti bisa menjamur LGBT dan sebagainya, Malaysia sebagai negara yang mayoritas muslim bisa seperti itu. Kami tidak ingin menanggung dosa karena Ra</w:t>
      </w:r>
      <w:r w:rsidR="00C27D85">
        <w:rPr>
          <w:rFonts w:ascii="Brill" w:hAnsi="Brill"/>
          <w:i/>
          <w:iCs/>
          <w:lang w:val="en-US"/>
        </w:rPr>
        <w:t>n</w:t>
      </w:r>
      <w:r w:rsidR="00F144A7" w:rsidRPr="008A3265">
        <w:rPr>
          <w:rFonts w:ascii="Brill" w:hAnsi="Brill"/>
          <w:i/>
          <w:iCs/>
          <w:lang w:val="id-ID"/>
        </w:rPr>
        <w:t>perda ini. Jangan sampai kita hanya mengakomodir kepentingan globalisasi Kota HAM tapi lupa dengan lokalitas kita, lebih baik tidak perlu jadi Kota HAM jika kita meninggalkan kebudayaan kita</w:t>
      </w:r>
      <w:r>
        <w:rPr>
          <w:rFonts w:ascii="Brill" w:hAnsi="Brill"/>
          <w:i/>
          <w:iCs/>
          <w:lang w:val="id-ID"/>
        </w:rPr>
        <w:t>”</w:t>
      </w:r>
      <w:r w:rsidR="00F144A7" w:rsidRPr="008A3265">
        <w:rPr>
          <w:rFonts w:ascii="Brill" w:hAnsi="Brill"/>
          <w:i/>
          <w:iCs/>
          <w:lang w:val="id-ID"/>
        </w:rPr>
        <w:t>.</w:t>
      </w:r>
    </w:p>
    <w:p w14:paraId="4841221D" w14:textId="05C69931" w:rsidR="00F144A7" w:rsidRPr="008A3265" w:rsidRDefault="00F144A7" w:rsidP="00826DC1">
      <w:pPr>
        <w:ind w:left="709"/>
        <w:jc w:val="both"/>
        <w:rPr>
          <w:rFonts w:ascii="Brill" w:hAnsi="Brill"/>
          <w:lang w:val="id-ID"/>
        </w:rPr>
      </w:pPr>
    </w:p>
    <w:p w14:paraId="2EEF9A6F" w14:textId="5E8E11B0" w:rsidR="00F144A7" w:rsidRPr="008A3265" w:rsidRDefault="00F144A7" w:rsidP="00826DC1">
      <w:pPr>
        <w:ind w:left="709"/>
        <w:jc w:val="both"/>
        <w:rPr>
          <w:rFonts w:ascii="Brill" w:hAnsi="Brill"/>
          <w:lang w:val="id-ID"/>
        </w:rPr>
      </w:pPr>
      <w:r w:rsidRPr="008A3265">
        <w:rPr>
          <w:rFonts w:ascii="Brill" w:hAnsi="Brill"/>
          <w:lang w:val="id-ID"/>
        </w:rPr>
        <w:t xml:space="preserve">Selanjutnya pandangan dari </w:t>
      </w:r>
      <w:r w:rsidR="004B05BB" w:rsidRPr="008A3265">
        <w:rPr>
          <w:rFonts w:ascii="Brill" w:hAnsi="Brill"/>
          <w:lang w:val="id-ID"/>
        </w:rPr>
        <w:t>Mujiono di bawah ini:</w:t>
      </w:r>
    </w:p>
    <w:p w14:paraId="0A16E374" w14:textId="2A339FD4" w:rsidR="004B05BB" w:rsidRPr="00C27D85" w:rsidRDefault="008C5148" w:rsidP="00826DC1">
      <w:pPr>
        <w:ind w:left="709"/>
        <w:jc w:val="both"/>
        <w:rPr>
          <w:rFonts w:ascii="Brill" w:hAnsi="Brill"/>
          <w:i/>
          <w:iCs/>
          <w:lang w:val="en-US"/>
        </w:rPr>
      </w:pPr>
      <w:r>
        <w:rPr>
          <w:rFonts w:ascii="Brill" w:hAnsi="Brill"/>
          <w:i/>
          <w:iCs/>
          <w:lang w:val="id-ID"/>
        </w:rPr>
        <w:t>“</w:t>
      </w:r>
      <w:r w:rsidR="004B05BB" w:rsidRPr="008A3265">
        <w:rPr>
          <w:rFonts w:ascii="Brill" w:hAnsi="Brill"/>
          <w:i/>
          <w:iCs/>
          <w:lang w:val="id-ID"/>
        </w:rPr>
        <w:t>Toleransi ini harus meningkatkan ekonomi dan pendapatan daerah. Kami mengkhawatirkan Perda ini menjadi bias, takutnya hal ini akan melanggar norma agama, takut masalah LGBT, masalah homo, dan kebebasan berekspresi.</w:t>
      </w:r>
      <w:r>
        <w:rPr>
          <w:rFonts w:ascii="Brill" w:hAnsi="Brill"/>
          <w:i/>
          <w:iCs/>
          <w:lang w:val="id-ID"/>
        </w:rPr>
        <w:t xml:space="preserve"> </w:t>
      </w:r>
      <w:r w:rsidR="004B05BB" w:rsidRPr="008A3265">
        <w:rPr>
          <w:rFonts w:ascii="Brill" w:hAnsi="Brill"/>
          <w:i/>
          <w:iCs/>
          <w:lang w:val="id-ID"/>
        </w:rPr>
        <w:t>Kami minta perlu dispesifikkan maksud toleransi</w:t>
      </w:r>
      <w:r>
        <w:rPr>
          <w:rFonts w:ascii="Brill" w:hAnsi="Brill"/>
          <w:i/>
          <w:iCs/>
          <w:lang w:val="id-ID"/>
        </w:rPr>
        <w:t xml:space="preserve"> </w:t>
      </w:r>
      <w:r w:rsidR="004B05BB" w:rsidRPr="008A3265">
        <w:rPr>
          <w:rFonts w:ascii="Brill" w:hAnsi="Brill"/>
          <w:i/>
          <w:iCs/>
          <w:lang w:val="id-ID"/>
        </w:rPr>
        <w:t>yang ada di masyarakat.</w:t>
      </w:r>
      <w:r>
        <w:rPr>
          <w:rFonts w:ascii="Brill" w:hAnsi="Brill"/>
          <w:i/>
          <w:iCs/>
          <w:lang w:val="id-ID"/>
        </w:rPr>
        <w:t xml:space="preserve"> </w:t>
      </w:r>
      <w:r w:rsidR="004B05BB" w:rsidRPr="008A3265">
        <w:rPr>
          <w:rFonts w:ascii="Brill" w:hAnsi="Brill"/>
          <w:i/>
          <w:iCs/>
          <w:lang w:val="id-ID"/>
        </w:rPr>
        <w:t xml:space="preserve">Jangan hanya senang-senang. Banyak Perda yang sudah disahkan, namun, tidak dijalankan sehingga perlu turunan untuk menyelesaikan. Saya lebih cenderung dengan diksi </w:t>
      </w:r>
      <w:r>
        <w:rPr>
          <w:rFonts w:ascii="Brill" w:hAnsi="Brill"/>
          <w:i/>
          <w:iCs/>
          <w:lang w:val="id-ID"/>
        </w:rPr>
        <w:t>“</w:t>
      </w:r>
      <w:r w:rsidR="004B05BB" w:rsidRPr="008A3265">
        <w:rPr>
          <w:rFonts w:ascii="Brill" w:hAnsi="Brill"/>
          <w:i/>
          <w:iCs/>
          <w:lang w:val="id-ID"/>
        </w:rPr>
        <w:t>Kebudayaan</w:t>
      </w:r>
      <w:r>
        <w:rPr>
          <w:rFonts w:ascii="Brill" w:hAnsi="Brill"/>
          <w:i/>
          <w:iCs/>
          <w:lang w:val="id-ID"/>
        </w:rPr>
        <w:t>”</w:t>
      </w:r>
      <w:r w:rsidR="004B05BB" w:rsidRPr="008A3265">
        <w:rPr>
          <w:rFonts w:ascii="Brill" w:hAnsi="Brill"/>
          <w:i/>
          <w:iCs/>
          <w:lang w:val="id-ID"/>
        </w:rPr>
        <w:t xml:space="preserve"> agar bisa melakukan pengembangan sanggar-sanggar kebudayaan untuk meningkatkan ekonomi daerah agar akhirnya bisa </w:t>
      </w:r>
      <w:r w:rsidR="00C27D85">
        <w:rPr>
          <w:rFonts w:ascii="Brill" w:hAnsi="Brill"/>
          <w:i/>
          <w:iCs/>
          <w:lang w:val="en-US"/>
        </w:rPr>
        <w:t>mendukung</w:t>
      </w:r>
      <w:r w:rsidR="004B05BB" w:rsidRPr="008A3265">
        <w:rPr>
          <w:rFonts w:ascii="Brill" w:hAnsi="Brill"/>
          <w:i/>
          <w:iCs/>
          <w:lang w:val="id-ID"/>
        </w:rPr>
        <w:t xml:space="preserve"> Ra</w:t>
      </w:r>
      <w:r w:rsidR="00C27D85">
        <w:rPr>
          <w:rFonts w:ascii="Brill" w:hAnsi="Brill"/>
          <w:i/>
          <w:iCs/>
          <w:lang w:val="en-US"/>
        </w:rPr>
        <w:t>n</w:t>
      </w:r>
      <w:r w:rsidR="004B05BB" w:rsidRPr="008A3265">
        <w:rPr>
          <w:rFonts w:ascii="Brill" w:hAnsi="Brill"/>
          <w:i/>
          <w:iCs/>
          <w:lang w:val="id-ID"/>
        </w:rPr>
        <w:t>perda ini</w:t>
      </w:r>
      <w:r>
        <w:rPr>
          <w:rFonts w:ascii="Brill" w:hAnsi="Brill"/>
          <w:i/>
          <w:iCs/>
          <w:lang w:val="id-ID"/>
        </w:rPr>
        <w:t>”</w:t>
      </w:r>
      <w:r w:rsidR="00C27D85">
        <w:rPr>
          <w:rFonts w:ascii="Brill" w:hAnsi="Brill"/>
          <w:i/>
          <w:iCs/>
          <w:lang w:val="en-US"/>
        </w:rPr>
        <w:t>.</w:t>
      </w:r>
    </w:p>
    <w:p w14:paraId="0AF99ACF" w14:textId="24B49F37" w:rsidR="004B05BB" w:rsidRPr="008A3265" w:rsidRDefault="004B05BB" w:rsidP="00826DC1">
      <w:pPr>
        <w:ind w:left="709"/>
        <w:jc w:val="both"/>
        <w:rPr>
          <w:rFonts w:ascii="Brill" w:hAnsi="Brill"/>
          <w:i/>
          <w:iCs/>
          <w:lang w:val="id-ID"/>
        </w:rPr>
      </w:pPr>
    </w:p>
    <w:p w14:paraId="404CB44F" w14:textId="53BBF580" w:rsidR="004B05BB" w:rsidRPr="008A3265" w:rsidRDefault="004B05BB" w:rsidP="00826DC1">
      <w:pPr>
        <w:ind w:left="709"/>
        <w:jc w:val="both"/>
        <w:rPr>
          <w:rFonts w:ascii="Brill" w:hAnsi="Brill"/>
          <w:lang w:val="id-ID"/>
        </w:rPr>
      </w:pPr>
      <w:r w:rsidRPr="008A3265">
        <w:rPr>
          <w:rFonts w:ascii="Brill" w:hAnsi="Brill"/>
          <w:lang w:val="id-ID"/>
        </w:rPr>
        <w:lastRenderedPageBreak/>
        <w:t>Selanjutnya pandangan dari Ahmad Syafii di bawah ini:</w:t>
      </w:r>
    </w:p>
    <w:p w14:paraId="6CC619E5" w14:textId="19876348" w:rsidR="004B05BB" w:rsidRPr="008A3265" w:rsidRDefault="008C5148" w:rsidP="00826DC1">
      <w:pPr>
        <w:ind w:left="709"/>
        <w:jc w:val="both"/>
        <w:rPr>
          <w:rFonts w:ascii="Brill" w:hAnsi="Brill"/>
          <w:lang w:val="id-ID"/>
        </w:rPr>
      </w:pPr>
      <w:r>
        <w:rPr>
          <w:rFonts w:ascii="Brill" w:hAnsi="Brill"/>
          <w:i/>
          <w:iCs/>
          <w:lang w:val="id-ID"/>
        </w:rPr>
        <w:t>“</w:t>
      </w:r>
      <w:r w:rsidR="004B05BB" w:rsidRPr="008A3265">
        <w:rPr>
          <w:rFonts w:ascii="Brill" w:hAnsi="Brill"/>
          <w:i/>
          <w:iCs/>
          <w:lang w:val="id-ID"/>
        </w:rPr>
        <w:t>Pada umumnya toleransi telah melekat di masyarakat kita terutama di kehidupan sosial, sehingga tujuan ini butuh lebih jelas konteksnya Pontianak memang rawan konflik, kita memiliki sejarah yang panjang dan masyarakat kita sedikit sensitif,</w:t>
      </w:r>
      <w:r>
        <w:rPr>
          <w:rFonts w:ascii="Brill" w:hAnsi="Brill"/>
          <w:i/>
          <w:iCs/>
          <w:lang w:val="id-ID"/>
        </w:rPr>
        <w:t xml:space="preserve"> </w:t>
      </w:r>
      <w:r w:rsidR="004B05BB" w:rsidRPr="008A3265">
        <w:rPr>
          <w:rFonts w:ascii="Brill" w:hAnsi="Brill"/>
          <w:i/>
          <w:iCs/>
          <w:lang w:val="id-ID"/>
        </w:rPr>
        <w:t>jangan sampai kita membuat Perda ini dapat memicu hal lama terulang kembali. Seperti yang menjadi aturan untuk menjadi benih-benih konflik. Udah dari zaman dahulu hal-hal yang bersifat normatif di masyarakat rasanya sudah cukup. Toleransi itu menerima standar kita dan menerima standar orang lain, kita</w:t>
      </w:r>
      <w:r>
        <w:rPr>
          <w:rFonts w:ascii="Brill" w:hAnsi="Brill"/>
          <w:i/>
          <w:iCs/>
          <w:lang w:val="id-ID"/>
        </w:rPr>
        <w:t xml:space="preserve"> </w:t>
      </w:r>
      <w:r w:rsidR="004B05BB" w:rsidRPr="008A3265">
        <w:rPr>
          <w:rFonts w:ascii="Brill" w:hAnsi="Brill"/>
          <w:i/>
          <w:iCs/>
          <w:lang w:val="id-ID"/>
        </w:rPr>
        <w:t>harus memikirkan kesepakatan orang lain</w:t>
      </w:r>
      <w:r>
        <w:rPr>
          <w:rFonts w:ascii="Brill" w:hAnsi="Brill"/>
          <w:i/>
          <w:iCs/>
          <w:lang w:val="id-ID"/>
        </w:rPr>
        <w:t>”</w:t>
      </w:r>
      <w:r w:rsidR="004B05BB" w:rsidRPr="008A3265">
        <w:rPr>
          <w:rFonts w:ascii="Brill" w:hAnsi="Brill"/>
          <w:i/>
          <w:iCs/>
          <w:lang w:val="id-ID"/>
        </w:rPr>
        <w:t>.</w:t>
      </w:r>
    </w:p>
    <w:p w14:paraId="2D74A5C5" w14:textId="6F0851D4" w:rsidR="004B05BB" w:rsidRPr="008A3265" w:rsidRDefault="004B05BB" w:rsidP="00826DC1">
      <w:pPr>
        <w:ind w:left="709"/>
        <w:jc w:val="both"/>
        <w:rPr>
          <w:rFonts w:ascii="Brill" w:hAnsi="Brill"/>
          <w:lang w:val="id-ID"/>
        </w:rPr>
      </w:pPr>
    </w:p>
    <w:p w14:paraId="2D3814FF" w14:textId="4223F160" w:rsidR="004B05BB" w:rsidRPr="008A3265" w:rsidRDefault="004B05BB" w:rsidP="00826DC1">
      <w:pPr>
        <w:ind w:left="709"/>
        <w:jc w:val="both"/>
        <w:rPr>
          <w:rFonts w:ascii="Brill" w:hAnsi="Brill"/>
          <w:lang w:val="id-ID"/>
        </w:rPr>
      </w:pPr>
      <w:r w:rsidRPr="008A3265">
        <w:rPr>
          <w:rFonts w:ascii="Brill" w:hAnsi="Brill"/>
          <w:lang w:val="id-ID"/>
        </w:rPr>
        <w:t>Selanjutnya pandangan dari Ali di bawah ini:</w:t>
      </w:r>
    </w:p>
    <w:p w14:paraId="77EFCC09" w14:textId="493365F7" w:rsidR="004B05BB" w:rsidRPr="008A3265" w:rsidRDefault="008C5148" w:rsidP="00826DC1">
      <w:pPr>
        <w:ind w:left="709"/>
        <w:jc w:val="both"/>
        <w:rPr>
          <w:rFonts w:ascii="Brill" w:hAnsi="Brill"/>
          <w:lang w:val="id-ID"/>
        </w:rPr>
      </w:pPr>
      <w:r>
        <w:rPr>
          <w:rFonts w:ascii="Brill" w:hAnsi="Brill"/>
          <w:i/>
          <w:iCs/>
          <w:lang w:val="id-ID"/>
        </w:rPr>
        <w:t>“</w:t>
      </w:r>
      <w:r w:rsidR="004B05BB" w:rsidRPr="008A3265">
        <w:rPr>
          <w:rFonts w:ascii="Brill" w:hAnsi="Brill"/>
          <w:i/>
          <w:iCs/>
          <w:lang w:val="id-ID"/>
        </w:rPr>
        <w:t>Ada beberapa komponen yang termasuk dalam kota ramah HAM (pekerja imigran, perempuan, dan anak, penyandang disabilitas, perlindungan hak kaum minoritas) jika 4 faktor ini dimasukkan ke dalam faktor tersebut, mungkin bisa dipertimbangkan. Saya setuju dengan rekan-rekan kami sepertinya toleransi sudah sangat hidup di masyarakat Pontianak. Saya hidup di masyarakat yang beragam suku dan agama, dan rasanya baik-baik saja. Intoleransi jika terjadi konflik ke depannya, jangan sampai Perda ini menjadi sumber konflik. Kami khawatir karena</w:t>
      </w:r>
      <w:r>
        <w:rPr>
          <w:rFonts w:ascii="Brill" w:hAnsi="Brill"/>
          <w:i/>
          <w:iCs/>
          <w:lang w:val="id-ID"/>
        </w:rPr>
        <w:t xml:space="preserve"> </w:t>
      </w:r>
      <w:r w:rsidR="004B05BB" w:rsidRPr="008A3265">
        <w:rPr>
          <w:rFonts w:ascii="Brill" w:hAnsi="Brill"/>
          <w:i/>
          <w:iCs/>
          <w:lang w:val="id-ID"/>
        </w:rPr>
        <w:t>kita tidak pernah mendapatkan berita yang menyimpang tentang LGBT zaman dahulu, dulu tidak pernah masuk berita tentang LGBT, sekarang sudah masuk dan sangat banyak. Jangan memasukkan hal-hal kolaborasi untuk isu toleransi, misalnya kita terlalu bangga dengan umat yang lain sehingga</w:t>
      </w:r>
      <w:r>
        <w:rPr>
          <w:rFonts w:ascii="Brill" w:hAnsi="Brill"/>
          <w:i/>
          <w:iCs/>
          <w:lang w:val="id-ID"/>
        </w:rPr>
        <w:t xml:space="preserve"> </w:t>
      </w:r>
      <w:r w:rsidR="004B05BB" w:rsidRPr="008A3265">
        <w:rPr>
          <w:rFonts w:ascii="Brill" w:hAnsi="Brill"/>
          <w:i/>
          <w:iCs/>
          <w:lang w:val="id-ID"/>
        </w:rPr>
        <w:t>mengisi acara natal dengan shalawatan, ini bisa menjadi sumber konflik. Agama sudah hidup dari masyarakat sehingga khawatir bisa menimbulkan gesekan. Perda yang kami buat selama ini sudah sangat ramah HAM tentang pelayanan orang miskin, serta pelayanan kesehatan dan anak</w:t>
      </w:r>
      <w:r>
        <w:rPr>
          <w:rFonts w:ascii="Brill" w:hAnsi="Brill"/>
          <w:i/>
          <w:iCs/>
          <w:lang w:val="id-ID"/>
        </w:rPr>
        <w:t>”</w:t>
      </w:r>
      <w:r w:rsidR="004B05BB" w:rsidRPr="008A3265">
        <w:rPr>
          <w:rFonts w:ascii="Brill" w:hAnsi="Brill"/>
          <w:i/>
          <w:iCs/>
          <w:lang w:val="id-ID"/>
        </w:rPr>
        <w:t>.</w:t>
      </w:r>
    </w:p>
    <w:p w14:paraId="39C8C4E2" w14:textId="6635E126" w:rsidR="004B05BB" w:rsidRPr="008A3265" w:rsidRDefault="004B05BB" w:rsidP="00826DC1">
      <w:pPr>
        <w:ind w:left="709"/>
        <w:jc w:val="both"/>
        <w:rPr>
          <w:rFonts w:ascii="Brill" w:hAnsi="Brill"/>
          <w:lang w:val="id-ID"/>
        </w:rPr>
      </w:pPr>
    </w:p>
    <w:p w14:paraId="0B49777D" w14:textId="4CFDECBF" w:rsidR="004B05BB" w:rsidRPr="008A3265" w:rsidRDefault="004B05BB" w:rsidP="00826DC1">
      <w:pPr>
        <w:ind w:firstLine="709"/>
        <w:jc w:val="both"/>
        <w:rPr>
          <w:rFonts w:ascii="Brill" w:hAnsi="Brill"/>
          <w:lang w:val="id-ID"/>
        </w:rPr>
      </w:pPr>
      <w:r w:rsidRPr="008A3265">
        <w:rPr>
          <w:rFonts w:ascii="Brill" w:hAnsi="Brill"/>
          <w:lang w:val="id-ID"/>
        </w:rPr>
        <w:t xml:space="preserve">Dari empat pandangan </w:t>
      </w:r>
      <w:r w:rsidR="002A4DDA" w:rsidRPr="008A3265">
        <w:rPr>
          <w:rFonts w:ascii="Brill" w:hAnsi="Brill"/>
          <w:lang w:val="id-ID"/>
        </w:rPr>
        <w:t>aktor negara</w:t>
      </w:r>
      <w:r w:rsidRPr="008A3265">
        <w:rPr>
          <w:rFonts w:ascii="Brill" w:hAnsi="Brill"/>
          <w:lang w:val="id-ID"/>
        </w:rPr>
        <w:t xml:space="preserve"> di atas, terlihat adanya bias pers</w:t>
      </w:r>
      <w:r w:rsidR="00C27D85">
        <w:rPr>
          <w:rFonts w:ascii="Brill" w:hAnsi="Brill"/>
          <w:lang w:val="en-US"/>
        </w:rPr>
        <w:t>e</w:t>
      </w:r>
      <w:r w:rsidRPr="008A3265">
        <w:rPr>
          <w:rFonts w:ascii="Brill" w:hAnsi="Brill"/>
          <w:lang w:val="id-ID"/>
        </w:rPr>
        <w:t xml:space="preserve">psi mengenai apa yang dimaksud dengan toleransi, prinsip-prinsip dan nilai-nilai HAM, serta implikasi Kota HAM. Terlihat bahwa </w:t>
      </w:r>
      <w:r w:rsidR="00960045" w:rsidRPr="008A3265">
        <w:rPr>
          <w:rFonts w:ascii="Brill" w:hAnsi="Brill"/>
          <w:lang w:val="id-ID"/>
        </w:rPr>
        <w:t xml:space="preserve">ada kekhawatiran Ranperda Toleransi lebih mengarusutamakan HAM sebagai suatu nilai </w:t>
      </w:r>
      <w:r w:rsidR="0050179E" w:rsidRPr="008A3265">
        <w:rPr>
          <w:rFonts w:ascii="Brill" w:hAnsi="Brill"/>
          <w:lang w:val="id-ID"/>
        </w:rPr>
        <w:t>Eropasentris</w:t>
      </w:r>
      <w:r w:rsidR="00960045" w:rsidRPr="008A3265">
        <w:rPr>
          <w:rFonts w:ascii="Brill" w:hAnsi="Brill"/>
          <w:lang w:val="id-ID"/>
        </w:rPr>
        <w:t xml:space="preserve">. Dari pandangan </w:t>
      </w:r>
      <w:r w:rsidR="002A4DDA" w:rsidRPr="008A3265">
        <w:rPr>
          <w:rFonts w:ascii="Brill" w:hAnsi="Brill"/>
          <w:lang w:val="id-ID"/>
        </w:rPr>
        <w:t>aktor negara</w:t>
      </w:r>
      <w:r w:rsidR="00960045" w:rsidRPr="008A3265">
        <w:rPr>
          <w:rFonts w:ascii="Brill" w:hAnsi="Brill"/>
          <w:lang w:val="id-ID"/>
        </w:rPr>
        <w:t xml:space="preserve">, mayoritas dari mereka menyampaikan bahwa DPRD Kota Pontianak memandang pengarusutamaan HAM merupakan suatu agenda globalisasi yang dirancang barat untuk mendegradasi norma-norma agama serta mereduksi kebudayaan warga Kota Pontianak. </w:t>
      </w:r>
    </w:p>
    <w:p w14:paraId="7BE602D5" w14:textId="420798FE" w:rsidR="00960045" w:rsidRPr="008A3265" w:rsidRDefault="00960045" w:rsidP="00826DC1">
      <w:pPr>
        <w:jc w:val="both"/>
        <w:rPr>
          <w:rFonts w:ascii="Brill" w:hAnsi="Brill"/>
          <w:lang w:val="id-ID"/>
        </w:rPr>
      </w:pPr>
    </w:p>
    <w:p w14:paraId="38852C9A" w14:textId="24379F12" w:rsidR="00960045" w:rsidRPr="008A3265" w:rsidRDefault="00960045" w:rsidP="00826DC1">
      <w:pPr>
        <w:jc w:val="both"/>
        <w:rPr>
          <w:rFonts w:ascii="Brill" w:hAnsi="Brill"/>
          <w:b/>
          <w:bCs/>
          <w:lang w:val="id-ID"/>
        </w:rPr>
      </w:pPr>
      <w:r w:rsidRPr="008A3265">
        <w:rPr>
          <w:rFonts w:ascii="Brill" w:hAnsi="Brill"/>
          <w:b/>
          <w:bCs/>
          <w:lang w:val="id-ID"/>
        </w:rPr>
        <w:t>Pertarungan Paradigma Hukum</w:t>
      </w:r>
      <w:r w:rsidR="000716B0" w:rsidRPr="008A3265">
        <w:rPr>
          <w:rFonts w:ascii="Brill" w:hAnsi="Brill"/>
          <w:b/>
          <w:bCs/>
          <w:lang w:val="id-ID"/>
        </w:rPr>
        <w:t xml:space="preserve"> tentang Hak Asasi Manusia: Antara Positivisme dan Kritis</w:t>
      </w:r>
    </w:p>
    <w:p w14:paraId="0D9D01B4" w14:textId="1CC72E35" w:rsidR="00960045" w:rsidRPr="008A3265" w:rsidRDefault="002A4DDA" w:rsidP="0057487C">
      <w:pPr>
        <w:jc w:val="both"/>
        <w:rPr>
          <w:rFonts w:ascii="Brill" w:hAnsi="Brill"/>
          <w:lang w:val="id-ID"/>
        </w:rPr>
      </w:pPr>
      <w:r w:rsidRPr="008A3265">
        <w:rPr>
          <w:rFonts w:ascii="Brill" w:hAnsi="Brill"/>
          <w:lang w:val="id-ID"/>
        </w:rPr>
        <w:t>Aktor negara</w:t>
      </w:r>
      <w:r w:rsidR="00960045" w:rsidRPr="008A3265">
        <w:rPr>
          <w:rFonts w:ascii="Brill" w:hAnsi="Brill"/>
          <w:lang w:val="id-ID"/>
        </w:rPr>
        <w:t xml:space="preserve"> memandang bahwa toleransi tidak perlu diinstitusionalisasikan, melainkan harus berjalan dalam norma-norma agama dan sosial masyarakat secara alamiah. Dari sini terlihat adanya distingsi antara pandangan </w:t>
      </w:r>
      <w:r w:rsidRPr="008A3265">
        <w:rPr>
          <w:rFonts w:ascii="Brill" w:hAnsi="Brill"/>
          <w:lang w:val="id-ID"/>
        </w:rPr>
        <w:t>masyarakat sipil</w:t>
      </w:r>
      <w:r w:rsidR="00960045" w:rsidRPr="008A3265">
        <w:rPr>
          <w:rFonts w:ascii="Brill" w:hAnsi="Brill"/>
          <w:lang w:val="id-ID"/>
        </w:rPr>
        <w:t xml:space="preserve"> yang kritis dalam konteks kebijakan daerah dengan </w:t>
      </w:r>
      <w:r w:rsidRPr="008A3265">
        <w:rPr>
          <w:rFonts w:ascii="Brill" w:hAnsi="Brill"/>
          <w:lang w:val="id-ID"/>
        </w:rPr>
        <w:t>aktor negara</w:t>
      </w:r>
      <w:r w:rsidR="00960045" w:rsidRPr="008A3265">
        <w:rPr>
          <w:rFonts w:ascii="Brill" w:hAnsi="Brill"/>
          <w:lang w:val="id-ID"/>
        </w:rPr>
        <w:t xml:space="preserve"> yang bersandar pada tatanan normativitas suatu kebijakan. Oleh karena itu, model paradigma hukum </w:t>
      </w:r>
      <w:r w:rsidR="006C13C3" w:rsidRPr="008A3265">
        <w:rPr>
          <w:rFonts w:ascii="Brill" w:hAnsi="Brill"/>
          <w:lang w:val="id-ID"/>
        </w:rPr>
        <w:t>Indarti</w:t>
      </w:r>
      <w:r w:rsidR="00960045" w:rsidRPr="008A3265">
        <w:rPr>
          <w:rFonts w:ascii="Brill" w:hAnsi="Brill"/>
          <w:lang w:val="id-ID"/>
        </w:rPr>
        <w:t xml:space="preserve"> perlu diuraikan untuk menggambarkan situasi politik hukum di atas.</w:t>
      </w:r>
    </w:p>
    <w:p w14:paraId="239281EB" w14:textId="07AD596E" w:rsidR="006C13C3" w:rsidRDefault="006C13C3" w:rsidP="00826DC1">
      <w:pPr>
        <w:ind w:firstLine="709"/>
        <w:jc w:val="both"/>
        <w:rPr>
          <w:rFonts w:ascii="Brill" w:hAnsi="Brill"/>
          <w:lang w:val="id-ID"/>
        </w:rPr>
      </w:pPr>
      <w:r w:rsidRPr="008A3265">
        <w:rPr>
          <w:rFonts w:ascii="Brill" w:hAnsi="Brill"/>
          <w:lang w:val="id-ID"/>
        </w:rPr>
        <w:t xml:space="preserve">Menurut Indarti, terdapat empat paradigma yang dapat menjadi tolak ukur dalam kajian ilmu hukum dan kebijakan. Empat paradigma tersebut sesungguhnya mengambil model paradigma yang digagas oleh Guba dan Lincoln yakni paradigma positivisme, </w:t>
      </w:r>
      <w:r w:rsidRPr="008A3265">
        <w:rPr>
          <w:rFonts w:ascii="Brill" w:hAnsi="Brill"/>
          <w:lang w:val="id-ID"/>
        </w:rPr>
        <w:lastRenderedPageBreak/>
        <w:t>pospositivisme, teori kritis, dan konstruktivisme.</w:t>
      </w:r>
      <w:r w:rsidRPr="008A3265">
        <w:rPr>
          <w:rStyle w:val="FootnoteReference"/>
          <w:rFonts w:ascii="Brill" w:hAnsi="Brill"/>
          <w:lang w:val="id-ID"/>
        </w:rPr>
        <w:footnoteReference w:id="27"/>
      </w:r>
      <w:r w:rsidRPr="008A3265">
        <w:rPr>
          <w:rFonts w:ascii="Brill" w:hAnsi="Brill"/>
          <w:lang w:val="id-ID"/>
        </w:rPr>
        <w:t xml:space="preserve"> Gambaran perbedaan keempat paradigma tersebut dapat dilihat pada tabel di bawah ini.</w:t>
      </w:r>
    </w:p>
    <w:p w14:paraId="204C8317" w14:textId="77777777" w:rsidR="0057487C" w:rsidRPr="008A3265" w:rsidRDefault="0057487C" w:rsidP="00826DC1">
      <w:pPr>
        <w:ind w:firstLine="709"/>
        <w:jc w:val="both"/>
        <w:rPr>
          <w:rFonts w:ascii="Brill" w:hAnsi="Brill"/>
          <w:lang w:val="id-ID"/>
        </w:rPr>
      </w:pPr>
    </w:p>
    <w:p w14:paraId="2C8250EC" w14:textId="47E90D2F" w:rsidR="006C13C3" w:rsidRPr="008A3265" w:rsidRDefault="006C13C3" w:rsidP="00826DC1">
      <w:pPr>
        <w:ind w:firstLine="709"/>
        <w:jc w:val="center"/>
        <w:rPr>
          <w:rFonts w:ascii="Brill" w:hAnsi="Brill"/>
          <w:b/>
          <w:bCs/>
          <w:lang w:val="id-ID"/>
        </w:rPr>
      </w:pPr>
      <w:r w:rsidRPr="008A3265">
        <w:rPr>
          <w:rFonts w:ascii="Brill" w:hAnsi="Brill"/>
          <w:b/>
          <w:bCs/>
          <w:lang w:val="id-ID"/>
        </w:rPr>
        <w:t>Tabel 3. Paradigma Guba dan Lincoln</w:t>
      </w:r>
    </w:p>
    <w:tbl>
      <w:tblPr>
        <w:tblStyle w:val="TableGrid"/>
        <w:tblW w:w="0" w:type="auto"/>
        <w:tblLook w:val="04A0" w:firstRow="1" w:lastRow="0" w:firstColumn="1" w:lastColumn="0" w:noHBand="0" w:noVBand="1"/>
      </w:tblPr>
      <w:tblGrid>
        <w:gridCol w:w="704"/>
        <w:gridCol w:w="2835"/>
        <w:gridCol w:w="5471"/>
      </w:tblGrid>
      <w:tr w:rsidR="006C13C3" w:rsidRPr="008A3265" w14:paraId="3E5C0F70" w14:textId="77777777" w:rsidTr="006C13C3">
        <w:tc>
          <w:tcPr>
            <w:tcW w:w="704" w:type="dxa"/>
          </w:tcPr>
          <w:p w14:paraId="6FF32145" w14:textId="3D71990E" w:rsidR="006C13C3" w:rsidRPr="008A3265" w:rsidRDefault="006C13C3" w:rsidP="00826DC1">
            <w:pPr>
              <w:jc w:val="both"/>
              <w:rPr>
                <w:rFonts w:ascii="Brill" w:hAnsi="Brill"/>
                <w:lang w:val="id-ID"/>
              </w:rPr>
            </w:pPr>
            <w:r w:rsidRPr="008A3265">
              <w:rPr>
                <w:rFonts w:ascii="Brill" w:hAnsi="Brill"/>
                <w:lang w:val="id-ID"/>
              </w:rPr>
              <w:t>No.</w:t>
            </w:r>
          </w:p>
        </w:tc>
        <w:tc>
          <w:tcPr>
            <w:tcW w:w="2835" w:type="dxa"/>
          </w:tcPr>
          <w:p w14:paraId="5D503806" w14:textId="531A1EFF" w:rsidR="006C13C3" w:rsidRPr="008A3265" w:rsidRDefault="006C13C3" w:rsidP="00826DC1">
            <w:pPr>
              <w:jc w:val="both"/>
              <w:rPr>
                <w:rFonts w:ascii="Brill" w:hAnsi="Brill"/>
                <w:lang w:val="id-ID"/>
              </w:rPr>
            </w:pPr>
            <w:r w:rsidRPr="008A3265">
              <w:rPr>
                <w:rFonts w:ascii="Brill" w:hAnsi="Brill"/>
                <w:lang w:val="id-ID"/>
              </w:rPr>
              <w:t>Paradigma</w:t>
            </w:r>
          </w:p>
        </w:tc>
        <w:tc>
          <w:tcPr>
            <w:tcW w:w="5471" w:type="dxa"/>
          </w:tcPr>
          <w:p w14:paraId="69821492" w14:textId="14B18A7F" w:rsidR="006C13C3" w:rsidRPr="008A3265" w:rsidRDefault="006C13C3" w:rsidP="00826DC1">
            <w:pPr>
              <w:jc w:val="both"/>
              <w:rPr>
                <w:rFonts w:ascii="Brill" w:hAnsi="Brill"/>
                <w:lang w:val="id-ID"/>
              </w:rPr>
            </w:pPr>
            <w:r w:rsidRPr="008A3265">
              <w:rPr>
                <w:rFonts w:ascii="Brill" w:hAnsi="Brill"/>
                <w:lang w:val="id-ID"/>
              </w:rPr>
              <w:t>Penjelasan</w:t>
            </w:r>
          </w:p>
        </w:tc>
      </w:tr>
      <w:tr w:rsidR="006C13C3" w:rsidRPr="008A3265" w14:paraId="2A7B97C1" w14:textId="77777777" w:rsidTr="006C13C3">
        <w:tc>
          <w:tcPr>
            <w:tcW w:w="704" w:type="dxa"/>
          </w:tcPr>
          <w:p w14:paraId="6CC912D4" w14:textId="74B19653" w:rsidR="006C13C3" w:rsidRPr="008A3265" w:rsidRDefault="006C13C3" w:rsidP="00826DC1">
            <w:pPr>
              <w:jc w:val="both"/>
              <w:rPr>
                <w:rFonts w:ascii="Brill" w:hAnsi="Brill"/>
                <w:lang w:val="id-ID"/>
              </w:rPr>
            </w:pPr>
            <w:r w:rsidRPr="008A3265">
              <w:rPr>
                <w:rFonts w:ascii="Brill" w:hAnsi="Brill"/>
                <w:lang w:val="id-ID"/>
              </w:rPr>
              <w:t>1.</w:t>
            </w:r>
          </w:p>
        </w:tc>
        <w:tc>
          <w:tcPr>
            <w:tcW w:w="2835" w:type="dxa"/>
          </w:tcPr>
          <w:p w14:paraId="78E4325E" w14:textId="02C1EC28" w:rsidR="006C13C3" w:rsidRPr="008A3265" w:rsidRDefault="006C13C3" w:rsidP="00826DC1">
            <w:pPr>
              <w:jc w:val="both"/>
              <w:rPr>
                <w:rFonts w:ascii="Brill" w:hAnsi="Brill"/>
                <w:lang w:val="id-ID"/>
              </w:rPr>
            </w:pPr>
            <w:r w:rsidRPr="008A3265">
              <w:rPr>
                <w:rFonts w:ascii="Brill" w:hAnsi="Brill"/>
                <w:lang w:val="id-ID"/>
              </w:rPr>
              <w:t>Positivisme</w:t>
            </w:r>
          </w:p>
        </w:tc>
        <w:tc>
          <w:tcPr>
            <w:tcW w:w="5471" w:type="dxa"/>
          </w:tcPr>
          <w:p w14:paraId="656D3AF4" w14:textId="11A71AED" w:rsidR="006C13C3" w:rsidRPr="008A3265" w:rsidRDefault="00A40F54" w:rsidP="00826DC1">
            <w:pPr>
              <w:jc w:val="both"/>
              <w:rPr>
                <w:rFonts w:ascii="Brill" w:hAnsi="Brill"/>
                <w:lang w:val="id-ID"/>
              </w:rPr>
            </w:pPr>
            <w:r w:rsidRPr="008A3265">
              <w:rPr>
                <w:rFonts w:ascii="Brill" w:hAnsi="Brill"/>
                <w:lang w:val="id-ID"/>
              </w:rPr>
              <w:t>Positivisme merupakan paradigma yang mengacu pada realisme naif yakni memandang segala sesuatu sebagai hukum yang telah berjalan sebagai mana mestinya.</w:t>
            </w:r>
          </w:p>
        </w:tc>
      </w:tr>
      <w:tr w:rsidR="006C13C3" w:rsidRPr="008A3265" w14:paraId="3FCCA66E" w14:textId="77777777" w:rsidTr="006C13C3">
        <w:tc>
          <w:tcPr>
            <w:tcW w:w="704" w:type="dxa"/>
          </w:tcPr>
          <w:p w14:paraId="62799D47" w14:textId="5C7E8953" w:rsidR="006C13C3" w:rsidRPr="008A3265" w:rsidRDefault="006C13C3" w:rsidP="00826DC1">
            <w:pPr>
              <w:jc w:val="both"/>
              <w:rPr>
                <w:rFonts w:ascii="Brill" w:hAnsi="Brill"/>
                <w:lang w:val="id-ID"/>
              </w:rPr>
            </w:pPr>
            <w:r w:rsidRPr="008A3265">
              <w:rPr>
                <w:rFonts w:ascii="Brill" w:hAnsi="Brill"/>
                <w:lang w:val="id-ID"/>
              </w:rPr>
              <w:t>2.</w:t>
            </w:r>
          </w:p>
        </w:tc>
        <w:tc>
          <w:tcPr>
            <w:tcW w:w="2835" w:type="dxa"/>
          </w:tcPr>
          <w:p w14:paraId="6E93A8A6" w14:textId="084A8FBC" w:rsidR="006C13C3" w:rsidRPr="008A3265" w:rsidRDefault="00A40F54" w:rsidP="00826DC1">
            <w:pPr>
              <w:jc w:val="both"/>
              <w:rPr>
                <w:rFonts w:ascii="Brill" w:hAnsi="Brill"/>
                <w:lang w:val="id-ID"/>
              </w:rPr>
            </w:pPr>
            <w:r w:rsidRPr="008A3265">
              <w:rPr>
                <w:rFonts w:ascii="Brill" w:hAnsi="Brill"/>
                <w:lang w:val="id-ID"/>
              </w:rPr>
              <w:t xml:space="preserve">Pospositivisme </w:t>
            </w:r>
          </w:p>
        </w:tc>
        <w:tc>
          <w:tcPr>
            <w:tcW w:w="5471" w:type="dxa"/>
          </w:tcPr>
          <w:p w14:paraId="31B9CBD0" w14:textId="015D2D06" w:rsidR="006C13C3" w:rsidRPr="008A3265" w:rsidRDefault="00A40F54" w:rsidP="00826DC1">
            <w:pPr>
              <w:jc w:val="both"/>
              <w:rPr>
                <w:rFonts w:ascii="Brill" w:hAnsi="Brill"/>
                <w:lang w:val="id-ID"/>
              </w:rPr>
            </w:pPr>
            <w:r w:rsidRPr="008A3265">
              <w:rPr>
                <w:rFonts w:ascii="Brill" w:hAnsi="Brill"/>
                <w:lang w:val="id-ID"/>
              </w:rPr>
              <w:t>Paradigma ini mengalami perkembangan dari positivisme karena mulai mempertanyakan dengan kritis realisme naif yang selama ini diyakini namun masih dalam kredo-kredo hukum yang diyakininya.</w:t>
            </w:r>
          </w:p>
        </w:tc>
      </w:tr>
      <w:tr w:rsidR="006C13C3" w:rsidRPr="008A3265" w14:paraId="26959431" w14:textId="77777777" w:rsidTr="006C13C3">
        <w:tc>
          <w:tcPr>
            <w:tcW w:w="704" w:type="dxa"/>
          </w:tcPr>
          <w:p w14:paraId="2919A8D2" w14:textId="78B6756A" w:rsidR="006C13C3" w:rsidRPr="008A3265" w:rsidRDefault="006C13C3" w:rsidP="00826DC1">
            <w:pPr>
              <w:jc w:val="both"/>
              <w:rPr>
                <w:rFonts w:ascii="Brill" w:hAnsi="Brill"/>
                <w:lang w:val="id-ID"/>
              </w:rPr>
            </w:pPr>
            <w:r w:rsidRPr="008A3265">
              <w:rPr>
                <w:rFonts w:ascii="Brill" w:hAnsi="Brill"/>
                <w:lang w:val="id-ID"/>
              </w:rPr>
              <w:t>3.</w:t>
            </w:r>
          </w:p>
        </w:tc>
        <w:tc>
          <w:tcPr>
            <w:tcW w:w="2835" w:type="dxa"/>
          </w:tcPr>
          <w:p w14:paraId="586E587A" w14:textId="43C77B66" w:rsidR="006C13C3" w:rsidRPr="008A3265" w:rsidRDefault="00A40F54" w:rsidP="00826DC1">
            <w:pPr>
              <w:jc w:val="both"/>
              <w:rPr>
                <w:rFonts w:ascii="Brill" w:hAnsi="Brill"/>
                <w:lang w:val="id-ID"/>
              </w:rPr>
            </w:pPr>
            <w:r w:rsidRPr="008A3265">
              <w:rPr>
                <w:rFonts w:ascii="Brill" w:hAnsi="Brill"/>
                <w:lang w:val="id-ID"/>
              </w:rPr>
              <w:t>Teori kritis</w:t>
            </w:r>
          </w:p>
        </w:tc>
        <w:tc>
          <w:tcPr>
            <w:tcW w:w="5471" w:type="dxa"/>
          </w:tcPr>
          <w:p w14:paraId="1C453882" w14:textId="4ABAB150" w:rsidR="006C13C3" w:rsidRPr="008A3265" w:rsidRDefault="00A40F54" w:rsidP="00826DC1">
            <w:pPr>
              <w:jc w:val="both"/>
              <w:rPr>
                <w:rFonts w:ascii="Brill" w:hAnsi="Brill"/>
                <w:lang w:val="id-ID"/>
              </w:rPr>
            </w:pPr>
            <w:r w:rsidRPr="008A3265">
              <w:rPr>
                <w:rFonts w:ascii="Brill" w:hAnsi="Brill"/>
                <w:lang w:val="id-ID"/>
              </w:rPr>
              <w:t>Teori kritis merupakan paradigma yang mengacu pada realisme historis berupa proses dialektika sosial, politik, ekonomi, budaya, serta keadaan-keadaan berupa ketimpangan struktural, pertentangan kelas, diskriminasi gender, dan keadaan-keadaan lain yang memantik perjuangan untuk dapat keluar dari belenggu ketimpangan tersebut.</w:t>
            </w:r>
          </w:p>
        </w:tc>
      </w:tr>
      <w:tr w:rsidR="006C13C3" w:rsidRPr="008A3265" w14:paraId="03312213" w14:textId="77777777" w:rsidTr="006C13C3">
        <w:tc>
          <w:tcPr>
            <w:tcW w:w="704" w:type="dxa"/>
          </w:tcPr>
          <w:p w14:paraId="5362E1C8" w14:textId="00DB7CA6" w:rsidR="006C13C3" w:rsidRPr="008A3265" w:rsidRDefault="006C13C3" w:rsidP="00826DC1">
            <w:pPr>
              <w:jc w:val="both"/>
              <w:rPr>
                <w:rFonts w:ascii="Brill" w:hAnsi="Brill"/>
                <w:lang w:val="id-ID"/>
              </w:rPr>
            </w:pPr>
            <w:r w:rsidRPr="008A3265">
              <w:rPr>
                <w:rFonts w:ascii="Brill" w:hAnsi="Brill"/>
                <w:lang w:val="id-ID"/>
              </w:rPr>
              <w:t>4.</w:t>
            </w:r>
          </w:p>
        </w:tc>
        <w:tc>
          <w:tcPr>
            <w:tcW w:w="2835" w:type="dxa"/>
          </w:tcPr>
          <w:p w14:paraId="137CA886" w14:textId="72C4511B" w:rsidR="006C13C3" w:rsidRPr="008A3265" w:rsidRDefault="00A40F54" w:rsidP="00826DC1">
            <w:pPr>
              <w:jc w:val="both"/>
              <w:rPr>
                <w:rFonts w:ascii="Brill" w:hAnsi="Brill"/>
                <w:lang w:val="id-ID"/>
              </w:rPr>
            </w:pPr>
            <w:r w:rsidRPr="008A3265">
              <w:rPr>
                <w:rFonts w:ascii="Brill" w:hAnsi="Brill"/>
                <w:lang w:val="id-ID"/>
              </w:rPr>
              <w:t xml:space="preserve">Konstruktivisme </w:t>
            </w:r>
          </w:p>
        </w:tc>
        <w:tc>
          <w:tcPr>
            <w:tcW w:w="5471" w:type="dxa"/>
          </w:tcPr>
          <w:p w14:paraId="3059E19D" w14:textId="2A9B9AA5" w:rsidR="006C13C3" w:rsidRPr="008A3265" w:rsidRDefault="00A40F54" w:rsidP="00826DC1">
            <w:pPr>
              <w:jc w:val="both"/>
              <w:rPr>
                <w:rFonts w:ascii="Brill" w:hAnsi="Brill"/>
                <w:lang w:val="id-ID"/>
              </w:rPr>
            </w:pPr>
            <w:r w:rsidRPr="008A3265">
              <w:rPr>
                <w:rFonts w:ascii="Brill" w:hAnsi="Brill"/>
                <w:lang w:val="id-ID"/>
              </w:rPr>
              <w:t>Paradigma ini menganggap kebenaran dalam kerangka relativisme. Oleh karena itu, setiap kebenaran membutuhkan proses reinterpretasi dan reaktualisasi dari proses-proses penafsiran baru sesuai dengan konteks realitas sosial.</w:t>
            </w:r>
          </w:p>
        </w:tc>
      </w:tr>
    </w:tbl>
    <w:p w14:paraId="752F062E" w14:textId="3CF04384" w:rsidR="00960045" w:rsidRPr="008A3265" w:rsidRDefault="00A40F54" w:rsidP="00826DC1">
      <w:pPr>
        <w:ind w:firstLine="709"/>
        <w:jc w:val="both"/>
        <w:rPr>
          <w:rFonts w:ascii="Brill" w:hAnsi="Brill"/>
          <w:lang w:val="id-ID"/>
        </w:rPr>
      </w:pPr>
      <w:r w:rsidRPr="008A3265">
        <w:rPr>
          <w:rFonts w:ascii="Brill" w:hAnsi="Brill"/>
          <w:lang w:val="id-ID"/>
        </w:rPr>
        <w:t>Sumber: Erlyn Indarti, 2010.</w:t>
      </w:r>
    </w:p>
    <w:p w14:paraId="5E212A85" w14:textId="5B33ADEB" w:rsidR="000F6827" w:rsidRPr="008A3265" w:rsidRDefault="000F6827" w:rsidP="00826DC1">
      <w:pPr>
        <w:ind w:firstLine="720"/>
        <w:jc w:val="both"/>
        <w:rPr>
          <w:rFonts w:ascii="Brill" w:eastAsia="Calibri" w:hAnsi="Brill" w:cs="Calibri"/>
          <w:lang w:val="id-ID"/>
        </w:rPr>
      </w:pPr>
    </w:p>
    <w:p w14:paraId="68A4070E" w14:textId="4C8545DB" w:rsidR="00E104A2" w:rsidRPr="008A3265" w:rsidRDefault="00E104A2" w:rsidP="00826DC1">
      <w:pPr>
        <w:ind w:firstLine="720"/>
        <w:jc w:val="both"/>
        <w:rPr>
          <w:rFonts w:ascii="Brill" w:eastAsia="Calibri" w:hAnsi="Brill" w:cs="Calibri"/>
          <w:lang w:val="id-ID"/>
        </w:rPr>
      </w:pPr>
      <w:r w:rsidRPr="008A3265">
        <w:rPr>
          <w:rFonts w:ascii="Brill" w:eastAsia="Calibri" w:hAnsi="Brill" w:cs="Calibri"/>
          <w:lang w:val="id-ID"/>
        </w:rPr>
        <w:t>Garis besarnya dapat dilihat dalam bagan di bawah ini:</w:t>
      </w:r>
    </w:p>
    <w:p w14:paraId="2FD5CE02" w14:textId="77777777" w:rsidR="00E104A2" w:rsidRPr="008A3265" w:rsidRDefault="00E104A2" w:rsidP="00826DC1">
      <w:pPr>
        <w:ind w:firstLine="720"/>
        <w:jc w:val="both"/>
        <w:rPr>
          <w:rFonts w:ascii="Brill" w:eastAsia="Calibri" w:hAnsi="Brill" w:cs="Calibri"/>
          <w:lang w:val="id-ID"/>
        </w:rPr>
      </w:pPr>
    </w:p>
    <w:p w14:paraId="1F95C3E2" w14:textId="4F8872EB" w:rsidR="00E104A2" w:rsidRPr="008A3265" w:rsidRDefault="00E104A2" w:rsidP="00826DC1">
      <w:pPr>
        <w:ind w:firstLine="720"/>
        <w:jc w:val="both"/>
        <w:rPr>
          <w:rFonts w:ascii="Brill" w:eastAsia="Calibri" w:hAnsi="Brill" w:cs="Calibri"/>
          <w:lang w:val="id-ID"/>
        </w:rPr>
      </w:pPr>
      <w:r w:rsidRPr="008A3265">
        <w:rPr>
          <w:rFonts w:ascii="Brill" w:eastAsia="Calibri" w:hAnsi="Brill" w:cs="Calibri"/>
          <w:noProof/>
          <w:lang w:val="id-ID"/>
        </w:rPr>
        <w:drawing>
          <wp:inline distT="0" distB="0" distL="0" distR="0" wp14:anchorId="40AD7597" wp14:editId="598501FD">
            <wp:extent cx="5207000" cy="2091055"/>
            <wp:effectExtent l="0" t="0" r="0" b="1714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7979FB43" w14:textId="77777777" w:rsidR="00E104A2" w:rsidRPr="008A3265" w:rsidRDefault="00E104A2" w:rsidP="00826DC1">
      <w:pPr>
        <w:ind w:firstLine="720"/>
        <w:jc w:val="both"/>
        <w:rPr>
          <w:rFonts w:ascii="Brill" w:eastAsia="Calibri" w:hAnsi="Brill" w:cs="Calibri"/>
          <w:lang w:val="id-ID"/>
        </w:rPr>
      </w:pPr>
    </w:p>
    <w:p w14:paraId="03B144D0" w14:textId="15765E6B" w:rsidR="00A40F54" w:rsidRDefault="0031662A" w:rsidP="00826DC1">
      <w:pPr>
        <w:ind w:firstLine="720"/>
        <w:jc w:val="both"/>
        <w:rPr>
          <w:rFonts w:ascii="Brill" w:eastAsia="Calibri" w:hAnsi="Brill" w:cs="Calibri"/>
          <w:lang w:val="id-ID"/>
        </w:rPr>
      </w:pPr>
      <w:r w:rsidRPr="008A3265">
        <w:rPr>
          <w:rFonts w:ascii="Brill" w:eastAsia="Calibri" w:hAnsi="Brill" w:cs="Calibri"/>
          <w:lang w:val="id-ID"/>
        </w:rPr>
        <w:t xml:space="preserve">Dalam konteks politik hukum Ranperda Toleransi, pertarungan paradigma yang terjadi antara </w:t>
      </w:r>
      <w:r w:rsidR="002A4DDA" w:rsidRPr="008A3265">
        <w:rPr>
          <w:rFonts w:ascii="Brill" w:eastAsia="Calibri" w:hAnsi="Brill" w:cs="Calibri"/>
          <w:lang w:val="id-ID"/>
        </w:rPr>
        <w:t>masyarakat sipil</w:t>
      </w:r>
      <w:r w:rsidRPr="008A3265">
        <w:rPr>
          <w:rFonts w:ascii="Brill" w:eastAsia="Calibri" w:hAnsi="Brill" w:cs="Calibri"/>
          <w:lang w:val="id-ID"/>
        </w:rPr>
        <w:t xml:space="preserve"> dan </w:t>
      </w:r>
      <w:r w:rsidR="002A4DDA" w:rsidRPr="008A3265">
        <w:rPr>
          <w:rFonts w:ascii="Brill" w:eastAsia="Calibri" w:hAnsi="Brill" w:cs="Calibri"/>
          <w:lang w:val="id-ID"/>
        </w:rPr>
        <w:t>aktor negara</w:t>
      </w:r>
      <w:r w:rsidRPr="008A3265">
        <w:rPr>
          <w:rFonts w:ascii="Brill" w:eastAsia="Calibri" w:hAnsi="Brill" w:cs="Calibri"/>
          <w:lang w:val="id-ID"/>
        </w:rPr>
        <w:t xml:space="preserve"> erat kaitannya dengan isu toleransi dan Kota HAM. </w:t>
      </w:r>
      <w:r w:rsidR="002A4DDA" w:rsidRPr="008A3265">
        <w:rPr>
          <w:rFonts w:ascii="Brill" w:eastAsia="Calibri" w:hAnsi="Brill" w:cs="Calibri"/>
          <w:lang w:val="id-ID"/>
        </w:rPr>
        <w:t>Aktor negara</w:t>
      </w:r>
      <w:r w:rsidR="00801A8D" w:rsidRPr="008A3265">
        <w:rPr>
          <w:rFonts w:ascii="Brill" w:eastAsia="Calibri" w:hAnsi="Brill" w:cs="Calibri"/>
          <w:lang w:val="id-ID"/>
        </w:rPr>
        <w:t xml:space="preserve"> </w:t>
      </w:r>
      <w:r w:rsidR="001A2F96" w:rsidRPr="008A3265">
        <w:rPr>
          <w:rFonts w:ascii="Brill" w:eastAsia="Calibri" w:hAnsi="Brill" w:cs="Calibri"/>
          <w:lang w:val="id-ID"/>
        </w:rPr>
        <w:t>memosisikan</w:t>
      </w:r>
      <w:r w:rsidR="00801A8D" w:rsidRPr="008A3265">
        <w:rPr>
          <w:rFonts w:ascii="Brill" w:eastAsia="Calibri" w:hAnsi="Brill" w:cs="Calibri"/>
          <w:lang w:val="id-ID"/>
        </w:rPr>
        <w:t xml:space="preserve"> toleransi sebagai suatu interaksi sosial yang harus berjalan alamiah tanpa perlu adanya proses institusionalisasi. </w:t>
      </w:r>
      <w:r w:rsidR="002A4DDA" w:rsidRPr="008A3265">
        <w:rPr>
          <w:rFonts w:ascii="Brill" w:eastAsia="Calibri" w:hAnsi="Brill" w:cs="Calibri"/>
          <w:lang w:val="id-ID"/>
        </w:rPr>
        <w:t>Aktor negara</w:t>
      </w:r>
      <w:r w:rsidR="00801A8D" w:rsidRPr="008A3265">
        <w:rPr>
          <w:rFonts w:ascii="Brill" w:eastAsia="Calibri" w:hAnsi="Brill" w:cs="Calibri"/>
          <w:lang w:val="id-ID"/>
        </w:rPr>
        <w:t xml:space="preserve"> menyadari bahwa Kota </w:t>
      </w:r>
      <w:r w:rsidR="00801A8D" w:rsidRPr="008A3265">
        <w:rPr>
          <w:rFonts w:ascii="Brill" w:eastAsia="Calibri" w:hAnsi="Brill" w:cs="Calibri"/>
          <w:lang w:val="id-ID"/>
        </w:rPr>
        <w:lastRenderedPageBreak/>
        <w:t xml:space="preserve">Pontianak masih memiliki residu konflik yang belum terurai, namun pilihan pada institusionalisasi toleransi adalah sesuatu yang keliru. Pandangan tersebut mengindikasikan bahwa </w:t>
      </w:r>
      <w:r w:rsidR="00515AAB" w:rsidRPr="008A3265">
        <w:rPr>
          <w:rFonts w:ascii="Brill" w:eastAsia="Calibri" w:hAnsi="Brill" w:cs="Calibri"/>
          <w:lang w:val="id-ID"/>
        </w:rPr>
        <w:t xml:space="preserve">dalam sistem kepercayaan </w:t>
      </w:r>
      <w:r w:rsidR="002A4DDA" w:rsidRPr="008A3265">
        <w:rPr>
          <w:rFonts w:ascii="Brill" w:eastAsia="Calibri" w:hAnsi="Brill" w:cs="Calibri"/>
          <w:lang w:val="id-ID"/>
        </w:rPr>
        <w:t>aktor negara</w:t>
      </w:r>
      <w:r w:rsidR="00515AAB" w:rsidRPr="008A3265">
        <w:rPr>
          <w:rFonts w:ascii="Brill" w:eastAsia="Calibri" w:hAnsi="Brill" w:cs="Calibri"/>
          <w:lang w:val="id-ID"/>
        </w:rPr>
        <w:t xml:space="preserve">, </w:t>
      </w:r>
      <w:r w:rsidR="00801A8D" w:rsidRPr="008A3265">
        <w:rPr>
          <w:rFonts w:ascii="Brill" w:eastAsia="Calibri" w:hAnsi="Brill" w:cs="Calibri"/>
          <w:lang w:val="id-ID"/>
        </w:rPr>
        <w:t xml:space="preserve">toleransi </w:t>
      </w:r>
      <w:r w:rsidR="00515AAB" w:rsidRPr="008A3265">
        <w:rPr>
          <w:rFonts w:ascii="Brill" w:eastAsia="Calibri" w:hAnsi="Brill" w:cs="Calibri"/>
          <w:lang w:val="id-ID"/>
        </w:rPr>
        <w:t xml:space="preserve">diposisikan </w:t>
      </w:r>
      <w:r w:rsidR="00801A8D" w:rsidRPr="008A3265">
        <w:rPr>
          <w:rFonts w:ascii="Brill" w:eastAsia="Calibri" w:hAnsi="Brill" w:cs="Calibri"/>
          <w:lang w:val="id-ID"/>
        </w:rPr>
        <w:t>sebagai suatu realitas yang naif sehingga menempatkan toleransi pada realitas sosial yang berjalan adalah pilihan yang lebih baik.</w:t>
      </w:r>
    </w:p>
    <w:p w14:paraId="7910DCE0" w14:textId="77777777" w:rsidR="00C27D85" w:rsidRPr="008A3265" w:rsidRDefault="00C27D85" w:rsidP="00826DC1">
      <w:pPr>
        <w:ind w:firstLine="720"/>
        <w:jc w:val="both"/>
        <w:rPr>
          <w:rFonts w:ascii="Brill" w:eastAsia="Calibri" w:hAnsi="Brill" w:cs="Calibri"/>
          <w:lang w:val="id-ID"/>
        </w:rPr>
      </w:pPr>
    </w:p>
    <w:p w14:paraId="6BB736A7" w14:textId="74B07E69" w:rsidR="00C27D85" w:rsidRPr="00C27D85" w:rsidRDefault="00C27D85" w:rsidP="00C27D85">
      <w:pPr>
        <w:jc w:val="both"/>
        <w:rPr>
          <w:rFonts w:ascii="Brill" w:hAnsi="Brill"/>
          <w:b/>
          <w:bCs/>
          <w:lang w:val="en-US"/>
        </w:rPr>
      </w:pPr>
      <w:r>
        <w:rPr>
          <w:rFonts w:ascii="Brill" w:hAnsi="Brill"/>
          <w:b/>
          <w:bCs/>
          <w:lang w:val="en-US"/>
        </w:rPr>
        <w:t>Syariah dan HAM: Menggugat Sesat Berfikir Aktor Negara</w:t>
      </w:r>
      <w:r w:rsidR="007F30E8">
        <w:rPr>
          <w:rFonts w:ascii="Brill" w:hAnsi="Brill"/>
          <w:b/>
          <w:bCs/>
          <w:lang w:val="en-US"/>
        </w:rPr>
        <w:t xml:space="preserve"> dalam Relasi Paradigmatis</w:t>
      </w:r>
    </w:p>
    <w:p w14:paraId="51C79630" w14:textId="77777777" w:rsidR="00EC768C" w:rsidRDefault="00801A8D" w:rsidP="00C27D85">
      <w:pPr>
        <w:jc w:val="both"/>
        <w:rPr>
          <w:rFonts w:ascii="Brill" w:eastAsia="Calibri" w:hAnsi="Brill" w:cs="Calibri"/>
          <w:lang w:val="en-US"/>
        </w:rPr>
      </w:pPr>
      <w:r w:rsidRPr="008A3265">
        <w:rPr>
          <w:rFonts w:ascii="Brill" w:eastAsia="Calibri" w:hAnsi="Brill" w:cs="Calibri"/>
          <w:lang w:val="id-ID"/>
        </w:rPr>
        <w:t xml:space="preserve">Terdapat kekhawatiran bahwa institusionalisasi toleransi mengarah pada upaya pengarusutamaan HAM yang dianggap bertentangan dengan </w:t>
      </w:r>
      <w:r w:rsidR="00673131">
        <w:rPr>
          <w:rFonts w:ascii="Brill" w:eastAsia="Calibri" w:hAnsi="Brill" w:cs="Calibri"/>
          <w:lang w:val="en-US"/>
        </w:rPr>
        <w:t xml:space="preserve">syariah </w:t>
      </w:r>
      <w:r w:rsidRPr="008A3265">
        <w:rPr>
          <w:rFonts w:ascii="Brill" w:eastAsia="Calibri" w:hAnsi="Brill" w:cs="Calibri"/>
          <w:lang w:val="id-ID"/>
        </w:rPr>
        <w:t xml:space="preserve">dan </w:t>
      </w:r>
      <w:r w:rsidR="00673131">
        <w:rPr>
          <w:rFonts w:ascii="Brill" w:eastAsia="Calibri" w:hAnsi="Brill" w:cs="Calibri"/>
          <w:lang w:val="en-US"/>
        </w:rPr>
        <w:t>budaya lokal</w:t>
      </w:r>
      <w:r w:rsidRPr="008A3265">
        <w:rPr>
          <w:rFonts w:ascii="Brill" w:eastAsia="Calibri" w:hAnsi="Brill" w:cs="Calibri"/>
          <w:lang w:val="id-ID"/>
        </w:rPr>
        <w:t xml:space="preserve">. </w:t>
      </w:r>
      <w:r w:rsidR="00673131">
        <w:rPr>
          <w:rFonts w:ascii="Brill" w:eastAsia="Calibri" w:hAnsi="Brill" w:cs="Calibri"/>
          <w:lang w:val="en-US"/>
        </w:rPr>
        <w:t>Perdebatan ini dalam konteks yang lebih luas, kerap terjebak pada dialog yang monologis dan absolutis.</w:t>
      </w:r>
      <w:r w:rsidR="00673131">
        <w:rPr>
          <w:rStyle w:val="FootnoteReference"/>
          <w:rFonts w:ascii="Brill" w:eastAsia="Calibri" w:hAnsi="Brill" w:cs="Calibri"/>
          <w:lang w:val="en-US"/>
        </w:rPr>
        <w:footnoteReference w:id="28"/>
      </w:r>
      <w:r w:rsidR="00673131">
        <w:rPr>
          <w:rFonts w:ascii="Brill" w:eastAsia="Calibri" w:hAnsi="Brill" w:cs="Calibri"/>
          <w:lang w:val="en-US"/>
        </w:rPr>
        <w:t xml:space="preserve"> Dalam pandangan </w:t>
      </w:r>
      <w:r w:rsidR="00972A31">
        <w:rPr>
          <w:rFonts w:ascii="Brill" w:eastAsia="Calibri" w:hAnsi="Brill" w:cs="Calibri"/>
          <w:lang w:val="en-US"/>
        </w:rPr>
        <w:t>Nor Salam dan kawan-kawan, ketegangan antara syariah dan HAM disebabkan oleh perbedaan pada basis argumentasinya. Pemikiran tentang syariah berakar pada teosentrisme, sedangkan HAM berakar pada antroposentrisme.</w:t>
      </w:r>
      <w:r w:rsidR="00972A31">
        <w:rPr>
          <w:rStyle w:val="FootnoteReference"/>
          <w:rFonts w:ascii="Brill" w:eastAsia="Calibri" w:hAnsi="Brill" w:cs="Calibri"/>
          <w:lang w:val="en-US"/>
        </w:rPr>
        <w:footnoteReference w:id="29"/>
      </w:r>
      <w:r w:rsidR="00972A31">
        <w:rPr>
          <w:rFonts w:ascii="Brill" w:eastAsia="Calibri" w:hAnsi="Brill" w:cs="Calibri"/>
          <w:lang w:val="en-US"/>
        </w:rPr>
        <w:t xml:space="preserve"> </w:t>
      </w:r>
      <w:r w:rsidRPr="008A3265">
        <w:rPr>
          <w:rFonts w:ascii="Brill" w:eastAsia="Calibri" w:hAnsi="Brill" w:cs="Calibri"/>
          <w:lang w:val="id-ID"/>
        </w:rPr>
        <w:t xml:space="preserve">Dari sini terlihat bahwa </w:t>
      </w:r>
      <w:r w:rsidR="00515AAB" w:rsidRPr="008A3265">
        <w:rPr>
          <w:rFonts w:ascii="Brill" w:eastAsia="Calibri" w:hAnsi="Brill" w:cs="Calibri"/>
          <w:lang w:val="id-ID"/>
        </w:rPr>
        <w:t xml:space="preserve">sistem kepercayaan </w:t>
      </w:r>
      <w:r w:rsidR="002A4DDA" w:rsidRPr="008A3265">
        <w:rPr>
          <w:rFonts w:ascii="Brill" w:eastAsia="Calibri" w:hAnsi="Brill" w:cs="Calibri"/>
          <w:lang w:val="id-ID"/>
        </w:rPr>
        <w:t>aktor negara</w:t>
      </w:r>
      <w:r w:rsidRPr="008A3265">
        <w:rPr>
          <w:rFonts w:ascii="Brill" w:eastAsia="Calibri" w:hAnsi="Brill" w:cs="Calibri"/>
          <w:lang w:val="id-ID"/>
        </w:rPr>
        <w:t xml:space="preserve"> </w:t>
      </w:r>
      <w:r w:rsidR="001A2F96" w:rsidRPr="008A3265">
        <w:rPr>
          <w:rFonts w:ascii="Brill" w:eastAsia="Calibri" w:hAnsi="Brill" w:cs="Calibri"/>
          <w:lang w:val="id-ID"/>
        </w:rPr>
        <w:t>memosisikan</w:t>
      </w:r>
      <w:r w:rsidRPr="008A3265">
        <w:rPr>
          <w:rFonts w:ascii="Brill" w:eastAsia="Calibri" w:hAnsi="Brill" w:cs="Calibri"/>
          <w:lang w:val="id-ID"/>
        </w:rPr>
        <w:t xml:space="preserve"> HAM sebagai suatu nilai dan prinsip barat yang kontradiktif dengan nilai-nilai agama serta lokalitas Kota Pontianak. Tentu saja hal demikian merupakan pe</w:t>
      </w:r>
      <w:r w:rsidR="00F9383B" w:rsidRPr="008A3265">
        <w:rPr>
          <w:rFonts w:ascii="Brill" w:eastAsia="Calibri" w:hAnsi="Brill" w:cs="Calibri"/>
          <w:lang w:val="id-ID"/>
        </w:rPr>
        <w:t>ngkultusan dari realisme naif yang sebagian besar masyarakat Indonesia menganggapnya demikian. Padahal, prinsip-prinsip dan nilai-nilai HAM diekstraksi dari nilai-nilai kemanusiaan sebagai suatu bahasa universal yang diterima oleh seluruh masyarakat dunia</w:t>
      </w:r>
      <w:r w:rsidR="00972A31">
        <w:rPr>
          <w:rFonts w:ascii="Brill" w:eastAsia="Calibri" w:hAnsi="Brill" w:cs="Calibri"/>
          <w:lang w:val="en-US"/>
        </w:rPr>
        <w:t xml:space="preserve">, termasuk juga </w:t>
      </w:r>
      <w:r w:rsidR="000A0178">
        <w:rPr>
          <w:rFonts w:ascii="Brill" w:eastAsia="Calibri" w:hAnsi="Brill" w:cs="Calibri"/>
          <w:lang w:val="en-US"/>
        </w:rPr>
        <w:t>mengenai mitos bahwa syariah dan HAM tidak kompatibel</w:t>
      </w:r>
      <w:r w:rsidR="00F9383B" w:rsidRPr="008A3265">
        <w:rPr>
          <w:rFonts w:ascii="Brill" w:eastAsia="Calibri" w:hAnsi="Brill" w:cs="Calibri"/>
          <w:lang w:val="id-ID"/>
        </w:rPr>
        <w:t>.</w:t>
      </w:r>
      <w:r w:rsidR="000A0178">
        <w:rPr>
          <w:rFonts w:ascii="Brill" w:eastAsia="Calibri" w:hAnsi="Brill" w:cs="Calibri"/>
          <w:lang w:val="en-US"/>
        </w:rPr>
        <w:t xml:space="preserve"> </w:t>
      </w:r>
    </w:p>
    <w:p w14:paraId="7FF8ACF7" w14:textId="09F437CC" w:rsidR="00046A03" w:rsidRPr="008A3265" w:rsidRDefault="000A0178" w:rsidP="00EC768C">
      <w:pPr>
        <w:ind w:firstLine="709"/>
        <w:jc w:val="both"/>
        <w:rPr>
          <w:rFonts w:ascii="Brill" w:eastAsia="Calibri" w:hAnsi="Brill" w:cs="Calibri"/>
          <w:lang w:val="id-ID"/>
        </w:rPr>
      </w:pPr>
      <w:r>
        <w:rPr>
          <w:rFonts w:ascii="Brill" w:eastAsia="Calibri" w:hAnsi="Brill" w:cs="Calibri"/>
          <w:lang w:val="en-US"/>
        </w:rPr>
        <w:t>Mohammad Salman AlKhaza’leh mengungkap bahwa HAM justru mengakar kuat dari pemikiran Islam</w:t>
      </w:r>
      <w:r w:rsidR="00F9383B" w:rsidRPr="008A3265">
        <w:rPr>
          <w:rFonts w:ascii="Brill" w:eastAsia="Calibri" w:hAnsi="Brill" w:cs="Calibri"/>
          <w:lang w:val="id-ID"/>
        </w:rPr>
        <w:t xml:space="preserve"> </w:t>
      </w:r>
      <w:r>
        <w:rPr>
          <w:rFonts w:ascii="Brill" w:eastAsia="Calibri" w:hAnsi="Brill" w:cs="Calibri"/>
          <w:lang w:val="en-US"/>
        </w:rPr>
        <w:t>yang menjunjung tinggi kemanusiaan. Sejatinya syariah dan HAM merupakan konvergensi yang melahirkan Deklarasi HAM Islam 1990.</w:t>
      </w:r>
      <w:r>
        <w:rPr>
          <w:rStyle w:val="FootnoteReference"/>
          <w:rFonts w:ascii="Brill" w:eastAsia="Calibri" w:hAnsi="Brill" w:cs="Calibri"/>
          <w:lang w:val="en-US"/>
        </w:rPr>
        <w:footnoteReference w:id="30"/>
      </w:r>
      <w:r>
        <w:rPr>
          <w:rFonts w:ascii="Brill" w:eastAsia="Calibri" w:hAnsi="Brill" w:cs="Calibri"/>
          <w:lang w:val="en-US"/>
        </w:rPr>
        <w:t xml:space="preserve"> </w:t>
      </w:r>
      <w:r w:rsidR="00F834E3">
        <w:rPr>
          <w:rFonts w:ascii="Brill" w:eastAsia="Calibri" w:hAnsi="Brill" w:cs="Calibri"/>
          <w:lang w:val="en-US"/>
        </w:rPr>
        <w:t>Farkhani dan kawan-kawan mengungkap bahwa harmonisasi antara syariah dan HAM dapat dipelajari dari Qanun Jinayat di Langsa yang memperhatikan hak-hak minoritas.</w:t>
      </w:r>
      <w:r w:rsidR="00F834E3">
        <w:rPr>
          <w:rStyle w:val="FootnoteReference"/>
          <w:rFonts w:ascii="Brill" w:eastAsia="Calibri" w:hAnsi="Brill" w:cs="Calibri"/>
          <w:lang w:val="en-US"/>
        </w:rPr>
        <w:footnoteReference w:id="31"/>
      </w:r>
      <w:r w:rsidR="00F834E3">
        <w:rPr>
          <w:rFonts w:ascii="Brill" w:eastAsia="Calibri" w:hAnsi="Brill" w:cs="Calibri"/>
          <w:lang w:val="en-US"/>
        </w:rPr>
        <w:t xml:space="preserve"> Meskipun demikian, Abdul Halim mengungkap bahwa syariah dan HAM dalam konteks Qanun Jinayat merupakan </w:t>
      </w:r>
      <w:r w:rsidR="00EC768C">
        <w:rPr>
          <w:rFonts w:ascii="Brill" w:eastAsia="Calibri" w:hAnsi="Brill" w:cs="Calibri"/>
          <w:lang w:val="en-US"/>
        </w:rPr>
        <w:t>sebuah negosiasi antara kelompok minoritas untuk dapat bertahan dengan kondisi sosio-kultural masyarakat di Aceh.</w:t>
      </w:r>
      <w:r w:rsidR="00EC768C">
        <w:rPr>
          <w:rStyle w:val="FootnoteReference"/>
          <w:rFonts w:ascii="Brill" w:eastAsia="Calibri" w:hAnsi="Brill" w:cs="Calibri"/>
          <w:lang w:val="en-US"/>
        </w:rPr>
        <w:footnoteReference w:id="32"/>
      </w:r>
      <w:r w:rsidR="00F834E3">
        <w:rPr>
          <w:rFonts w:ascii="Brill" w:eastAsia="Calibri" w:hAnsi="Brill" w:cs="Calibri"/>
          <w:lang w:val="en-US"/>
        </w:rPr>
        <w:t xml:space="preserve"> </w:t>
      </w:r>
      <w:r w:rsidR="00EC768C">
        <w:rPr>
          <w:rFonts w:ascii="Brill" w:eastAsia="Calibri" w:hAnsi="Brill" w:cs="Calibri"/>
          <w:lang w:val="en-US"/>
        </w:rPr>
        <w:t>Meskipun harmonisasi tidak secara langsung, akan tetapi kondisi di Aceh dapat menjadi pelajaran penting bahwa baik syariah dan HAM dapat dinegosiasikan. Titik temu yang perlu digali adalah baik syariah maupun HAM memiliki interkoneksi, yakni kemanusiaan sebagaimana dalam konsep maqashid syariah.</w:t>
      </w:r>
      <w:r w:rsidR="00EC768C">
        <w:rPr>
          <w:rStyle w:val="FootnoteReference"/>
          <w:rFonts w:ascii="Brill" w:eastAsia="Calibri" w:hAnsi="Brill" w:cs="Calibri"/>
          <w:lang w:val="en-US"/>
        </w:rPr>
        <w:footnoteReference w:id="33"/>
      </w:r>
      <w:r w:rsidR="00EC768C">
        <w:rPr>
          <w:rFonts w:ascii="Brill" w:eastAsia="Calibri" w:hAnsi="Brill" w:cs="Calibri"/>
          <w:lang w:val="en-US"/>
        </w:rPr>
        <w:t xml:space="preserve"> </w:t>
      </w:r>
      <w:r w:rsidR="00046A03" w:rsidRPr="008A3265">
        <w:rPr>
          <w:rFonts w:ascii="Brill" w:eastAsia="Calibri" w:hAnsi="Brill" w:cs="Calibri"/>
          <w:lang w:val="id-ID"/>
        </w:rPr>
        <w:t>Untuk hal ini penulis perlu mengutip satu pencerahan penting dari Bielefeldt dan Wiener mengenai universalisme HAM</w:t>
      </w:r>
      <w:r w:rsidR="00EC768C">
        <w:rPr>
          <w:rFonts w:ascii="Brill" w:eastAsia="Calibri" w:hAnsi="Brill" w:cs="Calibri"/>
          <w:lang w:val="en-US"/>
        </w:rPr>
        <w:t xml:space="preserve"> yang tentu saja kompatibel dengan syariah</w:t>
      </w:r>
      <w:r w:rsidR="00046A03" w:rsidRPr="008A3265">
        <w:rPr>
          <w:rFonts w:ascii="Brill" w:eastAsia="Calibri" w:hAnsi="Brill" w:cs="Calibri"/>
          <w:lang w:val="id-ID"/>
        </w:rPr>
        <w:t xml:space="preserve">. Mereka mengatakan bahwa, </w:t>
      </w:r>
    </w:p>
    <w:p w14:paraId="1F2F23AB" w14:textId="6BD19558" w:rsidR="00FB391F" w:rsidRPr="000A0178" w:rsidRDefault="008C5148" w:rsidP="000A0178">
      <w:pPr>
        <w:ind w:left="709"/>
        <w:jc w:val="both"/>
        <w:rPr>
          <w:rFonts w:ascii="Brill" w:eastAsia="Calibri" w:hAnsi="Brill" w:cs="Calibri"/>
          <w:i/>
          <w:iCs/>
          <w:lang w:val="id-ID"/>
        </w:rPr>
      </w:pPr>
      <w:r>
        <w:rPr>
          <w:rFonts w:ascii="Brill" w:eastAsia="Calibri" w:hAnsi="Brill" w:cs="Calibri"/>
          <w:i/>
          <w:iCs/>
          <w:lang w:val="id-ID"/>
        </w:rPr>
        <w:lastRenderedPageBreak/>
        <w:t>“</w:t>
      </w:r>
      <w:r w:rsidR="00046A03" w:rsidRPr="008A3265">
        <w:rPr>
          <w:rFonts w:ascii="Brill" w:eastAsia="Calibri" w:hAnsi="Brill" w:cs="Calibri"/>
          <w:i/>
          <w:iCs/>
          <w:lang w:val="id-ID"/>
        </w:rPr>
        <w:t>HAM sebagai hak fundamental bukan milik siapa-siapa, bukan milik orang-orang Eropa sebagaimana dituduhkan sebagai Eropasentris, HAM adalah milik umat manusia karena alasan sederhana, yakni kemanusiaannya dan karena itu setara bagi semua orang</w:t>
      </w:r>
      <w:r>
        <w:rPr>
          <w:rFonts w:ascii="Brill" w:eastAsia="Calibri" w:hAnsi="Brill" w:cs="Calibri"/>
          <w:i/>
          <w:iCs/>
          <w:lang w:val="id-ID"/>
        </w:rPr>
        <w:t>”</w:t>
      </w:r>
      <w:r w:rsidR="00046A03" w:rsidRPr="008A3265">
        <w:rPr>
          <w:rFonts w:ascii="Brill" w:eastAsia="Calibri" w:hAnsi="Brill" w:cs="Calibri"/>
          <w:i/>
          <w:iCs/>
          <w:lang w:val="id-ID"/>
        </w:rPr>
        <w:t>.</w:t>
      </w:r>
      <w:r w:rsidR="00D572FC" w:rsidRPr="008A3265">
        <w:rPr>
          <w:rStyle w:val="FootnoteReference"/>
          <w:rFonts w:ascii="Brill" w:eastAsia="Calibri" w:hAnsi="Brill" w:cs="Calibri"/>
          <w:i/>
          <w:iCs/>
          <w:lang w:val="id-ID"/>
        </w:rPr>
        <w:footnoteReference w:id="34"/>
      </w:r>
    </w:p>
    <w:p w14:paraId="43A7CBF6" w14:textId="3BB7CEFA" w:rsidR="00782E59" w:rsidRPr="008A3265" w:rsidRDefault="00046A03" w:rsidP="00826DC1">
      <w:pPr>
        <w:ind w:firstLine="720"/>
        <w:jc w:val="both"/>
        <w:rPr>
          <w:rFonts w:ascii="Brill" w:eastAsia="Calibri" w:hAnsi="Brill" w:cs="Calibri"/>
          <w:lang w:val="id-ID"/>
        </w:rPr>
      </w:pPr>
      <w:r w:rsidRPr="008A3265">
        <w:rPr>
          <w:rFonts w:ascii="Brill" w:eastAsia="Calibri" w:hAnsi="Brill" w:cs="Calibri"/>
          <w:lang w:val="id-ID"/>
        </w:rPr>
        <w:t xml:space="preserve">Pandangan Bielefeldt dan Wiener menjadi sokongan penting bagi </w:t>
      </w:r>
      <w:r w:rsidR="002A4DDA" w:rsidRPr="008A3265">
        <w:rPr>
          <w:rFonts w:ascii="Brill" w:eastAsia="Calibri" w:hAnsi="Brill" w:cs="Calibri"/>
          <w:lang w:val="id-ID"/>
        </w:rPr>
        <w:t>masyarakat sipil</w:t>
      </w:r>
      <w:r w:rsidRPr="008A3265">
        <w:rPr>
          <w:rFonts w:ascii="Brill" w:eastAsia="Calibri" w:hAnsi="Brill" w:cs="Calibri"/>
          <w:lang w:val="id-ID"/>
        </w:rPr>
        <w:t xml:space="preserve"> mengenai apa dan bagaimana HAM itu diimplementasikan. Lebih lanjut bagi </w:t>
      </w:r>
      <w:r w:rsidR="002A4DDA" w:rsidRPr="008A3265">
        <w:rPr>
          <w:rFonts w:ascii="Brill" w:eastAsia="Calibri" w:hAnsi="Brill" w:cs="Calibri"/>
          <w:lang w:val="id-ID"/>
        </w:rPr>
        <w:t>masyarakat sipil</w:t>
      </w:r>
      <w:r w:rsidRPr="008A3265">
        <w:rPr>
          <w:rFonts w:ascii="Brill" w:eastAsia="Calibri" w:hAnsi="Brill" w:cs="Calibri"/>
          <w:lang w:val="id-ID"/>
        </w:rPr>
        <w:t>,</w:t>
      </w:r>
      <w:r w:rsidR="00782E59" w:rsidRPr="008A3265">
        <w:rPr>
          <w:rFonts w:ascii="Brill" w:eastAsia="Calibri" w:hAnsi="Brill" w:cs="Calibri"/>
          <w:lang w:val="id-ID"/>
        </w:rPr>
        <w:t xml:space="preserve"> toleransi dan Kota HAM sebagai suatu gerakan perubahan untuk menentang kredo-kredo paradigma positivisme yang mengakar sangat kuat sebagai cara pandang </w:t>
      </w:r>
      <w:r w:rsidR="002A4DDA" w:rsidRPr="008A3265">
        <w:rPr>
          <w:rFonts w:ascii="Brill" w:eastAsia="Calibri" w:hAnsi="Brill" w:cs="Calibri"/>
          <w:lang w:val="id-ID"/>
        </w:rPr>
        <w:t>aktor negara</w:t>
      </w:r>
      <w:r w:rsidR="00572D66">
        <w:rPr>
          <w:rFonts w:ascii="Brill" w:eastAsia="Calibri" w:hAnsi="Brill" w:cs="Calibri"/>
          <w:lang w:val="en-US"/>
        </w:rPr>
        <w:t>, terutama pada cara pandang mereka yang memposisikan syariah dan HAM dalam relasi ketegangan</w:t>
      </w:r>
      <w:r w:rsidR="00782E59" w:rsidRPr="008A3265">
        <w:rPr>
          <w:rFonts w:ascii="Brill" w:eastAsia="Calibri" w:hAnsi="Brill" w:cs="Calibri"/>
          <w:lang w:val="id-ID"/>
        </w:rPr>
        <w:t xml:space="preserve">. Institusionalisasi toleransi sesungguhnya bukan hanya upaya formalisasi terhadap toleransi </w:t>
      </w:r>
      <w:r w:rsidR="00782E59" w:rsidRPr="008A3265">
        <w:rPr>
          <w:rFonts w:ascii="Brill" w:eastAsia="Calibri" w:hAnsi="Brill" w:cs="Calibri"/>
          <w:i/>
          <w:iCs/>
          <w:lang w:val="id-ID"/>
        </w:rPr>
        <w:t>an sich</w:t>
      </w:r>
      <w:r w:rsidR="00782E59" w:rsidRPr="008A3265">
        <w:rPr>
          <w:rFonts w:ascii="Brill" w:eastAsia="Calibri" w:hAnsi="Brill" w:cs="Calibri"/>
          <w:lang w:val="id-ID"/>
        </w:rPr>
        <w:t xml:space="preserve">, lebih dari itu institusionalisasi toleransi merupakan gerakan kritis </w:t>
      </w:r>
      <w:r w:rsidR="00515AAB" w:rsidRPr="008A3265">
        <w:rPr>
          <w:rFonts w:ascii="Brill" w:eastAsia="Calibri" w:hAnsi="Brill" w:cs="Calibri"/>
          <w:lang w:val="id-ID"/>
        </w:rPr>
        <w:t xml:space="preserve">untuk mengoreksi sistem kepercayaan yang selama ini berakar pada cara pandang </w:t>
      </w:r>
      <w:r w:rsidR="002A4DDA" w:rsidRPr="008A3265">
        <w:rPr>
          <w:rFonts w:ascii="Brill" w:eastAsia="Calibri" w:hAnsi="Brill" w:cs="Calibri"/>
          <w:lang w:val="id-ID"/>
        </w:rPr>
        <w:t>aktor negara</w:t>
      </w:r>
      <w:r w:rsidR="00515AAB" w:rsidRPr="008A3265">
        <w:rPr>
          <w:rFonts w:ascii="Brill" w:eastAsia="Calibri" w:hAnsi="Brill" w:cs="Calibri"/>
          <w:lang w:val="id-ID"/>
        </w:rPr>
        <w:t xml:space="preserve">, termasuk juga masyarakat yang mengkultuskannya. </w:t>
      </w:r>
    </w:p>
    <w:p w14:paraId="325E3B0D" w14:textId="2B73548F" w:rsidR="004B5206" w:rsidRPr="008A3265" w:rsidRDefault="00515AAB" w:rsidP="00826DC1">
      <w:pPr>
        <w:ind w:firstLine="720"/>
        <w:jc w:val="both"/>
        <w:rPr>
          <w:rFonts w:ascii="Brill" w:eastAsia="Calibri" w:hAnsi="Brill" w:cs="Calibri"/>
          <w:lang w:val="id-ID"/>
        </w:rPr>
      </w:pPr>
      <w:r w:rsidRPr="008A3265">
        <w:rPr>
          <w:rFonts w:ascii="Brill" w:eastAsia="Calibri" w:hAnsi="Brill" w:cs="Calibri"/>
          <w:lang w:val="id-ID"/>
        </w:rPr>
        <w:t xml:space="preserve">Mula-mula paradigma yang terbangun adalah pospositivisme melalui gerakan-gerakan pendidikan toleransi dan HAM </w:t>
      </w:r>
      <w:r w:rsidR="00A34647" w:rsidRPr="008A3265">
        <w:rPr>
          <w:rFonts w:ascii="Brill" w:eastAsia="Calibri" w:hAnsi="Brill" w:cs="Calibri"/>
          <w:lang w:val="id-ID"/>
        </w:rPr>
        <w:t>sebagai bentuk refleksi kritis terhadap</w:t>
      </w:r>
      <w:r w:rsidRPr="008A3265">
        <w:rPr>
          <w:rFonts w:ascii="Brill" w:eastAsia="Calibri" w:hAnsi="Brill" w:cs="Calibri"/>
          <w:lang w:val="id-ID"/>
        </w:rPr>
        <w:t xml:space="preserve"> esensi </w:t>
      </w:r>
      <w:r w:rsidR="00A34647" w:rsidRPr="008A3265">
        <w:rPr>
          <w:rFonts w:ascii="Brill" w:eastAsia="Calibri" w:hAnsi="Brill" w:cs="Calibri"/>
          <w:lang w:val="id-ID"/>
        </w:rPr>
        <w:t>keduanya</w:t>
      </w:r>
      <w:r w:rsidRPr="008A3265">
        <w:rPr>
          <w:rFonts w:ascii="Brill" w:eastAsia="Calibri" w:hAnsi="Brill" w:cs="Calibri"/>
          <w:lang w:val="id-ID"/>
        </w:rPr>
        <w:t xml:space="preserve">. </w:t>
      </w:r>
      <w:r w:rsidR="00572D66">
        <w:rPr>
          <w:rFonts w:ascii="Brill" w:eastAsia="Calibri" w:hAnsi="Brill" w:cs="Calibri"/>
          <w:lang w:val="en-US"/>
        </w:rPr>
        <w:t>Reinterpretasi mulai dilakukan dalam menegosiasikan syariah dan HAM sebagaimana dipengaruhi oleh pemikir Islam, Abdullahi Ahmed An-Na’im.</w:t>
      </w:r>
      <w:r w:rsidR="00572D66">
        <w:rPr>
          <w:rStyle w:val="FootnoteReference"/>
          <w:rFonts w:ascii="Brill" w:eastAsia="Calibri" w:hAnsi="Brill" w:cs="Calibri"/>
          <w:lang w:val="en-US"/>
        </w:rPr>
        <w:footnoteReference w:id="35"/>
      </w:r>
      <w:r w:rsidR="00572D66">
        <w:rPr>
          <w:rFonts w:ascii="Brill" w:eastAsia="Calibri" w:hAnsi="Brill" w:cs="Calibri"/>
          <w:lang w:val="en-US"/>
        </w:rPr>
        <w:t xml:space="preserve"> </w:t>
      </w:r>
      <w:r w:rsidR="002A4DDA" w:rsidRPr="008A3265">
        <w:rPr>
          <w:rFonts w:ascii="Brill" w:eastAsia="Calibri" w:hAnsi="Brill" w:cs="Calibri"/>
          <w:lang w:val="id-ID"/>
        </w:rPr>
        <w:t>Masyarakat sipil</w:t>
      </w:r>
      <w:r w:rsidRPr="008A3265">
        <w:rPr>
          <w:rFonts w:ascii="Brill" w:eastAsia="Calibri" w:hAnsi="Brill" w:cs="Calibri"/>
          <w:lang w:val="id-ID"/>
        </w:rPr>
        <w:t xml:space="preserve"> mulai bertemu dengan korban-korban kekerasan konflik untuk memetakan serta merefleksikan </w:t>
      </w:r>
      <w:r w:rsidR="00A34647" w:rsidRPr="008A3265">
        <w:rPr>
          <w:rFonts w:ascii="Brill" w:eastAsia="Calibri" w:hAnsi="Brill" w:cs="Calibri"/>
          <w:lang w:val="id-ID"/>
        </w:rPr>
        <w:t>ketimpangan</w:t>
      </w:r>
      <w:r w:rsidRPr="008A3265">
        <w:rPr>
          <w:rFonts w:ascii="Brill" w:eastAsia="Calibri" w:hAnsi="Brill" w:cs="Calibri"/>
          <w:lang w:val="id-ID"/>
        </w:rPr>
        <w:t xml:space="preserve"> identitas yang selama ini terbangun.</w:t>
      </w:r>
      <w:r w:rsidR="00DE1705" w:rsidRPr="008A3265">
        <w:rPr>
          <w:rFonts w:ascii="Brill" w:eastAsia="Calibri" w:hAnsi="Brill" w:cs="Calibri"/>
          <w:lang w:val="id-ID"/>
        </w:rPr>
        <w:t xml:space="preserve"> Perlahan-lahan gerakan ini mulai mengembangkan paradigmanya ke arah teori kritis untuk merangkul para korban serta mengangkatnya keluar dari kondisi ketimpangan identitas. Mereka menciptakan suatu kesadaran baru bahwa ketimpangan identitas (akibat konflik) harus diredam melalui gerakan kebudayaan bersama, pendidikan toleransi, pendidikan HAM, festival-festival budaya, pluralisme kewargaan, </w:t>
      </w:r>
      <w:r w:rsidR="00572D66">
        <w:rPr>
          <w:rFonts w:ascii="Brill" w:eastAsia="Calibri" w:hAnsi="Brill" w:cs="Calibri"/>
          <w:lang w:val="en-US"/>
        </w:rPr>
        <w:t xml:space="preserve">kebebasan Bergama, dialog agama, reinterpretasi pemikiran hukum Islam terhadap HAM, </w:t>
      </w:r>
      <w:r w:rsidR="00DE1705" w:rsidRPr="008A3265">
        <w:rPr>
          <w:rFonts w:ascii="Brill" w:eastAsia="Calibri" w:hAnsi="Brill" w:cs="Calibri"/>
          <w:lang w:val="id-ID"/>
        </w:rPr>
        <w:t>dan dialog multikultural. Dari sinilah ketimpangan identitas tersebut dapat terurai untuk mencegah keberulangan konflik</w:t>
      </w:r>
      <w:r w:rsidR="00A34647" w:rsidRPr="008A3265">
        <w:rPr>
          <w:rFonts w:ascii="Brill" w:eastAsia="Calibri" w:hAnsi="Brill" w:cs="Calibri"/>
          <w:lang w:val="id-ID"/>
        </w:rPr>
        <w:t>.</w:t>
      </w:r>
      <w:r w:rsidR="00AF37D1" w:rsidRPr="008A3265">
        <w:rPr>
          <w:rFonts w:ascii="Brill" w:eastAsia="Calibri" w:hAnsi="Brill" w:cs="Calibri"/>
          <w:lang w:val="id-ID"/>
        </w:rPr>
        <w:t xml:space="preserve"> Secara lebih jelas, relasi </w:t>
      </w:r>
      <w:r w:rsidR="001A2F96" w:rsidRPr="008A3265">
        <w:rPr>
          <w:rFonts w:ascii="Brill" w:eastAsia="Calibri" w:hAnsi="Brill" w:cs="Calibri"/>
          <w:lang w:val="id-ID"/>
        </w:rPr>
        <w:t>paradigmatis</w:t>
      </w:r>
      <w:r w:rsidR="00AF37D1" w:rsidRPr="008A3265">
        <w:rPr>
          <w:rFonts w:ascii="Brill" w:eastAsia="Calibri" w:hAnsi="Brill" w:cs="Calibri"/>
          <w:lang w:val="id-ID"/>
        </w:rPr>
        <w:t xml:space="preserve"> diuraikan dalam tabel di bawah ini.</w:t>
      </w:r>
      <w:r w:rsidR="00AF37D1" w:rsidRPr="008A3265">
        <w:rPr>
          <w:rStyle w:val="FootnoteReference"/>
          <w:rFonts w:ascii="Brill" w:eastAsia="Calibri" w:hAnsi="Brill" w:cs="Calibri"/>
          <w:lang w:val="id-ID"/>
        </w:rPr>
        <w:footnoteReference w:id="36"/>
      </w:r>
    </w:p>
    <w:p w14:paraId="3FD248F9" w14:textId="42430506" w:rsidR="004B5206" w:rsidRPr="008A3265" w:rsidRDefault="004B5206" w:rsidP="00826DC1">
      <w:pPr>
        <w:jc w:val="center"/>
        <w:rPr>
          <w:rFonts w:ascii="Brill" w:eastAsia="Calibri" w:hAnsi="Brill" w:cs="Calibri"/>
          <w:b/>
          <w:bCs/>
          <w:lang w:val="id-ID"/>
        </w:rPr>
      </w:pPr>
      <w:r w:rsidRPr="008A3265">
        <w:rPr>
          <w:rFonts w:ascii="Brill" w:eastAsia="Calibri" w:hAnsi="Brill" w:cs="Calibri"/>
          <w:b/>
          <w:bCs/>
          <w:lang w:val="id-ID"/>
        </w:rPr>
        <w:t>Tabel 4. Toleransi dan Kota HAM dalam relasi Paradigmati</w:t>
      </w:r>
      <w:r w:rsidR="002A4DDA" w:rsidRPr="008A3265">
        <w:rPr>
          <w:rFonts w:ascii="Brill" w:eastAsia="Calibri" w:hAnsi="Brill" w:cs="Calibri"/>
          <w:b/>
          <w:bCs/>
          <w:lang w:val="id-ID"/>
        </w:rPr>
        <w:t>s</w:t>
      </w:r>
    </w:p>
    <w:tbl>
      <w:tblPr>
        <w:tblStyle w:val="PlainTable2"/>
        <w:tblW w:w="0" w:type="auto"/>
        <w:tblLook w:val="04A0" w:firstRow="1" w:lastRow="0" w:firstColumn="1" w:lastColumn="0" w:noHBand="0" w:noVBand="1"/>
      </w:tblPr>
      <w:tblGrid>
        <w:gridCol w:w="704"/>
        <w:gridCol w:w="2835"/>
        <w:gridCol w:w="5471"/>
      </w:tblGrid>
      <w:tr w:rsidR="004B5206" w:rsidRPr="008A3265" w14:paraId="692D894C" w14:textId="77777777" w:rsidTr="0057021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4" w:type="dxa"/>
          </w:tcPr>
          <w:p w14:paraId="1E2877F6" w14:textId="71A60B52" w:rsidR="004B5206" w:rsidRPr="008A3265" w:rsidRDefault="004B5206" w:rsidP="00826DC1">
            <w:pPr>
              <w:jc w:val="both"/>
              <w:rPr>
                <w:rFonts w:ascii="Brill" w:eastAsia="Calibri" w:hAnsi="Brill" w:cs="Calibri"/>
                <w:lang w:val="id-ID"/>
              </w:rPr>
            </w:pPr>
            <w:r w:rsidRPr="008A3265">
              <w:rPr>
                <w:rFonts w:ascii="Brill" w:eastAsia="Calibri" w:hAnsi="Brill" w:cs="Calibri"/>
                <w:lang w:val="id-ID"/>
              </w:rPr>
              <w:t>No.</w:t>
            </w:r>
          </w:p>
        </w:tc>
        <w:tc>
          <w:tcPr>
            <w:tcW w:w="2835" w:type="dxa"/>
          </w:tcPr>
          <w:p w14:paraId="118ED2D0" w14:textId="60365B29" w:rsidR="004B5206" w:rsidRPr="008A3265" w:rsidRDefault="004B5206" w:rsidP="00826DC1">
            <w:pPr>
              <w:jc w:val="both"/>
              <w:cnfStyle w:val="100000000000" w:firstRow="1" w:lastRow="0" w:firstColumn="0" w:lastColumn="0" w:oddVBand="0" w:evenVBand="0" w:oddHBand="0"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Paradigma</w:t>
            </w:r>
          </w:p>
        </w:tc>
        <w:tc>
          <w:tcPr>
            <w:tcW w:w="5471" w:type="dxa"/>
          </w:tcPr>
          <w:p w14:paraId="2F3A431D" w14:textId="07B1A092" w:rsidR="004B5206" w:rsidRPr="008A3265" w:rsidRDefault="004B5206" w:rsidP="00826DC1">
            <w:pPr>
              <w:jc w:val="both"/>
              <w:cnfStyle w:val="100000000000" w:firstRow="1" w:lastRow="0" w:firstColumn="0" w:lastColumn="0" w:oddVBand="0" w:evenVBand="0" w:oddHBand="0"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Penjelasan</w:t>
            </w:r>
          </w:p>
        </w:tc>
      </w:tr>
      <w:tr w:rsidR="004B5206" w:rsidRPr="008A3265" w14:paraId="26263EC8" w14:textId="77777777" w:rsidTr="00E10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2F919AE" w14:textId="2821E7E6" w:rsidR="004B5206" w:rsidRPr="008A3265" w:rsidRDefault="004B5206" w:rsidP="00826DC1">
            <w:pPr>
              <w:jc w:val="both"/>
              <w:rPr>
                <w:rFonts w:ascii="Brill" w:eastAsia="Calibri" w:hAnsi="Brill" w:cs="Calibri"/>
                <w:lang w:val="id-ID"/>
              </w:rPr>
            </w:pPr>
            <w:r w:rsidRPr="008A3265">
              <w:rPr>
                <w:rFonts w:ascii="Brill" w:eastAsia="Calibri" w:hAnsi="Brill" w:cs="Calibri"/>
                <w:lang w:val="id-ID"/>
              </w:rPr>
              <w:t>1.</w:t>
            </w:r>
          </w:p>
        </w:tc>
        <w:tc>
          <w:tcPr>
            <w:tcW w:w="2835" w:type="dxa"/>
          </w:tcPr>
          <w:p w14:paraId="795ADF5B" w14:textId="6F1A9D60" w:rsidR="004B5206" w:rsidRPr="008A3265" w:rsidRDefault="004B5206" w:rsidP="00826DC1">
            <w:pPr>
              <w:jc w:val="both"/>
              <w:cnfStyle w:val="000000100000" w:firstRow="0" w:lastRow="0" w:firstColumn="0" w:lastColumn="0" w:oddVBand="0" w:evenVBand="0" w:oddHBand="1"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Positivisme</w:t>
            </w:r>
          </w:p>
        </w:tc>
        <w:tc>
          <w:tcPr>
            <w:tcW w:w="5471" w:type="dxa"/>
          </w:tcPr>
          <w:p w14:paraId="2E379A46" w14:textId="0DC3BDCA" w:rsidR="004B5206" w:rsidRPr="008A3265" w:rsidRDefault="00503F3E" w:rsidP="00826DC1">
            <w:pPr>
              <w:jc w:val="both"/>
              <w:cnfStyle w:val="000000100000" w:firstRow="0" w:lastRow="0" w:firstColumn="0" w:lastColumn="0" w:oddVBand="0" w:evenVBand="0" w:oddHBand="1"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 xml:space="preserve">Sebagai sistem kepercayaan yang dianut oleh </w:t>
            </w:r>
            <w:r w:rsidR="002A4DDA" w:rsidRPr="008A3265">
              <w:rPr>
                <w:rFonts w:ascii="Brill" w:eastAsia="Calibri" w:hAnsi="Brill" w:cs="Calibri"/>
                <w:lang w:val="id-ID"/>
              </w:rPr>
              <w:t>aktor negara</w:t>
            </w:r>
            <w:r w:rsidRPr="008A3265">
              <w:rPr>
                <w:rFonts w:ascii="Brill" w:eastAsia="Calibri" w:hAnsi="Brill" w:cs="Calibri"/>
                <w:lang w:val="id-ID"/>
              </w:rPr>
              <w:t xml:space="preserve"> dan sebagian besar warga kota mengenai bagaimana seharusnya toleransi dan HAM itu bekerja. Efek dari paradigma ini adalah ketimpangan identitas terus terjaga.</w:t>
            </w:r>
          </w:p>
        </w:tc>
      </w:tr>
      <w:tr w:rsidR="004B5206" w:rsidRPr="008A3265" w14:paraId="503B1B5F" w14:textId="77777777" w:rsidTr="00E104A2">
        <w:tc>
          <w:tcPr>
            <w:cnfStyle w:val="001000000000" w:firstRow="0" w:lastRow="0" w:firstColumn="1" w:lastColumn="0" w:oddVBand="0" w:evenVBand="0" w:oddHBand="0" w:evenHBand="0" w:firstRowFirstColumn="0" w:firstRowLastColumn="0" w:lastRowFirstColumn="0" w:lastRowLastColumn="0"/>
            <w:tcW w:w="704" w:type="dxa"/>
          </w:tcPr>
          <w:p w14:paraId="24433FD9" w14:textId="0C9CEB7E" w:rsidR="004B5206" w:rsidRPr="008A3265" w:rsidRDefault="004B5206" w:rsidP="00826DC1">
            <w:pPr>
              <w:jc w:val="both"/>
              <w:rPr>
                <w:rFonts w:ascii="Brill" w:eastAsia="Calibri" w:hAnsi="Brill" w:cs="Calibri"/>
                <w:lang w:val="id-ID"/>
              </w:rPr>
            </w:pPr>
            <w:r w:rsidRPr="008A3265">
              <w:rPr>
                <w:rFonts w:ascii="Brill" w:eastAsia="Calibri" w:hAnsi="Brill" w:cs="Calibri"/>
                <w:lang w:val="id-ID"/>
              </w:rPr>
              <w:t>2.</w:t>
            </w:r>
          </w:p>
        </w:tc>
        <w:tc>
          <w:tcPr>
            <w:tcW w:w="2835" w:type="dxa"/>
          </w:tcPr>
          <w:p w14:paraId="42F51C5B" w14:textId="1154B042" w:rsidR="004B5206" w:rsidRPr="008A3265" w:rsidRDefault="004B5206" w:rsidP="00826DC1">
            <w:pPr>
              <w:jc w:val="both"/>
              <w:cnfStyle w:val="000000000000" w:firstRow="0" w:lastRow="0" w:firstColumn="0" w:lastColumn="0" w:oddVBand="0" w:evenVBand="0" w:oddHBand="0"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Pospositivisme</w:t>
            </w:r>
          </w:p>
        </w:tc>
        <w:tc>
          <w:tcPr>
            <w:tcW w:w="5471" w:type="dxa"/>
          </w:tcPr>
          <w:p w14:paraId="504DB58F" w14:textId="51BA9864" w:rsidR="004B5206" w:rsidRPr="008A3265" w:rsidRDefault="00503F3E" w:rsidP="00826DC1">
            <w:pPr>
              <w:jc w:val="both"/>
              <w:cnfStyle w:val="000000000000" w:firstRow="0" w:lastRow="0" w:firstColumn="0" w:lastColumn="0" w:oddVBand="0" w:evenVBand="0" w:oddHBand="0"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 xml:space="preserve">Mulai tumbuh gerakan refleksi kritis esensi toleransi dan HAM serta bagaimana seharusnya keduany dielaborasikan dalam pluralisme kewargaan. </w:t>
            </w:r>
          </w:p>
        </w:tc>
      </w:tr>
      <w:tr w:rsidR="004B5206" w:rsidRPr="008A3265" w14:paraId="3B206520" w14:textId="77777777" w:rsidTr="00E10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695DEFC" w14:textId="3D9A3351" w:rsidR="004B5206" w:rsidRPr="008A3265" w:rsidRDefault="004B5206" w:rsidP="00826DC1">
            <w:pPr>
              <w:jc w:val="both"/>
              <w:rPr>
                <w:rFonts w:ascii="Brill" w:eastAsia="Calibri" w:hAnsi="Brill" w:cs="Calibri"/>
                <w:lang w:val="id-ID"/>
              </w:rPr>
            </w:pPr>
            <w:r w:rsidRPr="008A3265">
              <w:rPr>
                <w:rFonts w:ascii="Brill" w:eastAsia="Calibri" w:hAnsi="Brill" w:cs="Calibri"/>
                <w:lang w:val="id-ID"/>
              </w:rPr>
              <w:t>3.</w:t>
            </w:r>
          </w:p>
        </w:tc>
        <w:tc>
          <w:tcPr>
            <w:tcW w:w="2835" w:type="dxa"/>
          </w:tcPr>
          <w:p w14:paraId="3E982A5C" w14:textId="7152F29F" w:rsidR="004B5206" w:rsidRPr="008A3265" w:rsidRDefault="004B5206" w:rsidP="00826DC1">
            <w:pPr>
              <w:jc w:val="both"/>
              <w:cnfStyle w:val="000000100000" w:firstRow="0" w:lastRow="0" w:firstColumn="0" w:lastColumn="0" w:oddVBand="0" w:evenVBand="0" w:oddHBand="1"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Teori Kritis</w:t>
            </w:r>
          </w:p>
        </w:tc>
        <w:tc>
          <w:tcPr>
            <w:tcW w:w="5471" w:type="dxa"/>
          </w:tcPr>
          <w:p w14:paraId="6E9DE9D4" w14:textId="29274356" w:rsidR="004B5206" w:rsidRPr="00572D66" w:rsidRDefault="00503F3E" w:rsidP="00826DC1">
            <w:pPr>
              <w:jc w:val="both"/>
              <w:cnfStyle w:val="000000100000" w:firstRow="0" w:lastRow="0" w:firstColumn="0" w:lastColumn="0" w:oddVBand="0" w:evenVBand="0" w:oddHBand="1" w:evenHBand="0" w:firstRowFirstColumn="0" w:firstRowLastColumn="0" w:lastRowFirstColumn="0" w:lastRowLastColumn="0"/>
              <w:rPr>
                <w:rFonts w:ascii="Brill" w:eastAsia="Calibri" w:hAnsi="Brill" w:cs="Calibri"/>
                <w:lang w:val="en-US"/>
              </w:rPr>
            </w:pPr>
            <w:r w:rsidRPr="008A3265">
              <w:rPr>
                <w:rFonts w:ascii="Brill" w:eastAsia="Calibri" w:hAnsi="Brill" w:cs="Calibri"/>
                <w:lang w:val="id-ID"/>
              </w:rPr>
              <w:t>Membangun gerakan kesadaran baru untuk keluar dari kondisi ketimpangan st</w:t>
            </w:r>
            <w:r w:rsidR="002A6F93" w:rsidRPr="008A3265">
              <w:rPr>
                <w:rFonts w:ascii="Brill" w:eastAsia="Calibri" w:hAnsi="Brill" w:cs="Calibri"/>
                <w:lang w:val="id-ID"/>
              </w:rPr>
              <w:t>ru</w:t>
            </w:r>
            <w:r w:rsidRPr="008A3265">
              <w:rPr>
                <w:rFonts w:ascii="Brill" w:eastAsia="Calibri" w:hAnsi="Brill" w:cs="Calibri"/>
                <w:lang w:val="id-ID"/>
              </w:rPr>
              <w:t>ktural melalui partisipasi publik dalam tata kelola pemerintahan dan penyusunan kebijakan, khususnya berfokus pada institusionalisasi toleransi.</w:t>
            </w:r>
            <w:r w:rsidR="00572D66">
              <w:rPr>
                <w:rFonts w:ascii="Brill" w:eastAsia="Calibri" w:hAnsi="Brill" w:cs="Calibri"/>
                <w:lang w:val="en-US"/>
              </w:rPr>
              <w:t xml:space="preserve"> Dalam konteks syariah, </w:t>
            </w:r>
            <w:r w:rsidR="00572D66">
              <w:rPr>
                <w:rFonts w:ascii="Brill" w:eastAsia="Calibri" w:hAnsi="Brill" w:cs="Calibri"/>
                <w:lang w:val="en-US"/>
              </w:rPr>
              <w:lastRenderedPageBreak/>
              <w:t>reinterpretasi dilakukan untuk menegosiasikan syariah dan HAM.</w:t>
            </w:r>
          </w:p>
        </w:tc>
      </w:tr>
      <w:tr w:rsidR="004B5206" w:rsidRPr="008A3265" w14:paraId="541AA987" w14:textId="77777777" w:rsidTr="00E104A2">
        <w:tc>
          <w:tcPr>
            <w:cnfStyle w:val="001000000000" w:firstRow="0" w:lastRow="0" w:firstColumn="1" w:lastColumn="0" w:oddVBand="0" w:evenVBand="0" w:oddHBand="0" w:evenHBand="0" w:firstRowFirstColumn="0" w:firstRowLastColumn="0" w:lastRowFirstColumn="0" w:lastRowLastColumn="0"/>
            <w:tcW w:w="704" w:type="dxa"/>
          </w:tcPr>
          <w:p w14:paraId="64D440E2" w14:textId="69D408FF" w:rsidR="004B5206" w:rsidRPr="008A3265" w:rsidRDefault="004B5206" w:rsidP="00826DC1">
            <w:pPr>
              <w:jc w:val="both"/>
              <w:rPr>
                <w:rFonts w:ascii="Brill" w:eastAsia="Calibri" w:hAnsi="Brill" w:cs="Calibri"/>
                <w:lang w:val="id-ID"/>
              </w:rPr>
            </w:pPr>
            <w:r w:rsidRPr="008A3265">
              <w:rPr>
                <w:rFonts w:ascii="Brill" w:eastAsia="Calibri" w:hAnsi="Brill" w:cs="Calibri"/>
                <w:lang w:val="id-ID"/>
              </w:rPr>
              <w:lastRenderedPageBreak/>
              <w:t>4.</w:t>
            </w:r>
          </w:p>
        </w:tc>
        <w:tc>
          <w:tcPr>
            <w:tcW w:w="2835" w:type="dxa"/>
          </w:tcPr>
          <w:p w14:paraId="3DCA0A26" w14:textId="1EF4D5DE" w:rsidR="004B5206" w:rsidRPr="008A3265" w:rsidRDefault="004B5206" w:rsidP="00826DC1">
            <w:pPr>
              <w:jc w:val="both"/>
              <w:cnfStyle w:val="000000000000" w:firstRow="0" w:lastRow="0" w:firstColumn="0" w:lastColumn="0" w:oddVBand="0" w:evenVBand="0" w:oddHBand="0"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Konstruktivisme</w:t>
            </w:r>
          </w:p>
        </w:tc>
        <w:tc>
          <w:tcPr>
            <w:tcW w:w="5471" w:type="dxa"/>
          </w:tcPr>
          <w:p w14:paraId="0AF42ACD" w14:textId="5A75C051" w:rsidR="004B5206" w:rsidRPr="008A3265" w:rsidRDefault="00503F3E" w:rsidP="00826DC1">
            <w:pPr>
              <w:jc w:val="both"/>
              <w:cnfStyle w:val="000000000000" w:firstRow="0" w:lastRow="0" w:firstColumn="0" w:lastColumn="0" w:oddVBand="0" w:evenVBand="0" w:oddHBand="0" w:evenHBand="0" w:firstRowFirstColumn="0" w:firstRowLastColumn="0" w:lastRowFirstColumn="0" w:lastRowLastColumn="0"/>
              <w:rPr>
                <w:rFonts w:ascii="Brill" w:eastAsia="Calibri" w:hAnsi="Brill" w:cs="Calibri"/>
                <w:lang w:val="id-ID"/>
              </w:rPr>
            </w:pPr>
            <w:r w:rsidRPr="008A3265">
              <w:rPr>
                <w:rFonts w:ascii="Brill" w:eastAsia="Calibri" w:hAnsi="Brill" w:cs="Calibri"/>
                <w:lang w:val="id-ID"/>
              </w:rPr>
              <w:t xml:space="preserve">Sebagai hasil akhir yang belum dapat diprediksi, namun paradigma ini akan muncul manakala semua pihak membangun sinergi dalam perbaikan tata kelola pemerintahan, penyusunan kebijakan berbasis pengarusutamaan HAM dan </w:t>
            </w:r>
            <w:r w:rsidR="00C644FF" w:rsidRPr="008A3265">
              <w:rPr>
                <w:rFonts w:ascii="Brill" w:eastAsia="Calibri" w:hAnsi="Brill" w:cs="Calibri"/>
                <w:lang w:val="id-ID"/>
              </w:rPr>
              <w:t>toleransi.</w:t>
            </w:r>
          </w:p>
        </w:tc>
      </w:tr>
    </w:tbl>
    <w:p w14:paraId="672D1657" w14:textId="10C50408" w:rsidR="00E104A2" w:rsidRPr="008A3265" w:rsidRDefault="00E104A2" w:rsidP="00826DC1">
      <w:pPr>
        <w:jc w:val="both"/>
        <w:rPr>
          <w:rFonts w:ascii="Brill" w:eastAsia="Calibri" w:hAnsi="Brill" w:cs="Calibri"/>
          <w:lang w:val="id-ID"/>
        </w:rPr>
      </w:pPr>
      <w:r w:rsidRPr="008A3265">
        <w:rPr>
          <w:rFonts w:ascii="Brill" w:eastAsia="Calibri" w:hAnsi="Brill" w:cs="Calibri"/>
          <w:lang w:val="id-ID"/>
        </w:rPr>
        <w:t>Sumber: diolah peneliti</w:t>
      </w:r>
    </w:p>
    <w:p w14:paraId="6E4BC6C7" w14:textId="77777777" w:rsidR="0057487C" w:rsidRDefault="0057487C" w:rsidP="00826DC1">
      <w:pPr>
        <w:ind w:firstLine="720"/>
        <w:jc w:val="both"/>
        <w:rPr>
          <w:rFonts w:ascii="Brill" w:eastAsia="Calibri" w:hAnsi="Brill" w:cs="Calibri"/>
          <w:lang w:val="id-ID"/>
        </w:rPr>
      </w:pPr>
    </w:p>
    <w:p w14:paraId="1205DBC3" w14:textId="324DD0B0" w:rsidR="00E104A2" w:rsidRPr="008A3265" w:rsidRDefault="00A34647" w:rsidP="00826DC1">
      <w:pPr>
        <w:ind w:firstLine="720"/>
        <w:jc w:val="both"/>
        <w:rPr>
          <w:rFonts w:ascii="Brill" w:eastAsia="Calibri" w:hAnsi="Brill" w:cs="Calibri"/>
          <w:lang w:val="id-ID"/>
        </w:rPr>
      </w:pPr>
      <w:r w:rsidRPr="008A3265">
        <w:rPr>
          <w:rFonts w:ascii="Brill" w:eastAsia="Calibri" w:hAnsi="Brill" w:cs="Calibri"/>
          <w:lang w:val="id-ID"/>
        </w:rPr>
        <w:t xml:space="preserve">Pada akhirnya </w:t>
      </w:r>
      <w:r w:rsidR="002A4DDA" w:rsidRPr="008A3265">
        <w:rPr>
          <w:rFonts w:ascii="Brill" w:eastAsia="Calibri" w:hAnsi="Brill" w:cs="Calibri"/>
          <w:lang w:val="id-ID"/>
        </w:rPr>
        <w:t>masyarakat sipil</w:t>
      </w:r>
      <w:r w:rsidRPr="008A3265">
        <w:rPr>
          <w:rFonts w:ascii="Brill" w:eastAsia="Calibri" w:hAnsi="Brill" w:cs="Calibri"/>
          <w:lang w:val="id-ID"/>
        </w:rPr>
        <w:t xml:space="preserve"> sepakat bahwa upaya tersebut tidak akan berhasil jika hanya mengandalkan gerakan-gerakan kecil. Dibutuhkan pelembagaan melalui suatu kebijakan yang terencana dan efektif agar gerakan tersebut dapat meluas sebagai suatu bagian dari pluralisme kewargaan suatu kota. Melalui institusionalisasi toleransi, </w:t>
      </w:r>
      <w:r w:rsidR="002A4DDA" w:rsidRPr="008A3265">
        <w:rPr>
          <w:rFonts w:ascii="Brill" w:eastAsia="Calibri" w:hAnsi="Brill" w:cs="Calibri"/>
          <w:lang w:val="id-ID"/>
        </w:rPr>
        <w:t>masyarakat sipil</w:t>
      </w:r>
      <w:r w:rsidRPr="008A3265">
        <w:rPr>
          <w:rFonts w:ascii="Brill" w:eastAsia="Calibri" w:hAnsi="Brill" w:cs="Calibri"/>
          <w:lang w:val="id-ID"/>
        </w:rPr>
        <w:t xml:space="preserve"> ingin berpartisipasi aktif dalam proses penyusunan kebijakan </w:t>
      </w:r>
      <w:r w:rsidR="004B5206" w:rsidRPr="008A3265">
        <w:rPr>
          <w:rFonts w:ascii="Brill" w:eastAsia="Calibri" w:hAnsi="Brill" w:cs="Calibri"/>
          <w:lang w:val="id-ID"/>
        </w:rPr>
        <w:t xml:space="preserve">ruang hidup kota Pontianak agar kolaborasi dapat terbangun antara pemerintah daerah bersama warga, komunitas, dan lembaga swadaya masyarakat demi menumbuhkan pemahaman bersama bahwa setiap warga Kota Pontianak harus sadar akan hak-haknya dan sadar akan hak-hak orang lain. </w:t>
      </w:r>
    </w:p>
    <w:p w14:paraId="113D9A91" w14:textId="17F78C72" w:rsidR="00515AAB" w:rsidRPr="00572D66" w:rsidRDefault="00641AE9" w:rsidP="00826DC1">
      <w:pPr>
        <w:ind w:firstLine="720"/>
        <w:jc w:val="both"/>
        <w:rPr>
          <w:rFonts w:ascii="Brill" w:eastAsia="Calibri" w:hAnsi="Brill" w:cs="Calibri"/>
          <w:lang w:val="en-US"/>
        </w:rPr>
      </w:pPr>
      <w:r w:rsidRPr="008A3265">
        <w:rPr>
          <w:rFonts w:ascii="Brill" w:eastAsia="Calibri" w:hAnsi="Brill" w:cs="Calibri"/>
          <w:lang w:val="id-ID"/>
        </w:rPr>
        <w:t xml:space="preserve">Pada kondisi ini, sesungguhnya paradigma mulai bergeser ke arah konstruktivisme mengingat toleransi dan HAM mulai direinterpretasikan bersama. Dua proses penting yang dikemukakan oleh Guba </w:t>
      </w:r>
      <w:r w:rsidR="006F53BA" w:rsidRPr="008A3265">
        <w:rPr>
          <w:rFonts w:ascii="Brill" w:eastAsia="Calibri" w:hAnsi="Brill" w:cs="Calibri"/>
          <w:lang w:val="id-ID"/>
        </w:rPr>
        <w:t xml:space="preserve">dan Lincoln </w:t>
      </w:r>
      <w:r w:rsidRPr="008A3265">
        <w:rPr>
          <w:rFonts w:ascii="Brill" w:eastAsia="Calibri" w:hAnsi="Brill" w:cs="Calibri"/>
          <w:lang w:val="id-ID"/>
        </w:rPr>
        <w:t>adalah bahwa konstruktivisme membutuhkan dua alat yakni hermeneutika dan dialektika.</w:t>
      </w:r>
      <w:r w:rsidR="006F53BA" w:rsidRPr="008A3265">
        <w:rPr>
          <w:rStyle w:val="FootnoteReference"/>
          <w:rFonts w:ascii="Brill" w:eastAsia="Calibri" w:hAnsi="Brill" w:cs="Calibri"/>
          <w:lang w:val="id-ID"/>
        </w:rPr>
        <w:footnoteReference w:id="37"/>
      </w:r>
      <w:r w:rsidRPr="008A3265">
        <w:rPr>
          <w:rFonts w:ascii="Brill" w:eastAsia="Calibri" w:hAnsi="Brill" w:cs="Calibri"/>
          <w:lang w:val="id-ID"/>
        </w:rPr>
        <w:t xml:space="preserve"> Dua alat tersebut elan vital dalam membangun pemahaman bersama yang konstruktif dan transformatif. Konstruktivisme akan</w:t>
      </w:r>
      <w:r w:rsidR="004B5206" w:rsidRPr="008A3265">
        <w:rPr>
          <w:rFonts w:ascii="Brill" w:eastAsia="Calibri" w:hAnsi="Brill" w:cs="Calibri"/>
          <w:lang w:val="id-ID"/>
        </w:rPr>
        <w:t xml:space="preserve"> menjadi pintu masuk bagi seluruh elemen untuk menyadari bahwa hak suatu kota harus dibangun dalam </w:t>
      </w:r>
      <w:r w:rsidRPr="008A3265">
        <w:rPr>
          <w:rFonts w:ascii="Brill" w:eastAsia="Calibri" w:hAnsi="Brill" w:cs="Calibri"/>
          <w:lang w:val="id-ID"/>
        </w:rPr>
        <w:t>sinergitas seluruh elemen</w:t>
      </w:r>
      <w:r w:rsidR="004B5206" w:rsidRPr="008A3265">
        <w:rPr>
          <w:rFonts w:ascii="Brill" w:eastAsia="Calibri" w:hAnsi="Brill" w:cs="Calibri"/>
          <w:lang w:val="id-ID"/>
        </w:rPr>
        <w:t xml:space="preserve"> demi akselerasi menuju Kota </w:t>
      </w:r>
      <w:r w:rsidRPr="008A3265">
        <w:rPr>
          <w:rFonts w:ascii="Brill" w:eastAsia="Calibri" w:hAnsi="Brill" w:cs="Calibri"/>
          <w:lang w:val="id-ID"/>
        </w:rPr>
        <w:t xml:space="preserve">Pontianak </w:t>
      </w:r>
      <w:r w:rsidR="004B5206" w:rsidRPr="008A3265">
        <w:rPr>
          <w:rFonts w:ascii="Brill" w:eastAsia="Calibri" w:hAnsi="Brill" w:cs="Calibri"/>
          <w:lang w:val="id-ID"/>
        </w:rPr>
        <w:t>Peduli HAM</w:t>
      </w:r>
      <w:r w:rsidRPr="008A3265">
        <w:rPr>
          <w:rFonts w:ascii="Brill" w:eastAsia="Calibri" w:hAnsi="Brill" w:cs="Calibri"/>
          <w:lang w:val="id-ID"/>
        </w:rPr>
        <w:t xml:space="preserve"> di masa mendatang</w:t>
      </w:r>
      <w:r w:rsidR="004B5206" w:rsidRPr="008A3265">
        <w:rPr>
          <w:rFonts w:ascii="Brill" w:eastAsia="Calibri" w:hAnsi="Brill" w:cs="Calibri"/>
          <w:lang w:val="id-ID"/>
        </w:rPr>
        <w:t>.</w:t>
      </w:r>
      <w:r w:rsidR="00572D66">
        <w:rPr>
          <w:rFonts w:ascii="Brill" w:eastAsia="Calibri" w:hAnsi="Brill" w:cs="Calibri"/>
          <w:lang w:val="en-US"/>
        </w:rPr>
        <w:t xml:space="preserve"> Argumentasi penulis bahwa sentimen yang dibangun oleh aktor negara </w:t>
      </w:r>
      <w:r w:rsidR="00930387">
        <w:rPr>
          <w:rFonts w:ascii="Brill" w:eastAsia="Calibri" w:hAnsi="Brill" w:cs="Calibri"/>
          <w:lang w:val="en-US"/>
        </w:rPr>
        <w:t xml:space="preserve">justru </w:t>
      </w:r>
      <w:r w:rsidR="00572D66">
        <w:rPr>
          <w:rFonts w:ascii="Brill" w:eastAsia="Calibri" w:hAnsi="Brill" w:cs="Calibri"/>
          <w:lang w:val="en-US"/>
        </w:rPr>
        <w:t xml:space="preserve">kontraproduktif </w:t>
      </w:r>
      <w:r w:rsidR="00930387">
        <w:rPr>
          <w:rFonts w:ascii="Brill" w:eastAsia="Calibri" w:hAnsi="Brill" w:cs="Calibri"/>
          <w:lang w:val="en-US"/>
        </w:rPr>
        <w:t>terhadap semangat nilai-nilai kemanusiaan yang menjadi spirit pemberkuan hukum Islam. Baik syariah maupun HAM sejatinya kompatibel dan seharusnya menjadi katalisator bagi penyusunan kebijakan daerah dan akseptasi terhadap partisipasi yang bermakna dalam pembangunan Kota Pontianak menuju Kota HAM.</w:t>
      </w:r>
    </w:p>
    <w:p w14:paraId="7DC78086" w14:textId="699A9E9F" w:rsidR="00515AAB" w:rsidRPr="008A3265" w:rsidRDefault="00515AAB" w:rsidP="00826DC1">
      <w:pPr>
        <w:ind w:firstLine="720"/>
        <w:jc w:val="both"/>
        <w:rPr>
          <w:rFonts w:ascii="Brill" w:eastAsia="Calibri" w:hAnsi="Brill" w:cs="Calibri"/>
          <w:lang w:val="id-ID"/>
        </w:rPr>
      </w:pPr>
    </w:p>
    <w:p w14:paraId="6BC42309" w14:textId="196A0256" w:rsidR="00515AAB" w:rsidRPr="008A3265" w:rsidRDefault="003423BD" w:rsidP="00826DC1">
      <w:pPr>
        <w:jc w:val="both"/>
        <w:rPr>
          <w:rFonts w:ascii="Brill" w:eastAsia="Calibri" w:hAnsi="Brill" w:cs="Calibri"/>
          <w:b/>
          <w:bCs/>
          <w:lang w:val="id-ID"/>
        </w:rPr>
      </w:pPr>
      <w:r w:rsidRPr="008A3265">
        <w:rPr>
          <w:rFonts w:ascii="Brill" w:eastAsia="Calibri" w:hAnsi="Brill" w:cs="Calibri"/>
          <w:b/>
          <w:bCs/>
          <w:lang w:val="id-ID"/>
        </w:rPr>
        <w:t>Penutup</w:t>
      </w:r>
    </w:p>
    <w:p w14:paraId="13CFD844" w14:textId="76341F75" w:rsidR="00515AAB" w:rsidRPr="008A3265" w:rsidRDefault="003423BD" w:rsidP="00826DC1">
      <w:pPr>
        <w:jc w:val="both"/>
        <w:rPr>
          <w:rFonts w:ascii="Brill" w:eastAsia="Calibri" w:hAnsi="Brill" w:cs="Calibri"/>
          <w:lang w:val="id-ID"/>
        </w:rPr>
      </w:pPr>
      <w:r w:rsidRPr="008A3265">
        <w:rPr>
          <w:rFonts w:ascii="Brill" w:eastAsia="Calibri" w:hAnsi="Brill" w:cs="Calibri"/>
          <w:lang w:val="id-ID"/>
        </w:rPr>
        <w:t xml:space="preserve">Pertarungan </w:t>
      </w:r>
      <w:r w:rsidR="001A2F96" w:rsidRPr="008A3265">
        <w:rPr>
          <w:rFonts w:ascii="Brill" w:eastAsia="Calibri" w:hAnsi="Brill" w:cs="Calibri"/>
          <w:lang w:val="id-ID"/>
        </w:rPr>
        <w:t>paradigmatis</w:t>
      </w:r>
      <w:r w:rsidRPr="008A3265">
        <w:rPr>
          <w:rFonts w:ascii="Brill" w:eastAsia="Calibri" w:hAnsi="Brill" w:cs="Calibri"/>
          <w:lang w:val="id-ID"/>
        </w:rPr>
        <w:t xml:space="preserve"> antara </w:t>
      </w:r>
      <w:r w:rsidR="002A4DDA" w:rsidRPr="008A3265">
        <w:rPr>
          <w:rFonts w:ascii="Brill" w:eastAsia="Calibri" w:hAnsi="Brill" w:cs="Calibri"/>
          <w:lang w:val="id-ID"/>
        </w:rPr>
        <w:t>aktor negara</w:t>
      </w:r>
      <w:r w:rsidRPr="008A3265">
        <w:rPr>
          <w:rFonts w:ascii="Brill" w:eastAsia="Calibri" w:hAnsi="Brill" w:cs="Calibri"/>
          <w:lang w:val="id-ID"/>
        </w:rPr>
        <w:t xml:space="preserve"> dan </w:t>
      </w:r>
      <w:r w:rsidR="002A4DDA" w:rsidRPr="008A3265">
        <w:rPr>
          <w:rFonts w:ascii="Brill" w:eastAsia="Calibri" w:hAnsi="Brill" w:cs="Calibri"/>
          <w:lang w:val="id-ID"/>
        </w:rPr>
        <w:t>masyarakat sipil</w:t>
      </w:r>
      <w:r w:rsidRPr="008A3265">
        <w:rPr>
          <w:rFonts w:ascii="Brill" w:eastAsia="Calibri" w:hAnsi="Brill" w:cs="Calibri"/>
          <w:lang w:val="id-ID"/>
        </w:rPr>
        <w:t xml:space="preserve"> dalam memandang institusionalisasi toleransi dan Kota HAM merupakan suatu proses dinamika dalam pertarungan politik hukum. </w:t>
      </w:r>
      <w:r w:rsidR="002A4DDA" w:rsidRPr="008A3265">
        <w:rPr>
          <w:rFonts w:ascii="Brill" w:eastAsia="Calibri" w:hAnsi="Brill" w:cs="Calibri"/>
          <w:lang w:val="id-ID"/>
        </w:rPr>
        <w:t>Aktor negara</w:t>
      </w:r>
      <w:r w:rsidRPr="008A3265">
        <w:rPr>
          <w:rFonts w:ascii="Brill" w:eastAsia="Calibri" w:hAnsi="Brill" w:cs="Calibri"/>
          <w:lang w:val="id-ID"/>
        </w:rPr>
        <w:t xml:space="preserve"> masih berkutat dalam paradigma positivisme yang bersandar pada realisme naif. Sementara </w:t>
      </w:r>
      <w:r w:rsidR="002A4DDA" w:rsidRPr="008A3265">
        <w:rPr>
          <w:rFonts w:ascii="Brill" w:eastAsia="Calibri" w:hAnsi="Brill" w:cs="Calibri"/>
          <w:lang w:val="id-ID"/>
        </w:rPr>
        <w:t>masyarakat sipil</w:t>
      </w:r>
      <w:r w:rsidRPr="008A3265">
        <w:rPr>
          <w:rFonts w:ascii="Brill" w:eastAsia="Calibri" w:hAnsi="Brill" w:cs="Calibri"/>
          <w:lang w:val="id-ID"/>
        </w:rPr>
        <w:t xml:space="preserve"> mulai mempertanyakan secara kritis arti penting toleransi serta bagaimana seharusnya kota mengarusutamakan HAM. Dalam kerangka ini paradigma yang dibangun adalah </w:t>
      </w:r>
      <w:r w:rsidR="001A2F96" w:rsidRPr="008A3265">
        <w:rPr>
          <w:rFonts w:ascii="Brill" w:eastAsia="Calibri" w:hAnsi="Brill" w:cs="Calibri"/>
          <w:lang w:val="id-ID"/>
        </w:rPr>
        <w:t>pos positivisme</w:t>
      </w:r>
      <w:r w:rsidRPr="008A3265">
        <w:rPr>
          <w:rFonts w:ascii="Brill" w:eastAsia="Calibri" w:hAnsi="Brill" w:cs="Calibri"/>
          <w:lang w:val="id-ID"/>
        </w:rPr>
        <w:t xml:space="preserve"> dan paradigma teori kritis. Pertarungan paradigma ini tidak dimaksudkan untuk mempertentangkan kedua golongan tersebut, melainkan untuk menggambarkan betapa sistem kepercayaan dapat mempengaruhi peta kondisi suatu kebijakan publik. </w:t>
      </w:r>
      <w:r w:rsidR="002353ED" w:rsidRPr="008A3265">
        <w:rPr>
          <w:rFonts w:ascii="Brill" w:eastAsia="Calibri" w:hAnsi="Brill" w:cs="Calibri"/>
          <w:lang w:val="id-ID"/>
        </w:rPr>
        <w:t>P</w:t>
      </w:r>
      <w:r w:rsidRPr="008A3265">
        <w:rPr>
          <w:rFonts w:ascii="Brill" w:eastAsia="Calibri" w:hAnsi="Brill" w:cs="Calibri"/>
          <w:lang w:val="id-ID"/>
        </w:rPr>
        <w:t>enulis optimis bahwa proses formal dalam formulasi kebijakan toleransi dan Kota HAM akan terus bergerak ke arah positif untuk mencapai paradigma konstruktivisme</w:t>
      </w:r>
      <w:r w:rsidR="002353ED">
        <w:rPr>
          <w:rFonts w:ascii="Brill" w:eastAsia="Calibri" w:hAnsi="Brill" w:cs="Calibri"/>
          <w:lang w:val="en-US"/>
        </w:rPr>
        <w:t xml:space="preserve"> sepanjang dialog dan reinterpretasi terhadap syariah dan HAM dapat terus dilaksanakan</w:t>
      </w:r>
      <w:r w:rsidRPr="008A3265">
        <w:rPr>
          <w:rFonts w:ascii="Brill" w:eastAsia="Calibri" w:hAnsi="Brill" w:cs="Calibri"/>
          <w:lang w:val="id-ID"/>
        </w:rPr>
        <w:t xml:space="preserve">. Toleransi dan Kota HAM akan terus diinterpretasikan dan </w:t>
      </w:r>
      <w:r w:rsidRPr="008A3265">
        <w:rPr>
          <w:rFonts w:ascii="Brill" w:eastAsia="Calibri" w:hAnsi="Brill" w:cs="Calibri"/>
          <w:lang w:val="id-ID"/>
        </w:rPr>
        <w:lastRenderedPageBreak/>
        <w:t xml:space="preserve">terus berdialektika </w:t>
      </w:r>
      <w:r w:rsidR="00AA27EB" w:rsidRPr="008A3265">
        <w:rPr>
          <w:rFonts w:ascii="Brill" w:eastAsia="Calibri" w:hAnsi="Brill" w:cs="Calibri"/>
          <w:lang w:val="id-ID"/>
        </w:rPr>
        <w:t xml:space="preserve">sebagai sesuatu yang bergerak dinamis dan </w:t>
      </w:r>
      <w:r w:rsidR="008C5148">
        <w:rPr>
          <w:rFonts w:ascii="Brill" w:eastAsia="Calibri" w:hAnsi="Brill" w:cs="Calibri"/>
          <w:lang w:val="id-ID"/>
        </w:rPr>
        <w:t>“</w:t>
      </w:r>
      <w:r w:rsidR="00AA27EB" w:rsidRPr="008A3265">
        <w:rPr>
          <w:rFonts w:ascii="Brill" w:eastAsia="Calibri" w:hAnsi="Brill" w:cs="Calibri"/>
          <w:i/>
          <w:iCs/>
          <w:lang w:val="id-ID"/>
        </w:rPr>
        <w:t>work in progress</w:t>
      </w:r>
      <w:r w:rsidR="008C5148">
        <w:rPr>
          <w:rFonts w:ascii="Brill" w:eastAsia="Calibri" w:hAnsi="Brill" w:cs="Calibri"/>
          <w:lang w:val="id-ID"/>
        </w:rPr>
        <w:t>”</w:t>
      </w:r>
      <w:r w:rsidR="00AA27EB" w:rsidRPr="008A3265">
        <w:rPr>
          <w:rFonts w:ascii="Brill" w:eastAsia="Calibri" w:hAnsi="Brill" w:cs="Calibri"/>
          <w:lang w:val="id-ID"/>
        </w:rPr>
        <w:t xml:space="preserve"> secara transformatif.</w:t>
      </w:r>
    </w:p>
    <w:p w14:paraId="5272AA9B" w14:textId="1407CB36" w:rsidR="00E867A1" w:rsidRPr="008A3265" w:rsidRDefault="00E867A1" w:rsidP="00826DC1">
      <w:pPr>
        <w:jc w:val="both"/>
        <w:rPr>
          <w:rFonts w:ascii="Brill" w:eastAsia="Calibri" w:hAnsi="Brill" w:cs="Calibri"/>
          <w:lang w:val="id-ID"/>
        </w:rPr>
      </w:pPr>
    </w:p>
    <w:p w14:paraId="0A0B945D" w14:textId="69C80D18" w:rsidR="00E867A1" w:rsidRPr="008A3265" w:rsidRDefault="00E867A1" w:rsidP="00826DC1">
      <w:pPr>
        <w:jc w:val="both"/>
        <w:rPr>
          <w:rFonts w:ascii="Brill" w:eastAsia="Calibri" w:hAnsi="Brill" w:cs="Calibri"/>
          <w:b/>
          <w:bCs/>
          <w:lang w:val="id-ID"/>
        </w:rPr>
      </w:pPr>
      <w:r w:rsidRPr="008A3265">
        <w:rPr>
          <w:rFonts w:ascii="Brill" w:eastAsia="Calibri" w:hAnsi="Brill" w:cs="Calibri"/>
          <w:b/>
          <w:bCs/>
          <w:lang w:val="id-ID"/>
        </w:rPr>
        <w:t>Daftar Pustaka</w:t>
      </w:r>
    </w:p>
    <w:p w14:paraId="3AAB4389" w14:textId="77777777" w:rsidR="00E867A1" w:rsidRPr="008A3265" w:rsidRDefault="00E867A1" w:rsidP="00826DC1">
      <w:pPr>
        <w:jc w:val="both"/>
        <w:rPr>
          <w:rFonts w:ascii="Brill" w:eastAsia="Calibri" w:hAnsi="Brill" w:cs="Calibri"/>
          <w:b/>
          <w:bCs/>
          <w:lang w:val="id-ID"/>
        </w:rPr>
      </w:pPr>
    </w:p>
    <w:p w14:paraId="3491E093" w14:textId="7824E42C" w:rsidR="00572D66" w:rsidRPr="00572D66" w:rsidRDefault="00E867A1" w:rsidP="00572D66">
      <w:pPr>
        <w:widowControl w:val="0"/>
        <w:autoSpaceDE w:val="0"/>
        <w:autoSpaceDN w:val="0"/>
        <w:adjustRightInd w:val="0"/>
        <w:ind w:left="480" w:hanging="480"/>
        <w:rPr>
          <w:rFonts w:ascii="Brill" w:hAnsi="Brill"/>
          <w:noProof/>
          <w:lang w:val="en-US"/>
        </w:rPr>
      </w:pPr>
      <w:r w:rsidRPr="008A3265">
        <w:rPr>
          <w:rFonts w:ascii="Brill" w:eastAsia="Calibri" w:hAnsi="Brill" w:cs="Calibri"/>
          <w:b/>
          <w:bCs/>
          <w:lang w:val="id-ID"/>
        </w:rPr>
        <w:fldChar w:fldCharType="begin" w:fldLock="1"/>
      </w:r>
      <w:r w:rsidRPr="008A3265">
        <w:rPr>
          <w:rFonts w:ascii="Brill" w:eastAsia="Calibri" w:hAnsi="Brill" w:cs="Calibri"/>
          <w:b/>
          <w:bCs/>
          <w:lang w:val="id-ID"/>
        </w:rPr>
        <w:instrText xml:space="preserve">ADDIN Mendeley Bibliography CSL_BIBLIOGRAPHY </w:instrText>
      </w:r>
      <w:r w:rsidRPr="008A3265">
        <w:rPr>
          <w:rFonts w:ascii="Brill" w:eastAsia="Calibri" w:hAnsi="Brill" w:cs="Calibri"/>
          <w:b/>
          <w:bCs/>
          <w:lang w:val="id-ID"/>
        </w:rPr>
        <w:fldChar w:fldCharType="separate"/>
      </w:r>
      <w:r w:rsidR="00572D66" w:rsidRPr="00572D66">
        <w:rPr>
          <w:rFonts w:ascii="Brill" w:hAnsi="Brill"/>
          <w:noProof/>
          <w:lang w:val="en-US"/>
        </w:rPr>
        <w:t xml:space="preserve">Abidin, Zainal, and Aviva Nababan. </w:t>
      </w:r>
      <w:r w:rsidR="00572D66" w:rsidRPr="00572D66">
        <w:rPr>
          <w:rFonts w:ascii="Brill" w:hAnsi="Brill"/>
          <w:i/>
          <w:iCs/>
          <w:noProof/>
          <w:lang w:val="en-US"/>
        </w:rPr>
        <w:t>Indikator Kota HAM: Studi Praktik Penyelenggaraan Kota HAM Di Dunia Dan Di Indonesia</w:t>
      </w:r>
      <w:r w:rsidR="00572D66" w:rsidRPr="00572D66">
        <w:rPr>
          <w:rFonts w:ascii="Brill" w:hAnsi="Brill"/>
          <w:noProof/>
          <w:lang w:val="en-US"/>
        </w:rPr>
        <w:t>. Jakarta, 2021.</w:t>
      </w:r>
    </w:p>
    <w:p w14:paraId="5B6136C0"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Afandi, Fachrizal. “Penelitian Hukum Interdisipliner Reza Banakar: Urgensi Dan Desain Penelitian Sosio-Legal.” </w:t>
      </w:r>
      <w:r w:rsidRPr="00572D66">
        <w:rPr>
          <w:rFonts w:ascii="Brill" w:hAnsi="Brill"/>
          <w:i/>
          <w:iCs/>
          <w:noProof/>
          <w:lang w:val="en-US"/>
        </w:rPr>
        <w:t>Undang: Jurnal Hukum</w:t>
      </w:r>
      <w:r w:rsidRPr="00572D66">
        <w:rPr>
          <w:rFonts w:ascii="Brill" w:hAnsi="Brill"/>
          <w:noProof/>
          <w:lang w:val="en-US"/>
        </w:rPr>
        <w:t xml:space="preserve"> 5, no. 1 (2022): 241.</w:t>
      </w:r>
    </w:p>
    <w:p w14:paraId="3B7E4B4D"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AlKhaza’leh, Mohammad Salman. “An Outlook of Each of the Islamic Thought and the Contemporary Global Thought on the Human Concept and Rights.” </w:t>
      </w:r>
      <w:r w:rsidRPr="00572D66">
        <w:rPr>
          <w:rFonts w:ascii="Brill" w:hAnsi="Brill"/>
          <w:i/>
          <w:iCs/>
          <w:noProof/>
          <w:lang w:val="en-US"/>
        </w:rPr>
        <w:t>Academic Journal of Interdisciplinary Studies</w:t>
      </w:r>
      <w:r w:rsidRPr="00572D66">
        <w:rPr>
          <w:rFonts w:ascii="Brill" w:hAnsi="Brill"/>
          <w:noProof/>
          <w:lang w:val="en-US"/>
        </w:rPr>
        <w:t xml:space="preserve"> 10, no. 2 (2021): 163.</w:t>
      </w:r>
    </w:p>
    <w:p w14:paraId="771BA3DC"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Bakar, Abu. </w:t>
      </w:r>
      <w:r w:rsidRPr="00572D66">
        <w:rPr>
          <w:rFonts w:ascii="Brill" w:hAnsi="Brill"/>
          <w:i/>
          <w:iCs/>
          <w:noProof/>
          <w:lang w:val="en-US"/>
        </w:rPr>
        <w:t>Kepingan Sejarah Sosial Dan Politik Tentang Pendiri Negeri Pontianak Dan Perkampungan Arab</w:t>
      </w:r>
      <w:r w:rsidRPr="00572D66">
        <w:rPr>
          <w:rFonts w:ascii="Brill" w:hAnsi="Brill"/>
          <w:noProof/>
          <w:lang w:val="en-US"/>
        </w:rPr>
        <w:t>. Pontianak: IAIN Pontianak Press, 2021.</w:t>
      </w:r>
    </w:p>
    <w:p w14:paraId="7A6A156C"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Bhinneka, Jaringan Pontianak. </w:t>
      </w:r>
      <w:r w:rsidRPr="00572D66">
        <w:rPr>
          <w:rFonts w:ascii="Brill" w:hAnsi="Brill"/>
          <w:i/>
          <w:iCs/>
          <w:noProof/>
          <w:lang w:val="en-US"/>
        </w:rPr>
        <w:t>Naskah Akademik Peraturan Daerah Kota Pontianak Tentang Penyelenggaraan Toleransi Dalam Kehidupan Bermasyarakat</w:t>
      </w:r>
      <w:r w:rsidRPr="00572D66">
        <w:rPr>
          <w:rFonts w:ascii="Brill" w:hAnsi="Brill"/>
          <w:noProof/>
          <w:lang w:val="en-US"/>
        </w:rPr>
        <w:t>. Pontianak, 2021.</w:t>
      </w:r>
    </w:p>
    <w:p w14:paraId="52C4BCA8"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Bielefeldt, Heiner, and Michael Wiener. </w:t>
      </w:r>
      <w:r w:rsidRPr="00572D66">
        <w:rPr>
          <w:rFonts w:ascii="Brill" w:hAnsi="Brill"/>
          <w:i/>
          <w:iCs/>
          <w:noProof/>
          <w:lang w:val="en-US"/>
        </w:rPr>
        <w:t>Menelisik Kebebasan Beragama: Prinsip-Prinsip Dan Kontroversinya</w:t>
      </w:r>
      <w:r w:rsidRPr="00572D66">
        <w:rPr>
          <w:rFonts w:ascii="Brill" w:hAnsi="Brill"/>
          <w:noProof/>
          <w:lang w:val="en-US"/>
        </w:rPr>
        <w:t>. Edited by Ahmad Baiquni. Bandung: Penerbit Mizan, 2021.</w:t>
      </w:r>
    </w:p>
    <w:p w14:paraId="60864C93"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Čustović, Ajla. “Progressive Islamic Interpretation of Tradition Why Should Muslims Treat Sharia Law Only as a Moral Code in the Context of Universal Human Rights?” In </w:t>
      </w:r>
      <w:r w:rsidRPr="00572D66">
        <w:rPr>
          <w:rFonts w:ascii="Brill" w:hAnsi="Brill"/>
          <w:i/>
          <w:iCs/>
          <w:noProof/>
          <w:lang w:val="en-US"/>
        </w:rPr>
        <w:t>When Politics Meets Religion: Navigating Old Challenges and New Perspectives</w:t>
      </w:r>
      <w:r w:rsidRPr="00572D66">
        <w:rPr>
          <w:rFonts w:ascii="Brill" w:hAnsi="Brill"/>
          <w:noProof/>
          <w:lang w:val="en-US"/>
        </w:rPr>
        <w:t>, edited by Marko Veković and Miroljub Jevtić, 1–14. 1th Editio. London: Routledge Taylor and Francis Group, 2024.</w:t>
      </w:r>
    </w:p>
    <w:p w14:paraId="1B34918D"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Evanty, Nukila, and Nurul Ghufron. “Multinational Corporations and Human Rights in Indonesia: The Need for Improvement in Legislation.” In </w:t>
      </w:r>
      <w:r w:rsidRPr="00572D66">
        <w:rPr>
          <w:rFonts w:ascii="Brill" w:hAnsi="Brill"/>
          <w:i/>
          <w:iCs/>
          <w:noProof/>
          <w:lang w:val="en-US"/>
        </w:rPr>
        <w:t>Business and Human Rights in Asia</w:t>
      </w:r>
      <w:r w:rsidRPr="00572D66">
        <w:rPr>
          <w:rFonts w:ascii="Brill" w:hAnsi="Brill"/>
          <w:noProof/>
          <w:lang w:val="en-US"/>
        </w:rPr>
        <w:t>, edited by J. Gomez and R. Ramcharan, 53–69. Singapore: Palgrave Macmillan, 2021.</w:t>
      </w:r>
    </w:p>
    <w:p w14:paraId="4AC08226"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Farkhani, Farkhani, Badwan Badwan, Ali Geno Berutu, Zulkarnain Zulkarnain, and Fahmi Irfanudin. “Legal Protection of Minority Rights: Study on the Implementation of Qanun Number 6 of 2014 Concerning the Jinayat Law in Langsa City, Aceh Special Region Province.” </w:t>
      </w:r>
      <w:r w:rsidRPr="00572D66">
        <w:rPr>
          <w:rFonts w:ascii="Brill" w:hAnsi="Brill"/>
          <w:i/>
          <w:iCs/>
          <w:noProof/>
          <w:lang w:val="en-US"/>
        </w:rPr>
        <w:t>Al-Manahij: Jurnal Kajian Hukum Islam</w:t>
      </w:r>
      <w:r w:rsidRPr="00572D66">
        <w:rPr>
          <w:rFonts w:ascii="Brill" w:hAnsi="Brill"/>
          <w:noProof/>
          <w:lang w:val="en-US"/>
        </w:rPr>
        <w:t xml:space="preserve"> 17, no. 2 (2023): 215.</w:t>
      </w:r>
    </w:p>
    <w:p w14:paraId="564DC0EC"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Forum, World Human Rights Cities. “Gwangju Declaration on Human Right City.” </w:t>
      </w:r>
      <w:r w:rsidRPr="00572D66">
        <w:rPr>
          <w:rFonts w:ascii="Brill" w:hAnsi="Brill"/>
          <w:i/>
          <w:iCs/>
          <w:noProof/>
          <w:lang w:val="en-US"/>
        </w:rPr>
        <w:t>World Human Rights Cities Forum</w:t>
      </w:r>
      <w:r w:rsidRPr="00572D66">
        <w:rPr>
          <w:rFonts w:ascii="Brill" w:hAnsi="Brill"/>
          <w:noProof/>
          <w:lang w:val="en-US"/>
        </w:rPr>
        <w:t>. Last modified 2011. Accessed March 3, 2021. https://www.uclg-cisdp.org/sites/default/files/Gwangju_Declaration_on_HR_City_final_edited_version_110524.pdf.</w:t>
      </w:r>
    </w:p>
    <w:p w14:paraId="7FEF04C2"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George, Cherian. </w:t>
      </w:r>
      <w:r w:rsidRPr="00572D66">
        <w:rPr>
          <w:rFonts w:ascii="Brill" w:hAnsi="Brill"/>
          <w:i/>
          <w:iCs/>
          <w:noProof/>
          <w:lang w:val="en-US"/>
        </w:rPr>
        <w:t>Pelintiran Kebencian: Rekayasa Ketersinggungan Agama Dan Ancamannya Bagi Demokrasi</w:t>
      </w:r>
      <w:r w:rsidRPr="00572D66">
        <w:rPr>
          <w:rFonts w:ascii="Brill" w:hAnsi="Brill"/>
          <w:noProof/>
          <w:lang w:val="en-US"/>
        </w:rPr>
        <w:t>. Edited by Ihsan Ali-Fauzi and Irsyad Rafsadie. Jakarta: Pusat Studi Agama dan Demokrasi (PUSAD) Yayasan Paramadina, 2017.</w:t>
      </w:r>
    </w:p>
    <w:p w14:paraId="0F967D51"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Guba, Egon G. </w:t>
      </w:r>
      <w:r w:rsidRPr="00572D66">
        <w:rPr>
          <w:rFonts w:ascii="Brill" w:hAnsi="Brill"/>
          <w:i/>
          <w:iCs/>
          <w:noProof/>
          <w:lang w:val="en-US"/>
        </w:rPr>
        <w:t>The Paradigm Dialog</w:t>
      </w:r>
      <w:r w:rsidRPr="00572D66">
        <w:rPr>
          <w:rFonts w:ascii="Brill" w:hAnsi="Brill"/>
          <w:noProof/>
          <w:lang w:val="en-US"/>
        </w:rPr>
        <w:t>. California: Sage Publications, Inc., 1990.</w:t>
      </w:r>
    </w:p>
    <w:p w14:paraId="1B524333"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Gyonggu, Shin, Ahn Jean, and Chon Jinhee. </w:t>
      </w:r>
      <w:r w:rsidRPr="00572D66">
        <w:rPr>
          <w:rFonts w:ascii="Brill" w:hAnsi="Brill"/>
          <w:i/>
          <w:iCs/>
          <w:noProof/>
          <w:lang w:val="en-US"/>
        </w:rPr>
        <w:t>Human Rights City Gwangju: Its Development, Achievement and Limitation</w:t>
      </w:r>
      <w:r w:rsidRPr="00572D66">
        <w:rPr>
          <w:rFonts w:ascii="Brill" w:hAnsi="Brill"/>
          <w:noProof/>
          <w:lang w:val="en-US"/>
        </w:rPr>
        <w:t>. Gwangju, 2019.</w:t>
      </w:r>
    </w:p>
    <w:p w14:paraId="3DE8CCE6"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Halim, Abdul. “Non-Muslims in the Qanun Jinayat and the Choice of Law in Sharia Courts in Aceh.” </w:t>
      </w:r>
      <w:r w:rsidRPr="00572D66">
        <w:rPr>
          <w:rFonts w:ascii="Brill" w:hAnsi="Brill"/>
          <w:i/>
          <w:iCs/>
          <w:noProof/>
          <w:lang w:val="en-US"/>
        </w:rPr>
        <w:t>Human Rights Review</w:t>
      </w:r>
      <w:r w:rsidRPr="00572D66">
        <w:rPr>
          <w:rFonts w:ascii="Brill" w:hAnsi="Brill"/>
          <w:noProof/>
          <w:lang w:val="en-US"/>
        </w:rPr>
        <w:t xml:space="preserve"> 23, no. June (2022): 265–288.</w:t>
      </w:r>
    </w:p>
    <w:p w14:paraId="27097770"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Indarti, Erlyn. “Diskresi Dan Paradigma Sebuah Telaah Filsafat Hukum.” Universitas Diponegoro, 2010.</w:t>
      </w:r>
    </w:p>
    <w:p w14:paraId="3137BC09"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Irwansyah, Irwansyah, Faisar Ananda, and Zulham Zulham. “Positivization of Sharia Regional </w:t>
      </w:r>
      <w:r w:rsidRPr="00572D66">
        <w:rPr>
          <w:rFonts w:ascii="Brill" w:hAnsi="Brill"/>
          <w:noProof/>
          <w:lang w:val="en-US"/>
        </w:rPr>
        <w:lastRenderedPageBreak/>
        <w:t xml:space="preserve">Regulations in North Sumatra.” </w:t>
      </w:r>
      <w:r w:rsidRPr="00572D66">
        <w:rPr>
          <w:rFonts w:ascii="Brill" w:hAnsi="Brill"/>
          <w:i/>
          <w:iCs/>
          <w:noProof/>
          <w:lang w:val="en-US"/>
        </w:rPr>
        <w:t>Jambura Law Review</w:t>
      </w:r>
      <w:r w:rsidRPr="00572D66">
        <w:rPr>
          <w:rFonts w:ascii="Brill" w:hAnsi="Brill"/>
          <w:noProof/>
          <w:lang w:val="en-US"/>
        </w:rPr>
        <w:t xml:space="preserve"> 3, no. Special Issues April (2021): 1–17.</w:t>
      </w:r>
    </w:p>
    <w:p w14:paraId="42356F86"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Jufri, Muwaffiq. “Nuansa Maqashid Al-Syariah Dalam Undang-Undang Nomor 39 Tahun 1999 Tentang Hak Asasi Manusia.” </w:t>
      </w:r>
      <w:r w:rsidRPr="00572D66">
        <w:rPr>
          <w:rFonts w:ascii="Brill" w:hAnsi="Brill"/>
          <w:i/>
          <w:iCs/>
          <w:noProof/>
          <w:lang w:val="en-US"/>
        </w:rPr>
        <w:t>Istinbath : Jurnal Hukum</w:t>
      </w:r>
      <w:r w:rsidRPr="00572D66">
        <w:rPr>
          <w:rFonts w:ascii="Brill" w:hAnsi="Brill"/>
          <w:noProof/>
          <w:lang w:val="en-US"/>
        </w:rPr>
        <w:t xml:space="preserve"> 14, no. 1 (2017): 1–14.</w:t>
      </w:r>
    </w:p>
    <w:p w14:paraId="170441BF"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Khatulistiwa, Yayasan Suar Asa. “Rancangan Peraturan Daerah Kota Pontianak Tentang Penyelenggaraan Toleransi Dalam Kehidupan Bermasyarakat.” </w:t>
      </w:r>
      <w:r w:rsidRPr="00572D66">
        <w:rPr>
          <w:rFonts w:ascii="Brill" w:hAnsi="Brill"/>
          <w:i/>
          <w:iCs/>
          <w:noProof/>
          <w:lang w:val="en-US"/>
        </w:rPr>
        <w:t>Yayasan Suar Asa Khatulistiwa</w:t>
      </w:r>
      <w:r w:rsidRPr="00572D66">
        <w:rPr>
          <w:rFonts w:ascii="Brill" w:hAnsi="Brill"/>
          <w:noProof/>
          <w:lang w:val="en-US"/>
        </w:rPr>
        <w:t>. Last modified 2021. Accessed January 3, 2021. https://suarasakhatulistiwa.or.id/publikasi.</w:t>
      </w:r>
    </w:p>
    <w:p w14:paraId="195AFC9A"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King, Loren. “Henri Lefebvre and the Right to the City.” In </w:t>
      </w:r>
      <w:r w:rsidRPr="00572D66">
        <w:rPr>
          <w:rFonts w:ascii="Brill" w:hAnsi="Brill"/>
          <w:i/>
          <w:iCs/>
          <w:noProof/>
          <w:lang w:val="en-US"/>
        </w:rPr>
        <w:t>Routledge Handbook of Philosophy of the City</w:t>
      </w:r>
      <w:r w:rsidRPr="00572D66">
        <w:rPr>
          <w:rFonts w:ascii="Brill" w:hAnsi="Brill"/>
          <w:noProof/>
          <w:lang w:val="en-US"/>
        </w:rPr>
        <w:t>, edited by Sharon M. Meagher, Samantha Noll, and Joseph S. Biehl, 76–86. London: Publisher: Routledge, 2018.</w:t>
      </w:r>
    </w:p>
    <w:p w14:paraId="52996CF9"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Lathifah, Anthin. “Distributing Rights, Social Justice, and Managing Conflict of Ahmadis.” </w:t>
      </w:r>
      <w:r w:rsidRPr="00572D66">
        <w:rPr>
          <w:rFonts w:ascii="Brill" w:hAnsi="Brill"/>
          <w:i/>
          <w:iCs/>
          <w:noProof/>
          <w:lang w:val="en-US"/>
        </w:rPr>
        <w:t>De Jure: Jurnal Hukum dan Syar’iah</w:t>
      </w:r>
      <w:r w:rsidRPr="00572D66">
        <w:rPr>
          <w:rFonts w:ascii="Brill" w:hAnsi="Brill"/>
          <w:noProof/>
          <w:lang w:val="en-US"/>
        </w:rPr>
        <w:t xml:space="preserve"> 14, no. 2 (2022): 331.</w:t>
      </w:r>
    </w:p>
    <w:p w14:paraId="62F65BCE"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Lincoln, Yvonna S., and Egon G. Guba. </w:t>
      </w:r>
      <w:r w:rsidRPr="00572D66">
        <w:rPr>
          <w:rFonts w:ascii="Brill" w:hAnsi="Brill"/>
          <w:i/>
          <w:iCs/>
          <w:noProof/>
          <w:lang w:val="en-US"/>
        </w:rPr>
        <w:t>The Constructivist Credo</w:t>
      </w:r>
      <w:r w:rsidRPr="00572D66">
        <w:rPr>
          <w:rFonts w:ascii="Brill" w:hAnsi="Brill"/>
          <w:noProof/>
          <w:lang w:val="en-US"/>
        </w:rPr>
        <w:t>. Walnut Creek, California: Left Coast Press Inc., 2013.</w:t>
      </w:r>
    </w:p>
    <w:p w14:paraId="202CD564"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MacNaughton, Gillian, Sindiso Mnisi Weeks, Esther Kamau, Shahrzad Sajadi, and Prisca Tarimo. “The Promises and Challenges of Human Rights Cities.” In </w:t>
      </w:r>
      <w:r w:rsidRPr="00572D66">
        <w:rPr>
          <w:rFonts w:ascii="Brill" w:hAnsi="Brill"/>
          <w:i/>
          <w:iCs/>
          <w:noProof/>
          <w:lang w:val="en-US"/>
        </w:rPr>
        <w:t>Human Rights Education Globally. Globalisation, Comparative Education and Policy Research Volume 22</w:t>
      </w:r>
      <w:r w:rsidRPr="00572D66">
        <w:rPr>
          <w:rFonts w:ascii="Brill" w:hAnsi="Brill"/>
          <w:noProof/>
          <w:lang w:val="en-US"/>
        </w:rPr>
        <w:t>, edited by Joseph Zajda, 109–132. Dordrecht: Springer, 2020.</w:t>
      </w:r>
    </w:p>
    <w:p w14:paraId="730311DA"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Marks, Stephen P, Kathleen A. Modrowski, and Walther Lichem. </w:t>
      </w:r>
      <w:r w:rsidRPr="00572D66">
        <w:rPr>
          <w:rFonts w:ascii="Brill" w:hAnsi="Brill"/>
          <w:i/>
          <w:iCs/>
          <w:noProof/>
          <w:lang w:val="en-US"/>
        </w:rPr>
        <w:t>Human Rights Cities: Civic Engagement for Societal Development</w:t>
      </w:r>
      <w:r w:rsidRPr="00572D66">
        <w:rPr>
          <w:rFonts w:ascii="Brill" w:hAnsi="Brill"/>
          <w:noProof/>
          <w:lang w:val="en-US"/>
        </w:rPr>
        <w:t>. New York: People’s Movement for Human Rights Learning &amp; UN Habitat, 2008.</w:t>
      </w:r>
    </w:p>
    <w:p w14:paraId="57D0BEB2"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Masar, Afinzha, and Syofiaty Lubis. “Implementation Of Regional Regulation No. 3 Of 2022 Regarding Child Friendly District In Langkat District Viewed From The Perspective Of Fiqh Siyasah.” </w:t>
      </w:r>
      <w:r w:rsidRPr="00572D66">
        <w:rPr>
          <w:rFonts w:ascii="Brill" w:hAnsi="Brill"/>
          <w:i/>
          <w:iCs/>
          <w:noProof/>
          <w:lang w:val="en-US"/>
        </w:rPr>
        <w:t>Jurnal Hukum Unissula</w:t>
      </w:r>
      <w:r w:rsidRPr="00572D66">
        <w:rPr>
          <w:rFonts w:ascii="Brill" w:hAnsi="Brill"/>
          <w:noProof/>
          <w:lang w:val="en-US"/>
        </w:rPr>
        <w:t xml:space="preserve"> 39, no. 1 (2023): 99.</w:t>
      </w:r>
    </w:p>
    <w:p w14:paraId="7E309F15"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Missbach, Antje, and Yunizar Adiputera. “The Role of Local Governments in Accommodating Refugees in Indonesia: Investigating Best-Case and Worst-Case Scenarios.” </w:t>
      </w:r>
      <w:r w:rsidRPr="00572D66">
        <w:rPr>
          <w:rFonts w:ascii="Brill" w:hAnsi="Brill"/>
          <w:i/>
          <w:iCs/>
          <w:noProof/>
          <w:lang w:val="en-US"/>
        </w:rPr>
        <w:t>Asian Journal of Law and Society</w:t>
      </w:r>
      <w:r w:rsidRPr="00572D66">
        <w:rPr>
          <w:rFonts w:ascii="Brill" w:hAnsi="Brill"/>
          <w:noProof/>
          <w:lang w:val="en-US"/>
        </w:rPr>
        <w:t xml:space="preserve"> 8, no. 3 (2021): 490–506.</w:t>
      </w:r>
    </w:p>
    <w:p w14:paraId="2A53E277"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Na’im, Abdullahi Ahmed A. </w:t>
      </w:r>
      <w:r w:rsidRPr="00572D66">
        <w:rPr>
          <w:rFonts w:ascii="Brill" w:hAnsi="Brill"/>
          <w:i/>
          <w:iCs/>
          <w:noProof/>
          <w:lang w:val="en-US"/>
        </w:rPr>
        <w:t>Toward an Islamic Refor-Mation: Civil Liberties, Human Rights, and International Law</w:t>
      </w:r>
      <w:r w:rsidRPr="00572D66">
        <w:rPr>
          <w:rFonts w:ascii="Brill" w:hAnsi="Brill"/>
          <w:noProof/>
          <w:lang w:val="en-US"/>
        </w:rPr>
        <w:t>. New York: Syracuse University Press, 1990.</w:t>
      </w:r>
    </w:p>
    <w:p w14:paraId="6F23B031"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Noor, Afif. “Socio-Legal Research: Integration of Normative and Empirical Juridical Research in Legal Research.” </w:t>
      </w:r>
      <w:r w:rsidRPr="00572D66">
        <w:rPr>
          <w:rFonts w:ascii="Brill" w:hAnsi="Brill"/>
          <w:i/>
          <w:iCs/>
          <w:noProof/>
          <w:lang w:val="en-US"/>
        </w:rPr>
        <w:t>Jurnal Ilmiah Dunia Hukum</w:t>
      </w:r>
      <w:r w:rsidRPr="00572D66">
        <w:rPr>
          <w:rFonts w:ascii="Brill" w:hAnsi="Brill"/>
          <w:noProof/>
          <w:lang w:val="en-US"/>
        </w:rPr>
        <w:t xml:space="preserve"> 7, no. 2 (2023): 108.</w:t>
      </w:r>
    </w:p>
    <w:p w14:paraId="472B3426"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Oktaviandra, Surya, and Putri Aulia Arza. “From International Regulation to Local Implementation Gender Equality for Sustainable Development Goals.” </w:t>
      </w:r>
      <w:r w:rsidRPr="00572D66">
        <w:rPr>
          <w:rFonts w:ascii="Brill" w:hAnsi="Brill"/>
          <w:i/>
          <w:iCs/>
          <w:noProof/>
          <w:lang w:val="en-US"/>
        </w:rPr>
        <w:t>Journal of Southeast Asian Human Rights</w:t>
      </w:r>
      <w:r w:rsidRPr="00572D66">
        <w:rPr>
          <w:rFonts w:ascii="Brill" w:hAnsi="Brill"/>
          <w:noProof/>
          <w:lang w:val="en-US"/>
        </w:rPr>
        <w:t xml:space="preserve"> 8, no. 1 (2024): 203.</w:t>
      </w:r>
    </w:p>
    <w:p w14:paraId="5F7C6274"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Ruslan, Ismail. “Pelintiran Kebencian (Hate Spin): Rekayasa Ketersinggungan Dan Ujaran Kebencian Dengan Menggunakan Identitas Agama Dan Etnik Di Kalimantan Barat.” </w:t>
      </w:r>
      <w:r w:rsidRPr="00572D66">
        <w:rPr>
          <w:rFonts w:ascii="Brill" w:hAnsi="Brill"/>
          <w:i/>
          <w:iCs/>
          <w:noProof/>
          <w:lang w:val="en-US"/>
        </w:rPr>
        <w:t>Al-Hikmah Jurnal Dakwah</w:t>
      </w:r>
      <w:r w:rsidRPr="00572D66">
        <w:rPr>
          <w:rFonts w:ascii="Brill" w:hAnsi="Brill"/>
          <w:noProof/>
          <w:lang w:val="en-US"/>
        </w:rPr>
        <w:t xml:space="preserve"> 14, no. 2 (2020): 189–212.</w:t>
      </w:r>
    </w:p>
    <w:p w14:paraId="41D9F560"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Salam, Nor, Agus Purnomo, Saifullah Saifullah, and Saifullah Saifullah. “Interfaith Marriage from the Perspective of Rationality: Theocentrism in Islamic Law and Anthropocentrism in Human Rights Law.” </w:t>
      </w:r>
      <w:r w:rsidRPr="00572D66">
        <w:rPr>
          <w:rFonts w:ascii="Brill" w:hAnsi="Brill"/>
          <w:i/>
          <w:iCs/>
          <w:noProof/>
          <w:lang w:val="en-US"/>
        </w:rPr>
        <w:t>De Jure: Jurnal Hukum dan Syar’iah</w:t>
      </w:r>
      <w:r w:rsidRPr="00572D66">
        <w:rPr>
          <w:rFonts w:ascii="Brill" w:hAnsi="Brill"/>
          <w:noProof/>
          <w:lang w:val="en-US"/>
        </w:rPr>
        <w:t xml:space="preserve"> 16, no. 1 (2024): 186.</w:t>
      </w:r>
    </w:p>
    <w:p w14:paraId="61A739AB"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Simbolon, Subandri, Sepniar Lumban Toruan, and Lulu Musyarafah Ningsih. </w:t>
      </w:r>
      <w:r w:rsidRPr="00572D66">
        <w:rPr>
          <w:rFonts w:ascii="Brill" w:hAnsi="Brill"/>
          <w:i/>
          <w:iCs/>
          <w:noProof/>
          <w:lang w:val="en-US"/>
        </w:rPr>
        <w:t>Analisis Kebijakan Publik Kota Pontianak Dengan Perspektif Pluralisme Kewargaan</w:t>
      </w:r>
      <w:r w:rsidRPr="00572D66">
        <w:rPr>
          <w:rFonts w:ascii="Brill" w:hAnsi="Brill"/>
          <w:noProof/>
          <w:lang w:val="en-US"/>
        </w:rPr>
        <w:t>. Pontianak, 2021.</w:t>
      </w:r>
    </w:p>
    <w:p w14:paraId="675C2E22" w14:textId="77777777" w:rsidR="00572D66" w:rsidRPr="00572D66" w:rsidRDefault="00572D66" w:rsidP="00572D66">
      <w:pPr>
        <w:widowControl w:val="0"/>
        <w:autoSpaceDE w:val="0"/>
        <w:autoSpaceDN w:val="0"/>
        <w:adjustRightInd w:val="0"/>
        <w:ind w:left="480" w:hanging="480"/>
        <w:rPr>
          <w:rFonts w:ascii="Brill" w:hAnsi="Brill"/>
          <w:noProof/>
          <w:lang w:val="en-US"/>
        </w:rPr>
      </w:pPr>
      <w:r w:rsidRPr="00572D66">
        <w:rPr>
          <w:rFonts w:ascii="Brill" w:hAnsi="Brill"/>
          <w:noProof/>
          <w:lang w:val="en-US"/>
        </w:rPr>
        <w:t xml:space="preserve">Sumaya, Faraz. “Identitas Dalam Konflik Di Kalimantan Barat (Sebuah Pemetaan Konflik).” </w:t>
      </w:r>
      <w:r w:rsidRPr="00572D66">
        <w:rPr>
          <w:rFonts w:ascii="Brill" w:hAnsi="Brill"/>
          <w:i/>
          <w:iCs/>
          <w:noProof/>
          <w:lang w:val="en-US"/>
        </w:rPr>
        <w:t>Jurnal Kolaborasi Resolusi Konflik</w:t>
      </w:r>
      <w:r w:rsidRPr="00572D66">
        <w:rPr>
          <w:rFonts w:ascii="Brill" w:hAnsi="Brill"/>
          <w:noProof/>
          <w:lang w:val="en-US"/>
        </w:rPr>
        <w:t xml:space="preserve"> 2, no. 2 (2020): 91–92.</w:t>
      </w:r>
    </w:p>
    <w:p w14:paraId="5662C676" w14:textId="77777777" w:rsidR="00572D66" w:rsidRPr="00572D66" w:rsidRDefault="00572D66" w:rsidP="00572D66">
      <w:pPr>
        <w:widowControl w:val="0"/>
        <w:autoSpaceDE w:val="0"/>
        <w:autoSpaceDN w:val="0"/>
        <w:adjustRightInd w:val="0"/>
        <w:ind w:left="480" w:hanging="480"/>
        <w:rPr>
          <w:rFonts w:ascii="Brill" w:hAnsi="Brill"/>
          <w:noProof/>
        </w:rPr>
      </w:pPr>
      <w:r w:rsidRPr="00572D66">
        <w:rPr>
          <w:rFonts w:ascii="Brill" w:hAnsi="Brill"/>
          <w:noProof/>
          <w:lang w:val="en-US"/>
        </w:rPr>
        <w:t xml:space="preserve">Tsutsui, Kiyoteru, and Jackie Smith. “Human Rights and Social Movements: From the </w:t>
      </w:r>
      <w:r w:rsidRPr="00572D66">
        <w:rPr>
          <w:rFonts w:ascii="Brill" w:hAnsi="Brill"/>
          <w:noProof/>
          <w:lang w:val="en-US"/>
        </w:rPr>
        <w:lastRenderedPageBreak/>
        <w:t xml:space="preserve">Boomerang Pattern to a Sandwich Effect.” In </w:t>
      </w:r>
      <w:r w:rsidRPr="00572D66">
        <w:rPr>
          <w:rFonts w:ascii="Brill" w:hAnsi="Brill"/>
          <w:i/>
          <w:iCs/>
          <w:noProof/>
          <w:lang w:val="en-US"/>
        </w:rPr>
        <w:t>The Wiley Blackwell Companion to Social Movements</w:t>
      </w:r>
      <w:r w:rsidRPr="00572D66">
        <w:rPr>
          <w:rFonts w:ascii="Brill" w:hAnsi="Brill"/>
          <w:noProof/>
          <w:lang w:val="en-US"/>
        </w:rPr>
        <w:t>, 17. New York: Wiley Blackwell, 2019.</w:t>
      </w:r>
    </w:p>
    <w:p w14:paraId="02FA9B37" w14:textId="26647D3A" w:rsidR="00E867A1" w:rsidRPr="008A3265" w:rsidRDefault="00E867A1" w:rsidP="00572D66">
      <w:pPr>
        <w:widowControl w:val="0"/>
        <w:autoSpaceDE w:val="0"/>
        <w:autoSpaceDN w:val="0"/>
        <w:adjustRightInd w:val="0"/>
        <w:ind w:left="480" w:hanging="480"/>
        <w:rPr>
          <w:rFonts w:ascii="Brill" w:eastAsia="Calibri" w:hAnsi="Brill" w:cs="Calibri"/>
          <w:b/>
          <w:bCs/>
          <w:lang w:val="id-ID"/>
        </w:rPr>
      </w:pPr>
      <w:r w:rsidRPr="008A3265">
        <w:rPr>
          <w:rFonts w:ascii="Brill" w:eastAsia="Calibri" w:hAnsi="Brill" w:cs="Calibri"/>
          <w:b/>
          <w:bCs/>
          <w:lang w:val="id-ID"/>
        </w:rPr>
        <w:fldChar w:fldCharType="end"/>
      </w:r>
    </w:p>
    <w:sectPr w:rsidR="00E867A1" w:rsidRPr="008A3265" w:rsidSect="003676F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28B39" w14:textId="77777777" w:rsidR="00BE4DF8" w:rsidRDefault="00BE4DF8" w:rsidP="00087710">
      <w:r>
        <w:separator/>
      </w:r>
    </w:p>
  </w:endnote>
  <w:endnote w:type="continuationSeparator" w:id="0">
    <w:p w14:paraId="443319FA" w14:textId="77777777" w:rsidR="00BE4DF8" w:rsidRDefault="00BE4DF8" w:rsidP="00087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Brill">
    <w:altName w:val="Calibri"/>
    <w:panose1 w:val="020B0604020202020204"/>
    <w:charset w:val="00"/>
    <w:family w:val="swiss"/>
    <w:pitch w:val="variable"/>
    <w:sig w:usb0="E00002FF" w:usb1="4000E4FB"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A7439" w14:textId="77777777" w:rsidR="00BE4DF8" w:rsidRDefault="00BE4DF8" w:rsidP="00087710">
      <w:r>
        <w:separator/>
      </w:r>
    </w:p>
  </w:footnote>
  <w:footnote w:type="continuationSeparator" w:id="0">
    <w:p w14:paraId="20604737" w14:textId="77777777" w:rsidR="00BE4DF8" w:rsidRDefault="00BE4DF8" w:rsidP="00087710">
      <w:r>
        <w:continuationSeparator/>
      </w:r>
    </w:p>
  </w:footnote>
  <w:footnote w:id="1">
    <w:p w14:paraId="46B2B152" w14:textId="2DEE5AB0" w:rsidR="00F37B3A" w:rsidRPr="008A3265" w:rsidRDefault="00F37B3A"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Dalam tulisannya, dia menyebut </w:t>
      </w:r>
      <w:r w:rsidR="008C5148">
        <w:rPr>
          <w:rFonts w:ascii="Brill" w:hAnsi="Brill"/>
          <w:lang w:val="id-ID"/>
        </w:rPr>
        <w:t>“</w:t>
      </w:r>
      <w:r w:rsidRPr="008A3265">
        <w:rPr>
          <w:rFonts w:ascii="Brill" w:hAnsi="Brill"/>
          <w:lang w:val="id-ID"/>
        </w:rPr>
        <w:t>the right to the city as a cry and demand</w:t>
      </w:r>
      <w:r w:rsidR="008C5148">
        <w:rPr>
          <w:rFonts w:ascii="Brill" w:hAnsi="Brill"/>
          <w:lang w:val="id-ID"/>
        </w:rPr>
        <w:t>”</w:t>
      </w:r>
      <w:r w:rsidRPr="008A3265">
        <w:rPr>
          <w:rFonts w:ascii="Brill" w:hAnsi="Brill"/>
          <w:lang w:val="id-ID"/>
        </w:rPr>
        <w:t xml:space="preserve">. Lihat dalam </w:t>
      </w:r>
      <w:r w:rsidRPr="008A3265">
        <w:rPr>
          <w:rFonts w:ascii="Brill" w:hAnsi="Brill"/>
          <w:lang w:val="id-ID"/>
        </w:rPr>
        <w:fldChar w:fldCharType="begin" w:fldLock="1"/>
      </w:r>
      <w:r w:rsidRPr="008A3265">
        <w:rPr>
          <w:rFonts w:ascii="Brill" w:hAnsi="Brill"/>
          <w:lang w:val="id-ID"/>
        </w:rPr>
        <w:instrText>ADDIN CSL_CITATION {"citationItems":[{"id":"ITEM-1","itemData":{"author":[{"dropping-particle":"","family":"King","given":"Loren","non-dropping-particle":"","parse-names":false,"suffix":""}],"chapter-number":"6","container-title":"Routledge Handbook of Philosophy of the City","editor":[{"dropping-particle":"","family":"Meagher","given":"Sharon M.","non-dropping-particle":"","parse-names":false,"suffix":""},{"dropping-particle":"","family":"Noll","given":"Samantha","non-dropping-particle":"","parse-names":false,"suffix":""},{"dropping-particle":"","family":"Biehl","given":"Joseph S.","non-dropping-particle":"","parse-names":false,"suffix":""}],"id":"ITEM-1","issued":{"date-parts":[["2018"]]},"page":"76-86","publisher":"Publisher: Routledge","publisher-place":"London","title":"Henri Lefebvre and the Right to the City","type":"chapter"},"uris":["http://www.mendeley.com/documents/?uuid=0c97d268-d3d5-4c0d-8f09-8898b13271ca"]}],"mendeley":{"formattedCitation":"Loren King, “Henri Lefebvre and the Right to the City,” in &lt;i&gt;Routledge Handbook of Philosophy of the City&lt;/i&gt;, ed. Sharon M. Meagher, Samantha Noll, and Joseph S. Biehl (London: Publisher: Routledge, 2018), 76–86.","plainTextFormattedCitation":"Loren King, “Henri Lefebvre and the Right to the City,” in Routledge Handbook of Philosophy of the City, ed. Sharon M. Meagher, Samantha Noll, and Joseph S. Biehl (London: Publisher: Routledge, 2018), 76–86.","previouslyFormattedCitation":"Loren King, “Henri Lefebvre and the Right to the City,” in &lt;i&gt;Routledge Handbook of Philosophy of the City&lt;/i&gt;, ed. Sharon M. Meagher, Samantha Noll, and Joseph S. Biehl (London: Publisher: Routledge, 2018), 76–86."},"properties":{"noteIndex":1},"schema":"https://github.com/citation-style-language/schema/raw/master/csl-citation.json"}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 xml:space="preserve">Loren King, </w:t>
      </w:r>
      <w:r w:rsidR="008C5148">
        <w:rPr>
          <w:rFonts w:ascii="Brill" w:hAnsi="Brill"/>
          <w:noProof/>
          <w:lang w:val="id-ID"/>
        </w:rPr>
        <w:t>“</w:t>
      </w:r>
      <w:r w:rsidRPr="008A3265">
        <w:rPr>
          <w:rFonts w:ascii="Brill" w:hAnsi="Brill"/>
          <w:noProof/>
          <w:lang w:val="id-ID"/>
        </w:rPr>
        <w:t>Henri Lefebvre and the Right to the City,</w:t>
      </w:r>
      <w:r w:rsidR="008C5148">
        <w:rPr>
          <w:rFonts w:ascii="Brill" w:hAnsi="Brill"/>
          <w:noProof/>
          <w:lang w:val="id-ID"/>
        </w:rPr>
        <w:t>”</w:t>
      </w:r>
      <w:r w:rsidRPr="008A3265">
        <w:rPr>
          <w:rFonts w:ascii="Brill" w:hAnsi="Brill"/>
          <w:noProof/>
          <w:lang w:val="id-ID"/>
        </w:rPr>
        <w:t xml:space="preserve"> in </w:t>
      </w:r>
      <w:r w:rsidRPr="008A3265">
        <w:rPr>
          <w:rFonts w:ascii="Brill" w:hAnsi="Brill"/>
          <w:i/>
          <w:noProof/>
          <w:lang w:val="id-ID"/>
        </w:rPr>
        <w:t>Routledge Handbook of Philosophy of the City</w:t>
      </w:r>
      <w:r w:rsidRPr="008A3265">
        <w:rPr>
          <w:rFonts w:ascii="Brill" w:hAnsi="Brill"/>
          <w:noProof/>
          <w:lang w:val="id-ID"/>
        </w:rPr>
        <w:t>, ed. Sharon M. Meagher, Samantha Noll, and Joseph S. Biehl (London: Publisher: Routledge, 2018), 76–86.</w:t>
      </w:r>
      <w:r w:rsidRPr="008A3265">
        <w:rPr>
          <w:rFonts w:ascii="Brill" w:hAnsi="Brill"/>
          <w:lang w:val="id-ID"/>
        </w:rPr>
        <w:fldChar w:fldCharType="end"/>
      </w:r>
    </w:p>
  </w:footnote>
  <w:footnote w:id="2">
    <w:p w14:paraId="0F68F711" w14:textId="3E7951BB" w:rsidR="000C3668" w:rsidRPr="008A3265" w:rsidRDefault="000C3668"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w:t>
      </w:r>
      <w:r w:rsidRPr="008A3265">
        <w:rPr>
          <w:rFonts w:ascii="Brill" w:hAnsi="Brill"/>
          <w:lang w:val="id-ID"/>
        </w:rPr>
        <w:fldChar w:fldCharType="begin" w:fldLock="1"/>
      </w:r>
      <w:r w:rsidRPr="008A3265">
        <w:rPr>
          <w:rFonts w:ascii="Brill" w:hAnsi="Brill"/>
          <w:lang w:val="id-ID"/>
        </w:rPr>
        <w:instrText>ADDIN CSL_CITATION {"citationItems":[{"id":"ITEM-1","itemData":{"author":[{"dropping-particle":"","family":"MacNaughton","given":"Gillian","non-dropping-particle":"","parse-names":false,"suffix":""},{"dropping-particle":"","family":"Weeks","given":"Sindiso Mnisi","non-dropping-particle":"","parse-names":false,"suffix":""},{"dropping-particle":"","family":"Kamau","given":"Esther","non-dropping-particle":"","parse-names":false,"suffix":""},{"dropping-particle":"","family":"Sajadi","given":"Shahrzad","non-dropping-particle":"","parse-names":false,"suffix":""},{"dropping-particle":"","family":"Tarimo","given":"Prisca","non-dropping-particle":"","parse-names":false,"suffix":""}],"container-title":"Human Rights Education Globally. Globalisation, Comparative Education and Policy Research Volume 22","editor":[{"dropping-particle":"","family":"Zajda","given":"Joseph","non-dropping-particle":"","parse-names":false,"suffix":""}],"id":"ITEM-1","issued":{"date-parts":[["2020"]]},"page":"109–132","publisher":"Springer","publisher-place":"Dordrecht","title":"The Promises and Challenges of Human Rights Cities","type":"chapter"},"uris":["http://www.mendeley.com/documents/?uuid=57fb8735-4846-4666-a3db-1acf0a9a8a3f"]}],"mendeley":{"formattedCitation":"Gillian MacNaughton et al., “The Promises and Challenges of Human Rights Cities,” in &lt;i&gt;Human Rights Education Globally. Globalisation, Comparative Education and Policy Research Volume 22&lt;/i&gt;, ed. Joseph Zajda (Dordrecht: Springer, 2020), 109–132.","plainTextFormattedCitation":"Gillian MacNaughton et al., “The Promises and Challenges of Human Rights Cities,” in Human Rights Education Globally. Globalisation, Comparative Education and Policy Research Volume 22, ed. Joseph Zajda (Dordrecht: Springer, 2020), 109–132.","previouslyFormattedCitation":"Gillian MacNaughton et al., “The Promises and Challenges of Human Rights Cities,” in &lt;i&gt;Human Rights Education Globally. Globalisation, Comparative Education and Policy Research Volume 22&lt;/i&gt;, ed. Joseph Zajda (Dordrecht: Springer, 2020), 109–132."},"properties":{"noteIndex":2},"schema":"https://github.com/citation-style-language/schema/raw/master/csl-citation.json"}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 xml:space="preserve">Gillian MacNaughton et al., </w:t>
      </w:r>
      <w:r w:rsidR="008C5148">
        <w:rPr>
          <w:rFonts w:ascii="Brill" w:hAnsi="Brill"/>
          <w:noProof/>
          <w:lang w:val="id-ID"/>
        </w:rPr>
        <w:t>“</w:t>
      </w:r>
      <w:r w:rsidRPr="008A3265">
        <w:rPr>
          <w:rFonts w:ascii="Brill" w:hAnsi="Brill"/>
          <w:noProof/>
          <w:lang w:val="id-ID"/>
        </w:rPr>
        <w:t>The Promises and Challenges of Human Rights Cities,</w:t>
      </w:r>
      <w:r w:rsidR="008C5148">
        <w:rPr>
          <w:rFonts w:ascii="Brill" w:hAnsi="Brill"/>
          <w:noProof/>
          <w:lang w:val="id-ID"/>
        </w:rPr>
        <w:t>”</w:t>
      </w:r>
      <w:r w:rsidRPr="008A3265">
        <w:rPr>
          <w:rFonts w:ascii="Brill" w:hAnsi="Brill"/>
          <w:noProof/>
          <w:lang w:val="id-ID"/>
        </w:rPr>
        <w:t xml:space="preserve"> in </w:t>
      </w:r>
      <w:r w:rsidRPr="008A3265">
        <w:rPr>
          <w:rFonts w:ascii="Brill" w:hAnsi="Brill"/>
          <w:i/>
          <w:noProof/>
          <w:lang w:val="id-ID"/>
        </w:rPr>
        <w:t>Human Rights Education Globally. Globalisation, Comparative Education and Policy Research Volume 22</w:t>
      </w:r>
      <w:r w:rsidRPr="008A3265">
        <w:rPr>
          <w:rFonts w:ascii="Brill" w:hAnsi="Brill"/>
          <w:noProof/>
          <w:lang w:val="id-ID"/>
        </w:rPr>
        <w:t>, ed. Joseph Zajda (Dordrecht: Springer, 2020), 109–132.</w:t>
      </w:r>
      <w:r w:rsidRPr="008A3265">
        <w:rPr>
          <w:rFonts w:ascii="Brill" w:hAnsi="Brill"/>
          <w:lang w:val="id-ID"/>
        </w:rPr>
        <w:fldChar w:fldCharType="end"/>
      </w:r>
    </w:p>
  </w:footnote>
  <w:footnote w:id="3">
    <w:p w14:paraId="62710A16" w14:textId="406A4C39" w:rsidR="00C30CD1" w:rsidRPr="008A3265" w:rsidRDefault="00C30CD1"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w:t>
      </w:r>
      <w:r w:rsidRPr="008A3265">
        <w:rPr>
          <w:rFonts w:ascii="Brill" w:hAnsi="Brill"/>
          <w:lang w:val="id-ID"/>
        </w:rPr>
        <w:fldChar w:fldCharType="begin" w:fldLock="1"/>
      </w:r>
      <w:r w:rsidR="00AD2E7A" w:rsidRPr="008A3265">
        <w:rPr>
          <w:rFonts w:ascii="Brill" w:hAnsi="Brill"/>
          <w:lang w:val="id-ID"/>
        </w:rPr>
        <w:instrText>ADDIN CSL_CITATION {"citationItems":[{"id":"ITEM-1","itemData":{"author":[{"dropping-particle":"","family":"Marks","given":"Stephen P","non-dropping-particle":"","parse-names":false,"suffix":""},{"dropping-particle":"","family":"Modrowski","given":"Kathleen A.","non-dropping-particle":"","parse-names":false,"suffix":""},{"dropping-particle":"","family":"Lichem","given":"Walther","non-dropping-particle":"","parse-names":false,"suffix":""}],"id":"ITEM-1","issued":{"date-parts":[["2008"]]},"number-of-pages":"48","publisher":"People’s Movement for Human Rights Learning &amp; UN Habitat","publisher-place":"New York","title":"Human Rights Cities: Civic Engagement for Societal Development","type":"book"},"uris":["http://www.mendeley.com/documents/?uuid=7dcb701c-81af-472a-8308-a728dc4f0d2f"]}],"mendeley":{"formattedCitation":"Stephen P Marks, Kathleen A. Modrowski, and Walther Lichem, &lt;i&gt;Human Rights Cities: Civic Engagement for Societal Development&lt;/i&gt; (New York: People’s Movement for Human Rights Learning &amp; UN Habitat, 2008).","plainTextFormattedCitation":"Stephen P Marks, Kathleen A. Modrowski, and Walther Lichem, Human Rights Cities: Civic Engagement for Societal Development (New York: People’s Movement for Human Rights Learning &amp; UN Habitat, 2008).","previouslyFormattedCitation":"Stephen P Marks, Kathleen A. Modrowski, and Walther Lichem, &lt;i&gt;Human Rights Cities: Civic Engagement for Societal Development&lt;/i&gt; (New York: People’s Movement for Human Rights Learning &amp; UN Habitat, 2008)."},"properties":{"noteIndex":3},"schema":"https://github.com/citation-style-language/schema/raw/master/csl-citation.json"}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 xml:space="preserve">Stephen P Marks, Kathleen A. Modrowski, and Walther Lichem, </w:t>
      </w:r>
      <w:r w:rsidRPr="008A3265">
        <w:rPr>
          <w:rFonts w:ascii="Brill" w:hAnsi="Brill"/>
          <w:i/>
          <w:noProof/>
          <w:lang w:val="id-ID"/>
        </w:rPr>
        <w:t>Human Rights Cities: Civic Engagement for Societal Development</w:t>
      </w:r>
      <w:r w:rsidRPr="008A3265">
        <w:rPr>
          <w:rFonts w:ascii="Brill" w:hAnsi="Brill"/>
          <w:noProof/>
          <w:lang w:val="id-ID"/>
        </w:rPr>
        <w:t xml:space="preserve"> (New York: People</w:t>
      </w:r>
      <w:r w:rsidR="008C5148">
        <w:rPr>
          <w:rFonts w:ascii="Brill" w:hAnsi="Brill"/>
          <w:noProof/>
          <w:lang w:val="id-ID"/>
        </w:rPr>
        <w:t>’</w:t>
      </w:r>
      <w:r w:rsidRPr="008A3265">
        <w:rPr>
          <w:rFonts w:ascii="Brill" w:hAnsi="Brill"/>
          <w:noProof/>
          <w:lang w:val="id-ID"/>
        </w:rPr>
        <w:t>s Movement for Human Rights Learning &amp; UN Habitat, 2008).</w:t>
      </w:r>
      <w:r w:rsidRPr="008A3265">
        <w:rPr>
          <w:rFonts w:ascii="Brill" w:hAnsi="Brill"/>
          <w:lang w:val="id-ID"/>
        </w:rPr>
        <w:fldChar w:fldCharType="end"/>
      </w:r>
    </w:p>
  </w:footnote>
  <w:footnote w:id="4">
    <w:p w14:paraId="22F9BE1A" w14:textId="4A95202B" w:rsidR="00AD2E7A" w:rsidRPr="008A3265" w:rsidRDefault="00AD2E7A"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w:t>
      </w:r>
      <w:r w:rsidRPr="008A3265">
        <w:rPr>
          <w:rFonts w:ascii="Brill" w:hAnsi="Brill"/>
          <w:lang w:val="id-ID"/>
        </w:rPr>
        <w:fldChar w:fldCharType="begin" w:fldLock="1"/>
      </w:r>
      <w:r w:rsidR="00652F5E" w:rsidRPr="008A3265">
        <w:rPr>
          <w:rFonts w:ascii="Brill" w:hAnsi="Brill"/>
          <w:lang w:val="id-ID"/>
        </w:rPr>
        <w:instrText>ADDIN CSL_CITATION {"citationItems":[{"id":"ITEM-1","itemData":{"URL":"https://www.uclg-cisdp.org/sites/default/files/Gwangju_Declaration_on_HR_City_final_edited_version_110524.pdf","accessed":{"date-parts":[["2021","3","3"]]},"author":[{"dropping-particle":"","family":"Forum","given":"World Human Rights Cities","non-dropping-particle":"","parse-names":false,"suffix":""}],"container-title":"World Human Rights Cities Forum","id":"ITEM-1","issued":{"date-parts":[["2011"]]},"page":"2-3","title":"Gwangju Declaration on Human Right City","type":"webpage"},"uris":["http://www.mendeley.com/documents/?uuid=8fc19fd9-c9da-478a-ae42-0c8f2f03a7ea"]}],"mendeley":{"formattedCitation":"World Human Rights Cities Forum, “Gwangju Declaration on Human Right City,” &lt;i&gt;World Human Rights Cities Forum&lt;/i&gt;, last modified 2011, accessed March 3, 2021, https://www.uclg-cisdp.org/sites/default/files/Gwangju_Declaration_on_HR_City_final_edited_version_110524.pdf.","plainTextFormattedCitation":"World Human Rights Cities Forum, “Gwangju Declaration on Human Right City,” World Human Rights Cities Forum, last modified 2011, accessed March 3, 2021, https://www.uclg-cisdp.org/sites/default/files/Gwangju_Declaration_on_HR_City_final_edited_version_110524.pdf.","previouslyFormattedCitation":"World Human Rights Cities Forum, “Gwangju Declaration on Human Right City,” &lt;i&gt;World Human Rights Cities Forum&lt;/i&gt;, last modified 2011, accessed March 3, 2021, https://www.uclg-cisdp.org/sites/default/files/Gwangju_Declaration_on_HR_City_final_edited_version_110524.pdf."},"properties":{"noteIndex":4},"schema":"https://github.com/citation-style-language/schema/raw/master/csl-citation.json"}</w:instrText>
      </w:r>
      <w:r w:rsidRPr="008A3265">
        <w:rPr>
          <w:rFonts w:ascii="Brill" w:hAnsi="Brill"/>
          <w:lang w:val="id-ID"/>
        </w:rPr>
        <w:fldChar w:fldCharType="separate"/>
      </w:r>
      <w:r w:rsidR="00E5792A" w:rsidRPr="008A3265">
        <w:rPr>
          <w:rFonts w:ascii="Brill" w:hAnsi="Brill"/>
          <w:noProof/>
          <w:lang w:val="id-ID"/>
        </w:rPr>
        <w:t xml:space="preserve">World Human Rights Cities Forum, </w:t>
      </w:r>
      <w:r w:rsidR="008C5148">
        <w:rPr>
          <w:rFonts w:ascii="Brill" w:hAnsi="Brill"/>
          <w:noProof/>
          <w:lang w:val="id-ID"/>
        </w:rPr>
        <w:t>“</w:t>
      </w:r>
      <w:r w:rsidR="00E5792A" w:rsidRPr="008A3265">
        <w:rPr>
          <w:rFonts w:ascii="Brill" w:hAnsi="Brill"/>
          <w:noProof/>
          <w:lang w:val="id-ID"/>
        </w:rPr>
        <w:t>Gwangju Declaration on Human Right City,</w:t>
      </w:r>
      <w:r w:rsidR="008C5148">
        <w:rPr>
          <w:rFonts w:ascii="Brill" w:hAnsi="Brill"/>
          <w:noProof/>
          <w:lang w:val="id-ID"/>
        </w:rPr>
        <w:t>”</w:t>
      </w:r>
      <w:r w:rsidR="00E5792A" w:rsidRPr="008A3265">
        <w:rPr>
          <w:rFonts w:ascii="Brill" w:hAnsi="Brill"/>
          <w:noProof/>
          <w:lang w:val="id-ID"/>
        </w:rPr>
        <w:t xml:space="preserve"> </w:t>
      </w:r>
      <w:r w:rsidR="00E5792A" w:rsidRPr="008A3265">
        <w:rPr>
          <w:rFonts w:ascii="Brill" w:hAnsi="Brill"/>
          <w:i/>
          <w:noProof/>
          <w:lang w:val="id-ID"/>
        </w:rPr>
        <w:t>World Human Rights Cities Forum</w:t>
      </w:r>
      <w:r w:rsidR="00E5792A" w:rsidRPr="008A3265">
        <w:rPr>
          <w:rFonts w:ascii="Brill" w:hAnsi="Brill"/>
          <w:noProof/>
          <w:lang w:val="id-ID"/>
        </w:rPr>
        <w:t>, last modified 2011, accessed March 3, 2021, https://www.uclg-cisdp.org/sites/default/files/Gwangju_Declaration_on_HR_City_final_edited_version_110524.pdf.</w:t>
      </w:r>
      <w:r w:rsidRPr="008A3265">
        <w:rPr>
          <w:rFonts w:ascii="Brill" w:hAnsi="Brill"/>
          <w:lang w:val="id-ID"/>
        </w:rPr>
        <w:fldChar w:fldCharType="end"/>
      </w:r>
    </w:p>
  </w:footnote>
  <w:footnote w:id="5">
    <w:p w14:paraId="37E21656" w14:textId="2C11D6BB" w:rsidR="00F37B3A" w:rsidRPr="008A3265" w:rsidRDefault="00F37B3A"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w:t>
      </w:r>
      <w:r w:rsidRPr="008A3265">
        <w:rPr>
          <w:rFonts w:ascii="Brill" w:hAnsi="Brill"/>
          <w:lang w:val="id-ID"/>
        </w:rPr>
        <w:fldChar w:fldCharType="begin" w:fldLock="1"/>
      </w:r>
      <w:r w:rsidRPr="008A3265">
        <w:rPr>
          <w:rFonts w:ascii="Brill" w:hAnsi="Brill"/>
          <w:lang w:val="id-ID"/>
        </w:rPr>
        <w:instrText>ADDIN CSL_CITATION {"citationItems":[{"id":"ITEM-1","itemData":{"author":[{"dropping-particle":"","family":"Tsutsui","given":"Kiyoteru","non-dropping-particle":"","parse-names":false,"suffix":""},{"dropping-particle":"","family":"Smith","given":"Jackie","non-dropping-particle":"","parse-names":false,"suffix":""}],"container-title":"The Wiley Blackwell Companion to Social Movements","id":"ITEM-1","issued":{"date-parts":[["2019"]]},"page":"17","publisher":"Wiley Blackwell","publisher-place":"New York","title":"Human Rights and Social Movements: From the Boomerang Pattern to a Sandwich Effect","type":"chapter"},"uris":["http://www.mendeley.com/documents/?uuid=178c515c-0720-44be-93d6-b08252be3879"]}],"mendeley":{"formattedCitation":"Kiyoteru Tsutsui and Jackie Smith, “Human Rights and Social Movements: From the Boomerang Pattern to a Sandwich Effect,” in &lt;i&gt;The Wiley Blackwell Companion to Social Movements&lt;/i&gt; (New York: Wiley Blackwell, 2019), 17.","plainTextFormattedCitation":"Kiyoteru Tsutsui and Jackie Smith, “Human Rights and Social Movements: From the Boomerang Pattern to a Sandwich Effect,” in The Wiley Blackwell Companion to Social Movements (New York: Wiley Blackwell, 2019), 17.","previouslyFormattedCitation":"Kiyoteru Tsutsui and Jackie Smith, “Human Rights and Social Movements: From the Boomerang Pattern to a Sandwich Effect,” in &lt;i&gt;The Wiley Blackwell Companion to Social Movements&lt;/i&gt; (New York: Wiley Blackwell, 2019), 17."},"properties":{"noteIndex":5},"schema":"https://github.com/citation-style-language/schema/raw/master/csl-citation.json"}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 xml:space="preserve">Kiyoteru Tsutsui and Jackie Smith, </w:t>
      </w:r>
      <w:r w:rsidR="008C5148">
        <w:rPr>
          <w:rFonts w:ascii="Brill" w:hAnsi="Brill"/>
          <w:noProof/>
          <w:lang w:val="id-ID"/>
        </w:rPr>
        <w:t>“</w:t>
      </w:r>
      <w:r w:rsidRPr="008A3265">
        <w:rPr>
          <w:rFonts w:ascii="Brill" w:hAnsi="Brill"/>
          <w:noProof/>
          <w:lang w:val="id-ID"/>
        </w:rPr>
        <w:t>Human Rights and Social Movements: From the Boomerang Pattern to a Sandwich Effect,</w:t>
      </w:r>
      <w:r w:rsidR="008C5148">
        <w:rPr>
          <w:rFonts w:ascii="Brill" w:hAnsi="Brill"/>
          <w:noProof/>
          <w:lang w:val="id-ID"/>
        </w:rPr>
        <w:t>”</w:t>
      </w:r>
      <w:r w:rsidRPr="008A3265">
        <w:rPr>
          <w:rFonts w:ascii="Brill" w:hAnsi="Brill"/>
          <w:noProof/>
          <w:lang w:val="id-ID"/>
        </w:rPr>
        <w:t xml:space="preserve"> in </w:t>
      </w:r>
      <w:r w:rsidRPr="008A3265">
        <w:rPr>
          <w:rFonts w:ascii="Brill" w:hAnsi="Brill"/>
          <w:i/>
          <w:noProof/>
          <w:lang w:val="id-ID"/>
        </w:rPr>
        <w:t>The Wiley Blackwell Companion to Social Movements</w:t>
      </w:r>
      <w:r w:rsidRPr="008A3265">
        <w:rPr>
          <w:rFonts w:ascii="Brill" w:hAnsi="Brill"/>
          <w:noProof/>
          <w:lang w:val="id-ID"/>
        </w:rPr>
        <w:t xml:space="preserve"> (New York: Wiley Blackwell, 2019), 17.</w:t>
      </w:r>
      <w:r w:rsidRPr="008A3265">
        <w:rPr>
          <w:rFonts w:ascii="Brill" w:hAnsi="Brill"/>
          <w:lang w:val="id-ID"/>
        </w:rPr>
        <w:fldChar w:fldCharType="end"/>
      </w:r>
    </w:p>
  </w:footnote>
  <w:footnote w:id="6">
    <w:p w14:paraId="777FC4D2" w14:textId="77777777" w:rsidR="00F37B3A" w:rsidRPr="008A3265" w:rsidRDefault="00F37B3A"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w:t>
      </w:r>
      <w:r w:rsidRPr="008A3265">
        <w:rPr>
          <w:rFonts w:ascii="Brill" w:hAnsi="Brill"/>
          <w:lang w:val="id-ID"/>
        </w:rPr>
        <w:fldChar w:fldCharType="begin" w:fldLock="1"/>
      </w:r>
      <w:r w:rsidRPr="008A3265">
        <w:rPr>
          <w:rFonts w:ascii="Brill" w:hAnsi="Brill"/>
          <w:lang w:val="id-ID"/>
        </w:rPr>
        <w:instrText>ADDIN CSL_CITATION {"citationItems":[{"id":"ITEM-1","itemData":{"author":[{"dropping-particle":"","family":"Gyonggu","given":"Shin","non-dropping-particle":"","parse-names":false,"suffix":""},{"dropping-particle":"","family":"Jean","given":"Ahn","non-dropping-particle":"","parse-names":false,"suffix":""},{"dropping-particle":"","family":"Jinhee","given":"Chon","non-dropping-particle":"","parse-names":false,"suffix":""}],"id":"ITEM-1","issued":{"date-parts":[["2019"]]},"number-of-pages":"1-32","publisher-place":"Gwangju","title":"Human Rights City Gwangju: Its Development, Achievement and Limitation","type":"report"},"uris":["http://www.mendeley.com/documents/?uuid=7cc0951c-27c6-4905-9111-3d8551426775"]}],"mendeley":{"formattedCitation":"Shin Gyonggu, Ahn Jean, and Chon Jinhee, &lt;i&gt;Human Rights City Gwangju: Its Development, Achievement and Limitation&lt;/i&gt; (Gwangju, 2019).","plainTextFormattedCitation":"Shin Gyonggu, Ahn Jean, and Chon Jinhee, Human Rights City Gwangju: Its Development, Achievement and Limitation (Gwangju, 2019).","previouslyFormattedCitation":"Shin Gyonggu, Ahn Jean, and Chon Jinhee, &lt;i&gt;Human Rights City Gwangju: Its Development, Achievement and Limitation&lt;/i&gt; (Gwangju, 2019)."},"properties":{"noteIndex":6},"schema":"https://github.com/citation-style-language/schema/raw/master/csl-citation.json"}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 xml:space="preserve">Shin Gyonggu, Ahn Jean, and Chon Jinhee, </w:t>
      </w:r>
      <w:r w:rsidRPr="008A3265">
        <w:rPr>
          <w:rFonts w:ascii="Brill" w:hAnsi="Brill"/>
          <w:i/>
          <w:noProof/>
          <w:lang w:val="id-ID"/>
        </w:rPr>
        <w:t>Human Rights City Gwangju: Its Development, Achievement and Limitation</w:t>
      </w:r>
      <w:r w:rsidRPr="008A3265">
        <w:rPr>
          <w:rFonts w:ascii="Brill" w:hAnsi="Brill"/>
          <w:noProof/>
          <w:lang w:val="id-ID"/>
        </w:rPr>
        <w:t xml:space="preserve"> (Gwangju, 2019).</w:t>
      </w:r>
      <w:r w:rsidRPr="008A3265">
        <w:rPr>
          <w:rFonts w:ascii="Brill" w:hAnsi="Brill"/>
          <w:lang w:val="id-ID"/>
        </w:rPr>
        <w:fldChar w:fldCharType="end"/>
      </w:r>
    </w:p>
  </w:footnote>
  <w:footnote w:id="7">
    <w:p w14:paraId="31E1B2DD" w14:textId="77777777" w:rsidR="00F37B3A" w:rsidRPr="008A3265" w:rsidRDefault="00F37B3A"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w:t>
      </w:r>
      <w:r w:rsidRPr="008A3265">
        <w:rPr>
          <w:rFonts w:ascii="Brill" w:hAnsi="Brill"/>
          <w:lang w:val="id-ID"/>
        </w:rPr>
        <w:fldChar w:fldCharType="begin" w:fldLock="1"/>
      </w:r>
      <w:r w:rsidRPr="008A3265">
        <w:rPr>
          <w:rFonts w:ascii="Brill" w:hAnsi="Brill"/>
          <w:lang w:val="id-ID"/>
        </w:rPr>
        <w:instrText>ADDIN CSL_CITATION {"citationItems":[{"id":"ITEM-1","itemData":{"author":[{"dropping-particle":"","family":"Abidin","given":"Zainal","non-dropping-particle":"","parse-names":false,"suffix":""},{"dropping-particle":"","family":"Nababan","given":"Aviva","non-dropping-particle":"","parse-names":false,"suffix":""}],"id":"ITEM-1","issued":{"date-parts":[["2021"]]},"number-of-pages":"41-43","publisher-place":"Jakarta","title":"Indikator Kota HAM: Studi Praktik Penyelenggaraan Kota HAM di Dunia dan di Indonesia","type":"report"},"uris":["http://www.mendeley.com/documents/?uuid=5ab4164b-62d3-4552-b40c-2aa0676ce9c8"]}],"mendeley":{"formattedCitation":"Zainal Abidin and Aviva Nababan, &lt;i&gt;Indikator Kota HAM: Studi Praktik Penyelenggaraan Kota HAM Di Dunia Dan Di Indonesia&lt;/i&gt; (Jakarta, 2021).","plainTextFormattedCitation":"Zainal Abidin and Aviva Nababan, Indikator Kota HAM: Studi Praktik Penyelenggaraan Kota HAM Di Dunia Dan Di Indonesia (Jakarta, 2021).","previouslyFormattedCitation":"Zainal Abidin and Aviva Nababan, &lt;i&gt;Indikator Kota HAM: Studi Praktik Penyelenggaraan Kota HAM Di Dunia Dan Di Indonesia&lt;/i&gt; (Jakarta, 2021)."},"properties":{"noteIndex":7},"schema":"https://github.com/citation-style-language/schema/raw/master/csl-citation.json"}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 xml:space="preserve">Zainal Abidin and Aviva Nababan, </w:t>
      </w:r>
      <w:r w:rsidRPr="008A3265">
        <w:rPr>
          <w:rFonts w:ascii="Brill" w:hAnsi="Brill"/>
          <w:i/>
          <w:noProof/>
          <w:lang w:val="id-ID"/>
        </w:rPr>
        <w:t>Indikator Kota HAM: Studi Praktik Penyelenggaraan Kota HAM Di Dunia Dan Di Indonesia</w:t>
      </w:r>
      <w:r w:rsidRPr="008A3265">
        <w:rPr>
          <w:rFonts w:ascii="Brill" w:hAnsi="Brill"/>
          <w:noProof/>
          <w:lang w:val="id-ID"/>
        </w:rPr>
        <w:t xml:space="preserve"> (Jakarta, 2021).</w:t>
      </w:r>
      <w:r w:rsidRPr="008A3265">
        <w:rPr>
          <w:rFonts w:ascii="Brill" w:hAnsi="Brill"/>
          <w:lang w:val="id-ID"/>
        </w:rPr>
        <w:fldChar w:fldCharType="end"/>
      </w:r>
    </w:p>
  </w:footnote>
  <w:footnote w:id="8">
    <w:p w14:paraId="58F3742E" w14:textId="2624FC8C" w:rsidR="00F37B3A" w:rsidRPr="008A3265" w:rsidRDefault="00F37B3A" w:rsidP="008A3265">
      <w:pPr>
        <w:pStyle w:val="FootnoteText"/>
        <w:ind w:firstLine="567"/>
        <w:jc w:val="both"/>
        <w:rPr>
          <w:rFonts w:ascii="Brill" w:hAnsi="Brill"/>
          <w:lang w:val="id-ID"/>
        </w:rPr>
      </w:pPr>
      <w:r w:rsidRPr="008A3265">
        <w:rPr>
          <w:rStyle w:val="FootnoteReference"/>
          <w:rFonts w:ascii="Brill" w:hAnsi="Brill"/>
          <w:lang w:val="id-ID"/>
        </w:rPr>
        <w:footnoteRef/>
      </w:r>
      <w:r w:rsidR="00276525" w:rsidRPr="008A3265">
        <w:rPr>
          <w:rFonts w:ascii="Brill" w:hAnsi="Brill"/>
          <w:lang w:val="en-US"/>
        </w:rPr>
        <w:t xml:space="preserve"> </w:t>
      </w:r>
      <w:r w:rsidRPr="008A3265">
        <w:rPr>
          <w:rFonts w:ascii="Brill" w:hAnsi="Brill"/>
          <w:lang w:val="id-ID"/>
        </w:rPr>
        <w:t xml:space="preserve">Meskipun didominasi identitas etnis, dalam berbagai kasus juga dapat merambah pada identitas agama. Lihat dalam </w:t>
      </w:r>
      <w:r w:rsidRPr="008A3265">
        <w:rPr>
          <w:rFonts w:ascii="Brill" w:hAnsi="Brill"/>
          <w:lang w:val="id-ID"/>
        </w:rPr>
        <w:fldChar w:fldCharType="begin" w:fldLock="1"/>
      </w:r>
      <w:r w:rsidRPr="008A3265">
        <w:rPr>
          <w:rFonts w:ascii="Brill" w:hAnsi="Brill"/>
          <w:lang w:val="id-ID"/>
        </w:rPr>
        <w:instrText>ADDIN CSL_CITATION {"citationItems":[{"id":"ITEM-1","itemData":{"DOI":"https://doi.org/10.24198/jkrk.v2i2.28149","author":[{"dropping-particle":"","family":"Sumaya","given":"Faraz","non-dropping-particle":"","parse-names":false,"suffix":""}],"container-title":"Jurnal Kolaborasi Resolusi Konflik","id":"ITEM-1","issue":"2","issued":{"date-parts":[["2020"]]},"page":"91-92","title":"Identitas dalam Konflik di Kalimantan Barat (Sebuah Pemetaan Konflik)","type":"article-journal","volume":"2"},"uris":["http://www.mendeley.com/documents/?uuid=3d9c0078-f88d-4506-bec1-a31d143a363b"]}],"mendeley":{"formattedCitation":"Faraz Sumaya, “Identitas Dalam Konflik Di Kalimantan Barat (Sebuah Pemetaan Konflik),” &lt;i&gt;Jurnal Kolaborasi Resolusi Konflik&lt;/i&gt; 2, no. 2 (2020): 91–92.","plainTextFormattedCitation":"Faraz Sumaya, “Identitas Dalam Konflik Di Kalimantan Barat (Sebuah Pemetaan Konflik),” Jurnal Kolaborasi Resolusi Konflik 2, no. 2 (2020): 91–92.","previouslyFormattedCitation":"Faraz Sumaya, “Identitas Dalam Konflik Di Kalimantan Barat (Sebuah Pemetaan Konflik),” &lt;i&gt;Jurnal Kolaborasi Resolusi Konflik&lt;/i&gt; 2, no. 2 (2020): 91–92."},"properties":{"noteIndex":8},"schema":"https://github.com/citation-style-language/schema/raw/master/csl-citation.json"}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 xml:space="preserve">Faraz Sumaya, </w:t>
      </w:r>
      <w:r w:rsidR="008C5148">
        <w:rPr>
          <w:rFonts w:ascii="Brill" w:hAnsi="Brill"/>
          <w:noProof/>
          <w:lang w:val="id-ID"/>
        </w:rPr>
        <w:t>“</w:t>
      </w:r>
      <w:r w:rsidRPr="008A3265">
        <w:rPr>
          <w:rFonts w:ascii="Brill" w:hAnsi="Brill"/>
          <w:noProof/>
          <w:lang w:val="id-ID"/>
        </w:rPr>
        <w:t>Identitas Dalam Konflik Di Kalimantan Barat (Sebuah Pemetaan Konflik),</w:t>
      </w:r>
      <w:r w:rsidR="008C5148">
        <w:rPr>
          <w:rFonts w:ascii="Brill" w:hAnsi="Brill"/>
          <w:noProof/>
          <w:lang w:val="id-ID"/>
        </w:rPr>
        <w:t>”</w:t>
      </w:r>
      <w:r w:rsidRPr="008A3265">
        <w:rPr>
          <w:rFonts w:ascii="Brill" w:hAnsi="Brill"/>
          <w:noProof/>
          <w:lang w:val="id-ID"/>
        </w:rPr>
        <w:t xml:space="preserve"> </w:t>
      </w:r>
      <w:r w:rsidRPr="008A3265">
        <w:rPr>
          <w:rFonts w:ascii="Brill" w:hAnsi="Brill"/>
          <w:i/>
          <w:noProof/>
          <w:lang w:val="id-ID"/>
        </w:rPr>
        <w:t>Jurnal Kolaborasi Resolusi Konflik</w:t>
      </w:r>
      <w:r w:rsidRPr="008A3265">
        <w:rPr>
          <w:rFonts w:ascii="Brill" w:hAnsi="Brill"/>
          <w:noProof/>
          <w:lang w:val="id-ID"/>
        </w:rPr>
        <w:t xml:space="preserve"> 2, no. 2 (2020): 91–92.</w:t>
      </w:r>
      <w:r w:rsidRPr="008A3265">
        <w:rPr>
          <w:rFonts w:ascii="Brill" w:hAnsi="Brill"/>
          <w:lang w:val="id-ID"/>
        </w:rPr>
        <w:fldChar w:fldCharType="end"/>
      </w:r>
      <w:r w:rsidRPr="008A3265">
        <w:rPr>
          <w:rFonts w:ascii="Brill" w:hAnsi="Brill"/>
          <w:lang w:val="id-ID"/>
        </w:rPr>
        <w:t xml:space="preserve"> </w:t>
      </w:r>
    </w:p>
  </w:footnote>
  <w:footnote w:id="9">
    <w:p w14:paraId="0EBCDBBC" w14:textId="09B1391B" w:rsidR="00F37B3A" w:rsidRPr="008A3265" w:rsidRDefault="00F37B3A"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Dalam kasus lainnya, pewarisan ini selalu memicu konflik ketika memasuki tahun politik</w:t>
      </w:r>
      <w:r w:rsidR="00276525" w:rsidRPr="008A3265">
        <w:rPr>
          <w:rFonts w:ascii="Brill" w:hAnsi="Brill"/>
          <w:lang w:val="en-US"/>
        </w:rPr>
        <w:t xml:space="preserve"> dengan istilah </w:t>
      </w:r>
      <w:r w:rsidR="008C5148">
        <w:rPr>
          <w:rFonts w:ascii="Brill" w:hAnsi="Brill"/>
          <w:lang w:val="id-ID"/>
        </w:rPr>
        <w:t>“</w:t>
      </w:r>
      <w:r w:rsidRPr="008A3265">
        <w:rPr>
          <w:rFonts w:ascii="Brill" w:hAnsi="Brill"/>
          <w:i/>
          <w:iCs/>
          <w:lang w:val="id-ID"/>
        </w:rPr>
        <w:t>hate spin</w:t>
      </w:r>
      <w:r w:rsidR="008C5148">
        <w:rPr>
          <w:rFonts w:ascii="Brill" w:hAnsi="Brill"/>
          <w:lang w:val="id-ID"/>
        </w:rPr>
        <w:t>”</w:t>
      </w:r>
      <w:r w:rsidR="00D90FCE" w:rsidRPr="008A3265">
        <w:rPr>
          <w:rFonts w:ascii="Brill" w:hAnsi="Brill"/>
          <w:lang w:val="en-US"/>
        </w:rPr>
        <w:t xml:space="preserve">. </w:t>
      </w:r>
      <w:r w:rsidRPr="008A3265">
        <w:rPr>
          <w:rFonts w:ascii="Brill" w:hAnsi="Brill"/>
          <w:lang w:val="id-ID"/>
        </w:rPr>
        <w:t xml:space="preserve">Lihat dalam </w:t>
      </w:r>
      <w:r w:rsidRPr="008A3265">
        <w:rPr>
          <w:rFonts w:ascii="Brill" w:hAnsi="Brill"/>
          <w:lang w:val="id-ID"/>
        </w:rPr>
        <w:fldChar w:fldCharType="begin" w:fldLock="1"/>
      </w:r>
      <w:r w:rsidRPr="008A3265">
        <w:rPr>
          <w:rFonts w:ascii="Brill" w:hAnsi="Brill"/>
          <w:lang w:val="id-ID"/>
        </w:rPr>
        <w:instrText>ADDIN CSL_CITATION {"citationItems":[{"id":"ITEM-1","itemData":{"DOI":"https://doi.org/10.24260/jhjd.v14i2.1811","author":[{"dropping-particle":"","family":"Ruslan","given":"Ismail","non-dropping-particle":"","parse-names":false,"suffix":""}],"container-title":"Al-Hikmah Jurnal Dakwah","id":"ITEM-1","issue":"2","issued":{"date-parts":[["2020"]]},"page":"189-212","title":"Pelintiran Kebencian (Hate Spin): Rekayasa Ketersinggungan dan Ujaran Kebencian dengan menggunakan Identitas Agama dan Etnik di Kalimantan Barat","type":"article-journal","volume":"14"},"uris":["http://www.mendeley.com/documents/?uuid=e921e7e4-21ad-47d3-b2bb-0c7ae663927f"]}],"mendeley":{"formattedCitation":"Ismail Ruslan, “Pelintiran Kebencian (Hate Spin): Rekayasa Ketersinggungan Dan Ujaran Kebencian Dengan Menggunakan Identitas Agama Dan Etnik Di Kalimantan Barat,” &lt;i&gt;Al-Hikmah Jurnal Dakwah&lt;/i&gt; 14, no. 2 (2020): 189–212.","plainTextFormattedCitation":"Ismail Ruslan, “Pelintiran Kebencian (Hate Spin): Rekayasa Ketersinggungan Dan Ujaran Kebencian Dengan Menggunakan Identitas Agama Dan Etnik Di Kalimantan Barat,” Al-Hikmah Jurnal Dakwah 14, no. 2 (2020): 189–212.","previouslyFormattedCitation":"Ismail Ruslan, “Pelintiran Kebencian (Hate Spin): Rekayasa Ketersinggungan Dan Ujaran Kebencian Dengan Menggunakan Identitas Agama Dan Etnik Di Kalimantan Barat,” &lt;i&gt;Al-Hikmah Jurnal Dakwah&lt;/i&gt; 14, no. 2 (2020): 189–212."},"properties":{"noteIndex":9},"schema":"https://github.com/citation-style-language/schema/raw/master/csl-citation.json"}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 xml:space="preserve">Ismail Ruslan, </w:t>
      </w:r>
      <w:r w:rsidR="008C5148">
        <w:rPr>
          <w:rFonts w:ascii="Brill" w:hAnsi="Brill"/>
          <w:noProof/>
          <w:lang w:val="id-ID"/>
        </w:rPr>
        <w:t>“</w:t>
      </w:r>
      <w:r w:rsidRPr="008A3265">
        <w:rPr>
          <w:rFonts w:ascii="Brill" w:hAnsi="Brill"/>
          <w:noProof/>
          <w:lang w:val="id-ID"/>
        </w:rPr>
        <w:t>Pelintiran Kebencian (Hate Spin): Rekayasa Ketersinggungan Dan Ujaran Kebencian Dengan Menggunakan Identitas Agama Dan Etnik Di Kalimantan Barat,</w:t>
      </w:r>
      <w:r w:rsidR="008C5148">
        <w:rPr>
          <w:rFonts w:ascii="Brill" w:hAnsi="Brill"/>
          <w:noProof/>
          <w:lang w:val="id-ID"/>
        </w:rPr>
        <w:t>”</w:t>
      </w:r>
      <w:r w:rsidRPr="008A3265">
        <w:rPr>
          <w:rFonts w:ascii="Brill" w:hAnsi="Brill"/>
          <w:noProof/>
          <w:lang w:val="id-ID"/>
        </w:rPr>
        <w:t xml:space="preserve"> </w:t>
      </w:r>
      <w:r w:rsidRPr="008A3265">
        <w:rPr>
          <w:rFonts w:ascii="Brill" w:hAnsi="Brill"/>
          <w:i/>
          <w:noProof/>
          <w:lang w:val="id-ID"/>
        </w:rPr>
        <w:t>Al-Hikmah Jurnal Dakwah</w:t>
      </w:r>
      <w:r w:rsidRPr="008A3265">
        <w:rPr>
          <w:rFonts w:ascii="Brill" w:hAnsi="Brill"/>
          <w:noProof/>
          <w:lang w:val="id-ID"/>
        </w:rPr>
        <w:t xml:space="preserve"> 14, no. 2 (2020): 189–212.</w:t>
      </w:r>
      <w:r w:rsidRPr="008A3265">
        <w:rPr>
          <w:rFonts w:ascii="Brill" w:hAnsi="Brill"/>
          <w:lang w:val="id-ID"/>
        </w:rPr>
        <w:fldChar w:fldCharType="end"/>
      </w:r>
    </w:p>
  </w:footnote>
  <w:footnote w:id="10">
    <w:p w14:paraId="7E4678A9" w14:textId="44D30B24" w:rsidR="00F37B3A" w:rsidRPr="008A3265" w:rsidRDefault="00F37B3A"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w:t>
      </w:r>
      <w:r w:rsidRPr="008A3265">
        <w:rPr>
          <w:rFonts w:ascii="Brill" w:hAnsi="Brill"/>
          <w:lang w:val="id-ID"/>
        </w:rPr>
        <w:fldChar w:fldCharType="begin" w:fldLock="1"/>
      </w:r>
      <w:r w:rsidRPr="008A3265">
        <w:rPr>
          <w:rFonts w:ascii="Brill" w:hAnsi="Brill"/>
          <w:lang w:val="id-ID"/>
        </w:rPr>
        <w:instrText>ADDIN CSL_CITATION {"citationItems":[{"id":"ITEM-1","itemData":{"author":[{"dropping-particle":"","family":"Simbolon","given":"Subandri","non-dropping-particle":"","parse-names":false,"suffix":""},{"dropping-particle":"","family":"Toruan","given":"Sepniar Lumban","non-dropping-particle":"","parse-names":false,"suffix":""},{"dropping-particle":"","family":"Ningsih","given":"Lulu Musyarafah","non-dropping-particle":"","parse-names":false,"suffix":""}],"id":"ITEM-1","issued":{"date-parts":[["2021"]]},"publisher-place":"Pontianak","title":"Analisis Kebijakan Publik Kota Pontianak Dengan Perspektif Pluralisme Kewargaan","type":"report"},"uris":["http://www.mendeley.com/documents/?uuid=ecee203f-1a98-425f-a73d-953ba3c82fd4"]}],"mendeley":{"formattedCitation":"Subandri Simbolon, Sepniar Lumban Toruan, and Lulu Musyarafah Ningsih, &lt;i&gt;Analisis Kebijakan Publik Kota Pontianak Dengan Perspektif Pluralisme Kewargaan&lt;/i&gt; (Pontianak, 2021).","plainTextFormattedCitation":"Subandri Simbolon, Sepniar Lumban Toruan, and Lulu Musyarafah Ningsih, Analisis Kebijakan Publik Kota Pontianak Dengan Perspektif Pluralisme Kewargaan (Pontianak, 2021).","previouslyFormattedCitation":"Subandri Simbolon, Sepniar Lumban Toruan, and Lulu Musyarafah Ningsih, &lt;i&gt;Analisis Kebijakan Publik Kota Pontianak Dengan Perspektif Pluralisme Kewargaan&lt;/i&gt; (Pontianak, 2021)."},"properties":{"noteIndex":10},"schema":"https://github.com/citation-style-language/schema/raw/master/csl-citation.json"}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 xml:space="preserve">Subandri Simbolon, Sepniar Lumban Toruan, and Lulu Musyarafah Ningsih, </w:t>
      </w:r>
      <w:r w:rsidRPr="008A3265">
        <w:rPr>
          <w:rFonts w:ascii="Brill" w:hAnsi="Brill"/>
          <w:i/>
          <w:noProof/>
          <w:lang w:val="id-ID"/>
        </w:rPr>
        <w:t>Analisis Kebijakan Publik Kota Pontianak Dengan Perspektif Pluralisme Kewargaan</w:t>
      </w:r>
      <w:r w:rsidRPr="008A3265">
        <w:rPr>
          <w:rFonts w:ascii="Brill" w:hAnsi="Brill"/>
          <w:noProof/>
          <w:lang w:val="id-ID"/>
        </w:rPr>
        <w:t xml:space="preserve"> (Pontianak, 2021).</w:t>
      </w:r>
      <w:r w:rsidRPr="008A3265">
        <w:rPr>
          <w:rFonts w:ascii="Brill" w:hAnsi="Brill"/>
          <w:lang w:val="id-ID"/>
        </w:rPr>
        <w:fldChar w:fldCharType="end"/>
      </w:r>
    </w:p>
  </w:footnote>
  <w:footnote w:id="11">
    <w:p w14:paraId="708FE287" w14:textId="4767C7A9" w:rsidR="00F37B3A" w:rsidRPr="008A3265" w:rsidRDefault="00F37B3A"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w:t>
      </w:r>
      <w:r w:rsidRPr="008A3265">
        <w:rPr>
          <w:rFonts w:ascii="Brill" w:eastAsia="Calibri" w:hAnsi="Brill" w:cs="Calibri"/>
          <w:lang w:val="id-ID"/>
        </w:rPr>
        <w:t>Draft tersebut sudah diajukan ke DPRD Kota Pontianak telah masuk dalam Program Legislasi Daerah Tahun 2023. Lihat dalam</w:t>
      </w:r>
      <w:r w:rsidR="008C5148">
        <w:rPr>
          <w:rFonts w:ascii="Brill" w:eastAsia="Calibri" w:hAnsi="Brill" w:cs="Calibri"/>
          <w:lang w:val="id-ID"/>
        </w:rPr>
        <w:t xml:space="preserve"> </w:t>
      </w:r>
      <w:r w:rsidRPr="008A3265">
        <w:rPr>
          <w:rFonts w:ascii="Brill" w:hAnsi="Brill"/>
          <w:lang w:val="id-ID"/>
        </w:rPr>
        <w:fldChar w:fldCharType="begin" w:fldLock="1"/>
      </w:r>
      <w:r w:rsidR="00652F5E" w:rsidRPr="008A3265">
        <w:rPr>
          <w:rFonts w:ascii="Brill" w:hAnsi="Brill"/>
          <w:lang w:val="id-ID"/>
        </w:rPr>
        <w:instrText>ADDIN CSL_CITATION {"citationItems":[{"id":"ITEM-1","itemData":{"URL":"https://suarasakhatulistiwa.or.id/publikasi","accessed":{"date-parts":[["2021","1","3"]]},"author":[{"dropping-particle":"","family":"Khatulistiwa","given":"Yayasan Suar Asa","non-dropping-particle":"","parse-names":false,"suffix":""}],"container-title":"Yayasan Suar Asa Khatulistiwa","id":"ITEM-1","issued":{"date-parts":[["2021"]]},"title":"Rancangan Peraturan Daerah Kota Pontianak tentang Penyelenggaraan Toleransi Dalam Kehidupan Bermasyarakat","type":"webpage"},"uris":["http://www.mendeley.com/documents/?uuid=359fc426-2b6a-4400-8cce-e6eabadce04d"]}],"mendeley":{"formattedCitation":"Yayasan Suar Asa Khatulistiwa, “Rancangan Peraturan Daerah Kota Pontianak Tentang Penyelenggaraan Toleransi Dalam Kehidupan Bermasyarakat,” &lt;i&gt;Yayasan Suar Asa Khatulistiwa&lt;/i&gt;, last modified 2021, accessed January 3, 2021, https://suarasakhatulistiwa.or.id/publikasi.","plainTextFormattedCitation":"Yayasan Suar Asa Khatulistiwa, “Rancangan Peraturan Daerah Kota Pontianak Tentang Penyelenggaraan Toleransi Dalam Kehidupan Bermasyarakat,” Yayasan Suar Asa Khatulistiwa, last modified 2021, accessed January 3, 2021, https://suarasakhatulistiwa.or.id/publikasi.","previouslyFormattedCitation":"Yayasan Suar Asa Khatulistiwa, “Rancangan Peraturan Daerah Kota Pontianak Tentang Penyelenggaraan Toleransi Dalam Kehidupan Bermasyarakat,” &lt;i&gt;Yayasan Suar Asa Khatulistiwa&lt;/i&gt;, last modified 2021, accessed January 3, 2021, https://suarasakhatulistiwa.or.id/publikasi."},"properties":{"noteIndex":11},"schema":"https://github.com/citation-style-language/schema/raw/master/csl-citation.json"}</w:instrText>
      </w:r>
      <w:r w:rsidRPr="008A3265">
        <w:rPr>
          <w:rFonts w:ascii="Brill" w:hAnsi="Brill"/>
          <w:lang w:val="id-ID"/>
        </w:rPr>
        <w:fldChar w:fldCharType="separate"/>
      </w:r>
      <w:r w:rsidR="00E5792A" w:rsidRPr="008A3265">
        <w:rPr>
          <w:rFonts w:ascii="Brill" w:hAnsi="Brill"/>
          <w:noProof/>
          <w:lang w:val="id-ID"/>
        </w:rPr>
        <w:t xml:space="preserve">Yayasan Suar Asa Khatulistiwa, </w:t>
      </w:r>
      <w:r w:rsidR="008C5148">
        <w:rPr>
          <w:rFonts w:ascii="Brill" w:hAnsi="Brill"/>
          <w:noProof/>
          <w:lang w:val="id-ID"/>
        </w:rPr>
        <w:t>“</w:t>
      </w:r>
      <w:r w:rsidR="00E5792A" w:rsidRPr="008A3265">
        <w:rPr>
          <w:rFonts w:ascii="Brill" w:hAnsi="Brill"/>
          <w:noProof/>
          <w:lang w:val="id-ID"/>
        </w:rPr>
        <w:t>Rancangan Peraturan Daerah Kota Pontianak Tentang Penyelenggaraan Toleransi Dalam Kehidupan Bermasyarakat,</w:t>
      </w:r>
      <w:r w:rsidR="008C5148">
        <w:rPr>
          <w:rFonts w:ascii="Brill" w:hAnsi="Brill"/>
          <w:noProof/>
          <w:lang w:val="id-ID"/>
        </w:rPr>
        <w:t>”</w:t>
      </w:r>
      <w:r w:rsidR="00E5792A" w:rsidRPr="008A3265">
        <w:rPr>
          <w:rFonts w:ascii="Brill" w:hAnsi="Brill"/>
          <w:noProof/>
          <w:lang w:val="id-ID"/>
        </w:rPr>
        <w:t xml:space="preserve"> </w:t>
      </w:r>
      <w:r w:rsidR="00E5792A" w:rsidRPr="008A3265">
        <w:rPr>
          <w:rFonts w:ascii="Brill" w:hAnsi="Brill"/>
          <w:i/>
          <w:noProof/>
          <w:lang w:val="id-ID"/>
        </w:rPr>
        <w:t>Yayasan Suar Asa Khatulistiwa</w:t>
      </w:r>
      <w:r w:rsidR="00E5792A" w:rsidRPr="008A3265">
        <w:rPr>
          <w:rFonts w:ascii="Brill" w:hAnsi="Brill"/>
          <w:noProof/>
          <w:lang w:val="id-ID"/>
        </w:rPr>
        <w:t>, last modified 2021, accessed January 3, 2021, https://suarasakhatulistiwa.or.id/publikasi.</w:t>
      </w:r>
      <w:r w:rsidRPr="008A3265">
        <w:rPr>
          <w:rFonts w:ascii="Brill" w:hAnsi="Brill"/>
          <w:lang w:val="id-ID"/>
        </w:rPr>
        <w:fldChar w:fldCharType="end"/>
      </w:r>
    </w:p>
  </w:footnote>
  <w:footnote w:id="12">
    <w:p w14:paraId="48A20B98" w14:textId="609BD694" w:rsidR="00E5792A" w:rsidRPr="008A3265" w:rsidRDefault="00E5792A" w:rsidP="008A3265">
      <w:pPr>
        <w:pStyle w:val="FootnoteText"/>
        <w:ind w:firstLine="567"/>
        <w:jc w:val="both"/>
        <w:rPr>
          <w:rFonts w:ascii="Brill" w:hAnsi="Brill"/>
          <w:lang w:val="en-US"/>
        </w:rPr>
      </w:pPr>
      <w:r w:rsidRPr="008A3265">
        <w:rPr>
          <w:rStyle w:val="FootnoteReference"/>
          <w:rFonts w:ascii="Brill" w:hAnsi="Brill"/>
        </w:rPr>
        <w:footnoteRef/>
      </w:r>
      <w:r w:rsidRPr="008A3265">
        <w:rPr>
          <w:rFonts w:ascii="Brill" w:hAnsi="Brill"/>
        </w:rPr>
        <w:t xml:space="preserve"> </w:t>
      </w:r>
      <w:r w:rsidRPr="008A3265">
        <w:rPr>
          <w:rFonts w:ascii="Brill" w:hAnsi="Brill"/>
        </w:rPr>
        <w:fldChar w:fldCharType="begin" w:fldLock="1"/>
      </w:r>
      <w:r w:rsidR="00652F5E" w:rsidRPr="008A3265">
        <w:rPr>
          <w:rFonts w:ascii="Brill" w:hAnsi="Brill"/>
        </w:rPr>
        <w:instrText>ADDIN CSL_CITATION {"citationItems":[{"id":"ITEM-1","itemData":{"DOI":"http://dx.doi.org/10.26532/jh.v39i1.30736","author":[{"dropping-particle":"","family":"Masar","given":"Afinzha","non-dropping-particle":"","parse-names":false,"suffix":""},{"dropping-particle":"","family":"Lubis","given":"Syofiaty","non-dropping-particle":"","parse-names":false,"suffix":""}],"container-title":"Jurnal Hukum Unissula","id":"ITEM-1","issue":"1","issued":{"date-parts":[["2023"]]},"page":"99","title":"Implementation Of Regional Regulation No. 3 Of 2022 Regarding Child Friendly District In Langkat District Viewed From The Perspective Of Fiqh Siyasah","type":"article-journal","volume":"39"},"uris":["http://www.mendeley.com/documents/?uuid=95fabecf-e907-4cd2-abcb-63699066b2e6"]}],"mendeley":{"formattedCitation":"Afinzha Masar and Syofiaty Lubis, “Implementation Of Regional Regulation No. 3 Of 2022 Regarding Child Friendly District In Langkat District Viewed From The Perspective Of Fiqh Siyasah,” &lt;i&gt;Jurnal Hukum Unissula&lt;/i&gt; 39, no. 1 (2023): 99.","plainTextFormattedCitation":"Afinzha Masar and Syofiaty Lubis, “Implementation Of Regional Regulation No. 3 Of 2022 Regarding Child Friendly District In Langkat District Viewed From The Perspective Of Fiqh Siyasah,” Jurnal Hukum Unissula 39, no. 1 (2023): 99.","previouslyFormattedCitation":"Afinzha Masar and Syofiaty Lubis, “Implementation Of Regional Regulation No. 3 Of 2022 Regarding Child Friendly District In Langkat District Viewed From The Perspective Of Fiqh Siyasah,” &lt;i&gt;Jurnal Hukum Unissula&lt;/i&gt; 39, no. 1 (2023): 99."},"properties":{"noteIndex":12},"schema":"https://github.com/citation-style-language/schema/raw/master/csl-citation.json"}</w:instrText>
      </w:r>
      <w:r w:rsidRPr="008A3265">
        <w:rPr>
          <w:rFonts w:ascii="Brill" w:hAnsi="Brill"/>
        </w:rPr>
        <w:fldChar w:fldCharType="separate"/>
      </w:r>
      <w:r w:rsidRPr="008A3265">
        <w:rPr>
          <w:rFonts w:ascii="Brill" w:hAnsi="Brill"/>
          <w:noProof/>
        </w:rPr>
        <w:t xml:space="preserve">Afinzha Masar and Syofiaty Lubis, </w:t>
      </w:r>
      <w:r w:rsidR="008C5148">
        <w:rPr>
          <w:rFonts w:ascii="Brill" w:hAnsi="Brill"/>
          <w:noProof/>
        </w:rPr>
        <w:t>“</w:t>
      </w:r>
      <w:r w:rsidRPr="008A3265">
        <w:rPr>
          <w:rFonts w:ascii="Brill" w:hAnsi="Brill"/>
          <w:noProof/>
        </w:rPr>
        <w:t>Implementation Of Regional Regulation No. 3 Of 2022 Regarding Child Friendly District In Langkat District Viewed From The Perspective Of Fiqh Siyasah,</w:t>
      </w:r>
      <w:r w:rsidR="008C5148">
        <w:rPr>
          <w:rFonts w:ascii="Brill" w:hAnsi="Brill"/>
          <w:noProof/>
        </w:rPr>
        <w:t>”</w:t>
      </w:r>
      <w:r w:rsidRPr="008A3265">
        <w:rPr>
          <w:rFonts w:ascii="Brill" w:hAnsi="Brill"/>
          <w:noProof/>
        </w:rPr>
        <w:t xml:space="preserve"> </w:t>
      </w:r>
      <w:r w:rsidRPr="008A3265">
        <w:rPr>
          <w:rFonts w:ascii="Brill" w:hAnsi="Brill"/>
          <w:i/>
          <w:noProof/>
        </w:rPr>
        <w:t>Jurnal Hukum Unissula</w:t>
      </w:r>
      <w:r w:rsidRPr="008A3265">
        <w:rPr>
          <w:rFonts w:ascii="Brill" w:hAnsi="Brill"/>
          <w:noProof/>
        </w:rPr>
        <w:t xml:space="preserve"> 39, no. 1 (2023): 99.</w:t>
      </w:r>
      <w:r w:rsidRPr="008A3265">
        <w:rPr>
          <w:rFonts w:ascii="Brill" w:hAnsi="Brill"/>
        </w:rPr>
        <w:fldChar w:fldCharType="end"/>
      </w:r>
    </w:p>
  </w:footnote>
  <w:footnote w:id="13">
    <w:p w14:paraId="75BA997C" w14:textId="10498F3A" w:rsidR="00652F5E" w:rsidRPr="008A3265" w:rsidRDefault="00652F5E" w:rsidP="008A3265">
      <w:pPr>
        <w:pStyle w:val="FootnoteText"/>
        <w:ind w:firstLine="567"/>
        <w:jc w:val="both"/>
        <w:rPr>
          <w:rFonts w:ascii="Brill" w:hAnsi="Brill"/>
          <w:lang w:val="en-US"/>
        </w:rPr>
      </w:pPr>
      <w:r w:rsidRPr="008A3265">
        <w:rPr>
          <w:rStyle w:val="FootnoteReference"/>
          <w:rFonts w:ascii="Brill" w:hAnsi="Brill"/>
        </w:rPr>
        <w:footnoteRef/>
      </w:r>
      <w:r w:rsidRPr="008A3265">
        <w:rPr>
          <w:rFonts w:ascii="Brill" w:hAnsi="Brill"/>
        </w:rPr>
        <w:t xml:space="preserve"> </w:t>
      </w:r>
      <w:r w:rsidRPr="008A3265">
        <w:rPr>
          <w:rFonts w:ascii="Brill" w:hAnsi="Brill"/>
        </w:rPr>
        <w:fldChar w:fldCharType="begin" w:fldLock="1"/>
      </w:r>
      <w:r w:rsidR="006E5901" w:rsidRPr="008A3265">
        <w:rPr>
          <w:rFonts w:ascii="Brill" w:hAnsi="Brill"/>
        </w:rPr>
        <w:instrText>ADDIN CSL_CITATION {"citationItems":[{"id":"ITEM-1","itemData":{"DOI":"https://doi.org/10.19184/jseahr.v8i1.44031","author":[{"dropping-particle":"","family":"Oktaviandra","given":"Surya","non-dropping-particle":"","parse-names":false,"suffix":""},{"dropping-particle":"","family":"Arza","given":"Putri Aulia","non-dropping-particle":"","parse-names":false,"suffix":""}],"container-title":"Journal of Southeast Asian Human Rights","id":"ITEM-1","issue":"1","issued":{"date-parts":[["2024"]]},"page":"203","title":"From International Regulation to Local Implementation Gender Equality for Sustainable Development Goals","type":"article-journal","volume":"8"},"uris":["http://www.mendeley.com/documents/?uuid=5f6df9d7-9e76-44ef-b1b9-3d3d300450a3"]}],"mendeley":{"formattedCitation":"Surya Oktaviandra and Putri Aulia Arza, “From International Regulation to Local Implementation Gender Equality for Sustainable Development Goals,” &lt;i&gt;Journal of Southeast Asian Human Rights&lt;/i&gt; 8, no. 1 (2024): 203.","plainTextFormattedCitation":"Surya Oktaviandra and Putri Aulia Arza, “From International Regulation to Local Implementation Gender Equality for Sustainable Development Goals,” Journal of Southeast Asian Human Rights 8, no. 1 (2024): 203.","previouslyFormattedCitation":"Surya Oktaviandra and Putri Aulia Arza, “From International Regulation to Local Implementation Gender Equality for Sustainable Development Goals,” &lt;i&gt;Journal of Southeast Asian Human Rights&lt;/i&gt; 8, no. 1 (2024): 203."},"properties":{"noteIndex":13},"schema":"https://github.com/citation-style-language/schema/raw/master/csl-citation.json"}</w:instrText>
      </w:r>
      <w:r w:rsidRPr="008A3265">
        <w:rPr>
          <w:rFonts w:ascii="Brill" w:hAnsi="Brill"/>
        </w:rPr>
        <w:fldChar w:fldCharType="separate"/>
      </w:r>
      <w:r w:rsidRPr="008A3265">
        <w:rPr>
          <w:rFonts w:ascii="Brill" w:hAnsi="Brill"/>
          <w:noProof/>
        </w:rPr>
        <w:t xml:space="preserve">Surya Oktaviandra and Putri Aulia Arza, </w:t>
      </w:r>
      <w:r w:rsidR="008C5148">
        <w:rPr>
          <w:rFonts w:ascii="Brill" w:hAnsi="Brill"/>
          <w:noProof/>
        </w:rPr>
        <w:t>“</w:t>
      </w:r>
      <w:r w:rsidRPr="008A3265">
        <w:rPr>
          <w:rFonts w:ascii="Brill" w:hAnsi="Brill"/>
          <w:noProof/>
        </w:rPr>
        <w:t>From International Regulation to Local Implementation Gender Equality for Sustainable Development Goals,</w:t>
      </w:r>
      <w:r w:rsidR="008C5148">
        <w:rPr>
          <w:rFonts w:ascii="Brill" w:hAnsi="Brill"/>
          <w:noProof/>
        </w:rPr>
        <w:t>”</w:t>
      </w:r>
      <w:r w:rsidRPr="008A3265">
        <w:rPr>
          <w:rFonts w:ascii="Brill" w:hAnsi="Brill"/>
          <w:noProof/>
        </w:rPr>
        <w:t xml:space="preserve"> </w:t>
      </w:r>
      <w:r w:rsidRPr="008A3265">
        <w:rPr>
          <w:rFonts w:ascii="Brill" w:hAnsi="Brill"/>
          <w:i/>
          <w:noProof/>
        </w:rPr>
        <w:t>Journal of Southeast Asian Human Rights</w:t>
      </w:r>
      <w:r w:rsidRPr="008A3265">
        <w:rPr>
          <w:rFonts w:ascii="Brill" w:hAnsi="Brill"/>
          <w:noProof/>
        </w:rPr>
        <w:t xml:space="preserve"> 8, no. 1 (2024): 203.</w:t>
      </w:r>
      <w:r w:rsidRPr="008A3265">
        <w:rPr>
          <w:rFonts w:ascii="Brill" w:hAnsi="Brill"/>
        </w:rPr>
        <w:fldChar w:fldCharType="end"/>
      </w:r>
    </w:p>
  </w:footnote>
  <w:footnote w:id="14">
    <w:p w14:paraId="630EE6B1" w14:textId="604DECA9" w:rsidR="006E5901" w:rsidRPr="008A3265" w:rsidRDefault="006E5901" w:rsidP="008A3265">
      <w:pPr>
        <w:pStyle w:val="FootnoteText"/>
        <w:ind w:firstLine="567"/>
        <w:jc w:val="both"/>
        <w:rPr>
          <w:rFonts w:ascii="Brill" w:hAnsi="Brill"/>
          <w:lang w:val="en-US"/>
        </w:rPr>
      </w:pPr>
      <w:r w:rsidRPr="008A3265">
        <w:rPr>
          <w:rStyle w:val="FootnoteReference"/>
          <w:rFonts w:ascii="Brill" w:hAnsi="Brill"/>
        </w:rPr>
        <w:footnoteRef/>
      </w:r>
      <w:r w:rsidRPr="008A3265">
        <w:rPr>
          <w:rFonts w:ascii="Brill" w:hAnsi="Brill"/>
        </w:rPr>
        <w:t xml:space="preserve"> </w:t>
      </w:r>
      <w:r w:rsidRPr="008A3265">
        <w:rPr>
          <w:rFonts w:ascii="Brill" w:hAnsi="Brill"/>
        </w:rPr>
        <w:fldChar w:fldCharType="begin" w:fldLock="1"/>
      </w:r>
      <w:r w:rsidR="00A319B6" w:rsidRPr="008A3265">
        <w:rPr>
          <w:rFonts w:ascii="Brill" w:hAnsi="Brill"/>
        </w:rPr>
        <w:instrText>ADDIN CSL_CITATION {"citationItems":[{"id":"ITEM-1","itemData":{"DOI":"https://doi.org/10.18860/j-fsh.v14i2.18289","author":[{"dropping-particle":"","family":"Lathifah","given":"Anthin","non-dropping-particle":"","parse-names":false,"suffix":""}],"container-title":"De Jure: Jurnal Hukum dan Syar'iah","id":"ITEM-1","issue":"2","issued":{"date-parts":[["2022"]]},"page":"331","title":"Distributing Rights, Social Justice, and Managing Conflict of Ahmadis","type":"article-journal","volume":"14"},"uris":["http://www.mendeley.com/documents/?uuid=1b3f8b56-6b08-4177-8739-ac0aef6301e4"]}],"mendeley":{"formattedCitation":"Anthin Lathifah, “Distributing Rights, Social Justice, and Managing Conflict of Ahmadis,” &lt;i&gt;De Jure: Jurnal Hukum dan Syar’iah&lt;/i&gt; 14, no. 2 (2022): 331.","plainTextFormattedCitation":"Anthin Lathifah, “Distributing Rights, Social Justice, and Managing Conflict of Ahmadis,” De Jure: Jurnal Hukum dan Syar’iah 14, no. 2 (2022): 331.","previouslyFormattedCitation":"Anthin Lathifah, “Distributing Rights, Social Justice, and Managing Conflict of Ahmadis,” &lt;i&gt;De Jure: Jurnal Hukum dan Syar’iah&lt;/i&gt; 14, no. 2 (2022): 331."},"properties":{"noteIndex":14},"schema":"https://github.com/citation-style-language/schema/raw/master/csl-citation.json"}</w:instrText>
      </w:r>
      <w:r w:rsidRPr="008A3265">
        <w:rPr>
          <w:rFonts w:ascii="Brill" w:hAnsi="Brill"/>
        </w:rPr>
        <w:fldChar w:fldCharType="separate"/>
      </w:r>
      <w:r w:rsidRPr="008A3265">
        <w:rPr>
          <w:rFonts w:ascii="Brill" w:hAnsi="Brill"/>
          <w:noProof/>
        </w:rPr>
        <w:t xml:space="preserve">Anthin Lathifah, </w:t>
      </w:r>
      <w:r w:rsidR="008C5148">
        <w:rPr>
          <w:rFonts w:ascii="Brill" w:hAnsi="Brill"/>
          <w:noProof/>
        </w:rPr>
        <w:t>“</w:t>
      </w:r>
      <w:r w:rsidRPr="008A3265">
        <w:rPr>
          <w:rFonts w:ascii="Brill" w:hAnsi="Brill"/>
          <w:noProof/>
        </w:rPr>
        <w:t>Distributing Rights, Social Justice, and Managing Conflict of Ahmadis,</w:t>
      </w:r>
      <w:r w:rsidR="008C5148">
        <w:rPr>
          <w:rFonts w:ascii="Brill" w:hAnsi="Brill"/>
          <w:noProof/>
        </w:rPr>
        <w:t>”</w:t>
      </w:r>
      <w:r w:rsidRPr="008A3265">
        <w:rPr>
          <w:rFonts w:ascii="Brill" w:hAnsi="Brill"/>
          <w:noProof/>
        </w:rPr>
        <w:t xml:space="preserve"> </w:t>
      </w:r>
      <w:r w:rsidRPr="008A3265">
        <w:rPr>
          <w:rFonts w:ascii="Brill" w:hAnsi="Brill"/>
          <w:i/>
          <w:noProof/>
        </w:rPr>
        <w:t>De Jure: Jurnal Hukum dan Syar</w:t>
      </w:r>
      <w:r w:rsidR="008C5148">
        <w:rPr>
          <w:rFonts w:ascii="Brill" w:hAnsi="Brill"/>
          <w:i/>
          <w:noProof/>
        </w:rPr>
        <w:t>’</w:t>
      </w:r>
      <w:r w:rsidRPr="008A3265">
        <w:rPr>
          <w:rFonts w:ascii="Brill" w:hAnsi="Brill"/>
          <w:i/>
          <w:noProof/>
        </w:rPr>
        <w:t>iah</w:t>
      </w:r>
      <w:r w:rsidRPr="008A3265">
        <w:rPr>
          <w:rFonts w:ascii="Brill" w:hAnsi="Brill"/>
          <w:noProof/>
        </w:rPr>
        <w:t xml:space="preserve"> 14, no. 2 (2022): 331.</w:t>
      </w:r>
      <w:r w:rsidRPr="008A3265">
        <w:rPr>
          <w:rFonts w:ascii="Brill" w:hAnsi="Brill"/>
        </w:rPr>
        <w:fldChar w:fldCharType="end"/>
      </w:r>
    </w:p>
  </w:footnote>
  <w:footnote w:id="15">
    <w:p w14:paraId="59D4FED6" w14:textId="54E2111E" w:rsidR="00A319B6" w:rsidRPr="008A3265" w:rsidRDefault="00A319B6" w:rsidP="008A3265">
      <w:pPr>
        <w:pStyle w:val="FootnoteText"/>
        <w:ind w:firstLine="567"/>
        <w:jc w:val="both"/>
        <w:rPr>
          <w:rFonts w:ascii="Brill" w:hAnsi="Brill"/>
          <w:lang w:val="en-US"/>
        </w:rPr>
      </w:pPr>
      <w:r w:rsidRPr="008A3265">
        <w:rPr>
          <w:rStyle w:val="FootnoteReference"/>
          <w:rFonts w:ascii="Brill" w:hAnsi="Brill"/>
        </w:rPr>
        <w:footnoteRef/>
      </w:r>
      <w:r w:rsidRPr="008A3265">
        <w:rPr>
          <w:rFonts w:ascii="Brill" w:hAnsi="Brill"/>
        </w:rPr>
        <w:t xml:space="preserve"> </w:t>
      </w:r>
      <w:r w:rsidRPr="008A3265">
        <w:rPr>
          <w:rFonts w:ascii="Brill" w:hAnsi="Brill"/>
        </w:rPr>
        <w:fldChar w:fldCharType="begin" w:fldLock="1"/>
      </w:r>
      <w:r w:rsidR="00CB6F61" w:rsidRPr="008A3265">
        <w:rPr>
          <w:rFonts w:ascii="Brill" w:hAnsi="Brill"/>
        </w:rPr>
        <w:instrText>ADDIN CSL_CITATION {"citationItems":[{"id":"ITEM-1","itemData":{"DOI":"https://doi.org/10.33756/jlr.v3i0.10432","author":[{"dropping-particle":"","family":"Irwansyah","given":"Irwansyah","non-dropping-particle":"","parse-names":false,"suffix":""},{"dropping-particle":"","family":"Ananda","given":"Faisar","non-dropping-particle":"","parse-names":false,"suffix":""},{"dropping-particle":"","family":"Zulham","given":"Zulham","non-dropping-particle":"","parse-names":false,"suffix":""}],"container-title":"Jambura Law Review","id":"ITEM-1","issue":"Special Issues April","issued":{"date-parts":[["2021"]]},"page":"1-17","title":"Positivization of Sharia Regional Regulations in North Sumatra","type":"article-journal","volume":"3"},"uris":["http://www.mendeley.com/documents/?uuid=51cd0b04-cd1c-4526-b412-f1f0da094d42"]}],"mendeley":{"formattedCitation":"Irwansyah Irwansyah, Faisar Ananda, and Zulham Zulham, “Positivization of Sharia Regional Regulations in North Sumatra,” &lt;i&gt;Jambura Law Review&lt;/i&gt; 3, no. Special Issues April (2021): 1–17.","plainTextFormattedCitation":"Irwansyah Irwansyah, Faisar Ananda, and Zulham Zulham, “Positivization of Sharia Regional Regulations in North Sumatra,” Jambura Law Review 3, no. Special Issues April (2021): 1–17.","previouslyFormattedCitation":"Irwansyah Irwansyah, Faisar Ananda, and Zulham Zulham, “Positivization of Sharia Regional Regulations in North Sumatra,” &lt;i&gt;Jambura Law Review&lt;/i&gt; 3, no. Special Issues April (2021): 1–17."},"properties":{"noteIndex":15},"schema":"https://github.com/citation-style-language/schema/raw/master/csl-citation.json"}</w:instrText>
      </w:r>
      <w:r w:rsidRPr="008A3265">
        <w:rPr>
          <w:rFonts w:ascii="Brill" w:hAnsi="Brill"/>
        </w:rPr>
        <w:fldChar w:fldCharType="separate"/>
      </w:r>
      <w:r w:rsidRPr="008A3265">
        <w:rPr>
          <w:rFonts w:ascii="Brill" w:hAnsi="Brill"/>
          <w:noProof/>
        </w:rPr>
        <w:t xml:space="preserve">Irwansyah Irwansyah, Faisar Ananda, and Zulham Zulham, </w:t>
      </w:r>
      <w:r w:rsidR="008C5148">
        <w:rPr>
          <w:rFonts w:ascii="Brill" w:hAnsi="Brill"/>
          <w:noProof/>
        </w:rPr>
        <w:t>“</w:t>
      </w:r>
      <w:r w:rsidRPr="008A3265">
        <w:rPr>
          <w:rFonts w:ascii="Brill" w:hAnsi="Brill"/>
          <w:noProof/>
        </w:rPr>
        <w:t>Positivization of Sharia Regional Regulations in North Sumatra,</w:t>
      </w:r>
      <w:r w:rsidR="008C5148">
        <w:rPr>
          <w:rFonts w:ascii="Brill" w:hAnsi="Brill"/>
          <w:noProof/>
        </w:rPr>
        <w:t>”</w:t>
      </w:r>
      <w:r w:rsidRPr="008A3265">
        <w:rPr>
          <w:rFonts w:ascii="Brill" w:hAnsi="Brill"/>
          <w:noProof/>
        </w:rPr>
        <w:t xml:space="preserve"> </w:t>
      </w:r>
      <w:r w:rsidRPr="008A3265">
        <w:rPr>
          <w:rFonts w:ascii="Brill" w:hAnsi="Brill"/>
          <w:i/>
          <w:noProof/>
        </w:rPr>
        <w:t>Jambura Law Review</w:t>
      </w:r>
      <w:r w:rsidRPr="008A3265">
        <w:rPr>
          <w:rFonts w:ascii="Brill" w:hAnsi="Brill"/>
          <w:noProof/>
        </w:rPr>
        <w:t xml:space="preserve"> 3, no. Special Issues April (2021): 1–17.</w:t>
      </w:r>
      <w:r w:rsidRPr="008A3265">
        <w:rPr>
          <w:rFonts w:ascii="Brill" w:hAnsi="Brill"/>
        </w:rPr>
        <w:fldChar w:fldCharType="end"/>
      </w:r>
    </w:p>
  </w:footnote>
  <w:footnote w:id="16">
    <w:p w14:paraId="6831ED49" w14:textId="7CB2C2C2" w:rsidR="00CB6F61" w:rsidRPr="008A3265" w:rsidRDefault="00CB6F61" w:rsidP="008A3265">
      <w:pPr>
        <w:pStyle w:val="FootnoteText"/>
        <w:ind w:firstLine="567"/>
        <w:jc w:val="both"/>
        <w:rPr>
          <w:rFonts w:ascii="Brill" w:hAnsi="Brill"/>
          <w:lang w:val="en-US"/>
        </w:rPr>
      </w:pPr>
      <w:r w:rsidRPr="008A3265">
        <w:rPr>
          <w:rStyle w:val="FootnoteReference"/>
          <w:rFonts w:ascii="Brill" w:hAnsi="Brill"/>
        </w:rPr>
        <w:footnoteRef/>
      </w:r>
      <w:r w:rsidRPr="008A3265">
        <w:rPr>
          <w:rFonts w:ascii="Brill" w:hAnsi="Brill"/>
        </w:rPr>
        <w:t xml:space="preserve"> </w:t>
      </w:r>
      <w:r w:rsidRPr="008A3265">
        <w:rPr>
          <w:rFonts w:ascii="Brill" w:hAnsi="Brill"/>
        </w:rPr>
        <w:fldChar w:fldCharType="begin" w:fldLock="1"/>
      </w:r>
      <w:r w:rsidR="00493139" w:rsidRPr="008A3265">
        <w:rPr>
          <w:rFonts w:ascii="Brill" w:hAnsi="Brill"/>
        </w:rPr>
        <w:instrText>ADDIN CSL_CITATION {"citationItems":[{"id":"ITEM-1","itemData":{"DOI":"https://doi.org/10.1007/978-981-15-7273-9_4","author":[{"dropping-particle":"","family":"Evanty","given":"Nukila","non-dropping-particle":"","parse-names":false,"suffix":""},{"dropping-particle":"","family":"Ghufron","given":"Nurul","non-dropping-particle":"","parse-names":false,"suffix":""}],"container-title":"Business and Human Rights in Asia","editor":[{"dropping-particle":"","family":"Gomez","given":"J.","non-dropping-particle":"","parse-names":false,"suffix":""},{"dropping-particle":"","family":"Ramcharan","given":"R.","non-dropping-particle":"","parse-names":false,"suffix":""}],"id":"ITEM-1","issued":{"date-parts":[["2021"]]},"page":"53-69","publisher":"Palgrave Macmillan","publisher-place":"Singapore","title":"Multinational Corporations and Human Rights in Indonesia: The Need for Improvement in Legislation","type":"chapter"},"uris":["http://www.mendeley.com/documents/?uuid=467c43d6-6eb5-47bd-a7e0-73766eab0091"]}],"mendeley":{"formattedCitation":"Nukila Evanty and Nurul Ghufron, “Multinational Corporations and Human Rights in Indonesia: The Need for Improvement in Legislation,” in &lt;i&gt;Business and Human Rights in Asia&lt;/i&gt;, ed. J. Gomez and R. Ramcharan (Singapore: Palgrave Macmillan, 2021), 53–69.","plainTextFormattedCitation":"Nukila Evanty and Nurul Ghufron, “Multinational Corporations and Human Rights in Indonesia: The Need for Improvement in Legislation,” in Business and Human Rights in Asia, ed. J. Gomez and R. Ramcharan (Singapore: Palgrave Macmillan, 2021), 53–69.","previouslyFormattedCitation":"Nukila Evanty and Nurul Ghufron, “Multinational Corporations and Human Rights in Indonesia: The Need for Improvement in Legislation,” in &lt;i&gt;Business and Human Rights in Asia&lt;/i&gt;, ed. J. Gomez and R. Ramcharan (Singapore: Palgrave Macmillan, 2021), 53–69."},"properties":{"noteIndex":16},"schema":"https://github.com/citation-style-language/schema/raw/master/csl-citation.json"}</w:instrText>
      </w:r>
      <w:r w:rsidRPr="008A3265">
        <w:rPr>
          <w:rFonts w:ascii="Brill" w:hAnsi="Brill"/>
        </w:rPr>
        <w:fldChar w:fldCharType="separate"/>
      </w:r>
      <w:r w:rsidRPr="008A3265">
        <w:rPr>
          <w:rFonts w:ascii="Brill" w:hAnsi="Brill"/>
          <w:noProof/>
        </w:rPr>
        <w:t xml:space="preserve">Nukila Evanty and Nurul Ghufron, </w:t>
      </w:r>
      <w:r w:rsidR="008C5148">
        <w:rPr>
          <w:rFonts w:ascii="Brill" w:hAnsi="Brill"/>
          <w:noProof/>
        </w:rPr>
        <w:t>“</w:t>
      </w:r>
      <w:r w:rsidRPr="008A3265">
        <w:rPr>
          <w:rFonts w:ascii="Brill" w:hAnsi="Brill"/>
          <w:noProof/>
        </w:rPr>
        <w:t>Multinational Corporations and Human Rights in Indonesia: The Need for Improvement in Legislation,</w:t>
      </w:r>
      <w:r w:rsidR="008C5148">
        <w:rPr>
          <w:rFonts w:ascii="Brill" w:hAnsi="Brill"/>
          <w:noProof/>
        </w:rPr>
        <w:t>”</w:t>
      </w:r>
      <w:r w:rsidRPr="008A3265">
        <w:rPr>
          <w:rFonts w:ascii="Brill" w:hAnsi="Brill"/>
          <w:noProof/>
        </w:rPr>
        <w:t xml:space="preserve"> in </w:t>
      </w:r>
      <w:r w:rsidRPr="008A3265">
        <w:rPr>
          <w:rFonts w:ascii="Brill" w:hAnsi="Brill"/>
          <w:i/>
          <w:noProof/>
        </w:rPr>
        <w:t>Business and Human Rights in Asia</w:t>
      </w:r>
      <w:r w:rsidRPr="008A3265">
        <w:rPr>
          <w:rFonts w:ascii="Brill" w:hAnsi="Brill"/>
          <w:noProof/>
        </w:rPr>
        <w:t>, ed. J. Gomez and R. Ramcharan (Singapore: Palgrave Macmillan, 2021), 53–69.</w:t>
      </w:r>
      <w:r w:rsidRPr="008A3265">
        <w:rPr>
          <w:rFonts w:ascii="Brill" w:hAnsi="Brill"/>
        </w:rPr>
        <w:fldChar w:fldCharType="end"/>
      </w:r>
    </w:p>
  </w:footnote>
  <w:footnote w:id="17">
    <w:p w14:paraId="78029F75" w14:textId="60759799" w:rsidR="00493139" w:rsidRPr="008A3265" w:rsidRDefault="00493139" w:rsidP="008A3265">
      <w:pPr>
        <w:pStyle w:val="FootnoteText"/>
        <w:ind w:firstLine="567"/>
        <w:jc w:val="both"/>
        <w:rPr>
          <w:rFonts w:ascii="Brill" w:hAnsi="Brill"/>
          <w:lang w:val="en-US"/>
        </w:rPr>
      </w:pPr>
      <w:r w:rsidRPr="008A3265">
        <w:rPr>
          <w:rStyle w:val="FootnoteReference"/>
          <w:rFonts w:ascii="Brill" w:hAnsi="Brill"/>
        </w:rPr>
        <w:footnoteRef/>
      </w:r>
      <w:r w:rsidRPr="008A3265">
        <w:rPr>
          <w:rFonts w:ascii="Brill" w:hAnsi="Brill"/>
        </w:rPr>
        <w:t xml:space="preserve"> </w:t>
      </w:r>
      <w:r w:rsidRPr="008A3265">
        <w:rPr>
          <w:rFonts w:ascii="Brill" w:hAnsi="Brill"/>
        </w:rPr>
        <w:fldChar w:fldCharType="begin" w:fldLock="1"/>
      </w:r>
      <w:r w:rsidR="008730F6" w:rsidRPr="008A3265">
        <w:rPr>
          <w:rFonts w:ascii="Brill" w:hAnsi="Brill"/>
        </w:rPr>
        <w:instrText>ADDIN CSL_CITATION {"citationItems":[{"id":"ITEM-1","itemData":{"DOI":"doi:10.1017/als.2021.5","author":[{"dropping-particle":"","family":"Missbach","given":"Antje","non-dropping-particle":"","parse-names":false,"suffix":""},{"dropping-particle":"","family":"Adiputera","given":"Yunizar","non-dropping-particle":"","parse-names":false,"suffix":""}],"container-title":"Asian Journal of Law and Society","id":"ITEM-1","issue":"3","issued":{"date-parts":[["2021"]]},"page":"490-506","title":"The Role of Local Governments in Accommodating Refugees in Indonesia: Investigating Best-Case and Worst-Case Scenarios","type":"article-journal","volume":"8"},"uris":["http://www.mendeley.com/documents/?uuid=c6804b26-8937-4e31-96cc-30f11fd783ce"]}],"mendeley":{"formattedCitation":"Antje Missbach and Yunizar Adiputera, “The Role of Local Governments in Accommodating Refugees in Indonesia: Investigating Best-Case and Worst-Case Scenarios,” &lt;i&gt;Asian Journal of Law and Society&lt;/i&gt; 8, no. 3 (2021): 490–506.","plainTextFormattedCitation":"Antje Missbach and Yunizar Adiputera, “The Role of Local Governments in Accommodating Refugees in Indonesia: Investigating Best-Case and Worst-Case Scenarios,” Asian Journal of Law and Society 8, no. 3 (2021): 490–506.","previouslyFormattedCitation":"Antje Missbach and Yunizar Adiputera, “The Role of Local Governments in Accommodating Refugees in Indonesia: Investigating Best-Case and Worst-Case Scenarios,” &lt;i&gt;Asian Journal of Law and Society&lt;/i&gt; 8, no. 3 (2021): 490–506."},"properties":{"noteIndex":17},"schema":"https://github.com/citation-style-language/schema/raw/master/csl-citation.json"}</w:instrText>
      </w:r>
      <w:r w:rsidRPr="008A3265">
        <w:rPr>
          <w:rFonts w:ascii="Brill" w:hAnsi="Brill"/>
        </w:rPr>
        <w:fldChar w:fldCharType="separate"/>
      </w:r>
      <w:r w:rsidRPr="008A3265">
        <w:rPr>
          <w:rFonts w:ascii="Brill" w:hAnsi="Brill"/>
          <w:noProof/>
        </w:rPr>
        <w:t xml:space="preserve">Antje Missbach and Yunizar Adiputera, </w:t>
      </w:r>
      <w:r w:rsidR="008C5148">
        <w:rPr>
          <w:rFonts w:ascii="Brill" w:hAnsi="Brill"/>
          <w:noProof/>
        </w:rPr>
        <w:t>“</w:t>
      </w:r>
      <w:r w:rsidRPr="008A3265">
        <w:rPr>
          <w:rFonts w:ascii="Brill" w:hAnsi="Brill"/>
          <w:noProof/>
        </w:rPr>
        <w:t>The Role of Local Governments in Accommodating Refugees in Indonesia: Investigating Best-Case and Worst-Case Scenarios,</w:t>
      </w:r>
      <w:r w:rsidR="008C5148">
        <w:rPr>
          <w:rFonts w:ascii="Brill" w:hAnsi="Brill"/>
          <w:noProof/>
        </w:rPr>
        <w:t>”</w:t>
      </w:r>
      <w:r w:rsidRPr="008A3265">
        <w:rPr>
          <w:rFonts w:ascii="Brill" w:hAnsi="Brill"/>
          <w:noProof/>
        </w:rPr>
        <w:t xml:space="preserve"> </w:t>
      </w:r>
      <w:r w:rsidRPr="008A3265">
        <w:rPr>
          <w:rFonts w:ascii="Brill" w:hAnsi="Brill"/>
          <w:i/>
          <w:noProof/>
        </w:rPr>
        <w:t>Asian Journal of Law and Society</w:t>
      </w:r>
      <w:r w:rsidRPr="008A3265">
        <w:rPr>
          <w:rFonts w:ascii="Brill" w:hAnsi="Brill"/>
          <w:noProof/>
        </w:rPr>
        <w:t xml:space="preserve"> 8, no. 3 (2021): 490–506.</w:t>
      </w:r>
      <w:r w:rsidRPr="008A3265">
        <w:rPr>
          <w:rFonts w:ascii="Brill" w:hAnsi="Brill"/>
        </w:rPr>
        <w:fldChar w:fldCharType="end"/>
      </w:r>
    </w:p>
  </w:footnote>
  <w:footnote w:id="18">
    <w:p w14:paraId="1E3ED326" w14:textId="5599E1BD" w:rsidR="008730F6" w:rsidRPr="008A3265" w:rsidRDefault="008730F6" w:rsidP="008A3265">
      <w:pPr>
        <w:pStyle w:val="FootnoteText"/>
        <w:ind w:firstLine="567"/>
        <w:jc w:val="both"/>
        <w:rPr>
          <w:rFonts w:ascii="Brill" w:hAnsi="Brill"/>
          <w:lang w:val="en-US"/>
        </w:rPr>
      </w:pPr>
      <w:r w:rsidRPr="008A3265">
        <w:rPr>
          <w:rStyle w:val="FootnoteReference"/>
          <w:rFonts w:ascii="Brill" w:hAnsi="Brill"/>
        </w:rPr>
        <w:footnoteRef/>
      </w:r>
      <w:r w:rsidRPr="008A3265">
        <w:rPr>
          <w:rFonts w:ascii="Brill" w:hAnsi="Brill"/>
        </w:rPr>
        <w:t xml:space="preserve"> </w:t>
      </w:r>
      <w:r w:rsidRPr="008A3265">
        <w:rPr>
          <w:rFonts w:ascii="Brill" w:hAnsi="Brill"/>
        </w:rPr>
        <w:fldChar w:fldCharType="begin" w:fldLock="1"/>
      </w:r>
      <w:r w:rsidR="00393AF2" w:rsidRPr="008A3265">
        <w:rPr>
          <w:rFonts w:ascii="Brill" w:hAnsi="Brill"/>
        </w:rPr>
        <w:instrText>ADDIN CSL_CITATION {"citationItems":[{"id":"ITEM-1","itemData":{"DOI":"https://doi.org/10.22437/ujh.5.1.231-255","author":[{"dropping-particle":"","family":"Afandi","given":"Fachrizal","non-dropping-particle":"","parse-names":false,"suffix":""}],"container-title":"Undang: Jurnal Hukum","id":"ITEM-1","issue":"1","issued":{"date-parts":[["2022"]]},"page":"241","title":"Penelitian Hukum Interdisipliner Reza Banakar: Urgensi dan Desain Penelitian Sosio-legal","type":"article-journal","volume":"5"},"uris":["http://www.mendeley.com/documents/?uuid=b9329607-0019-418d-9a94-98682b9a0365"]}],"mendeley":{"formattedCitation":"Fachrizal Afandi, “Penelitian Hukum Interdisipliner Reza Banakar: Urgensi Dan Desain Penelitian Sosio-Legal,” &lt;i&gt;Undang: Jurnal Hukum&lt;/i&gt; 5, no. 1 (2022): 241.","plainTextFormattedCitation":"Fachrizal Afandi, “Penelitian Hukum Interdisipliner Reza Banakar: Urgensi Dan Desain Penelitian Sosio-Legal,” Undang: Jurnal Hukum 5, no. 1 (2022): 241.","previouslyFormattedCitation":"Fachrizal Afandi, “Penelitian Hukum Interdisipliner Reza Banakar: Urgensi Dan Desain Penelitian Sosio-Legal,” &lt;i&gt;Undang: Jurnal Hukum&lt;/i&gt; 5, no. 1 (2022): 241."},"properties":{"noteIndex":18},"schema":"https://github.com/citation-style-language/schema/raw/master/csl-citation.json"}</w:instrText>
      </w:r>
      <w:r w:rsidRPr="008A3265">
        <w:rPr>
          <w:rFonts w:ascii="Brill" w:hAnsi="Brill"/>
        </w:rPr>
        <w:fldChar w:fldCharType="separate"/>
      </w:r>
      <w:r w:rsidRPr="008A3265">
        <w:rPr>
          <w:rFonts w:ascii="Brill" w:hAnsi="Brill"/>
          <w:noProof/>
        </w:rPr>
        <w:t xml:space="preserve">Fachrizal Afandi, </w:t>
      </w:r>
      <w:r w:rsidR="008C5148">
        <w:rPr>
          <w:rFonts w:ascii="Brill" w:hAnsi="Brill"/>
          <w:noProof/>
        </w:rPr>
        <w:t>“</w:t>
      </w:r>
      <w:r w:rsidRPr="008A3265">
        <w:rPr>
          <w:rFonts w:ascii="Brill" w:hAnsi="Brill"/>
          <w:noProof/>
        </w:rPr>
        <w:t>Penelitian Hukum Interdisipliner Reza Banakar: Urgensi Dan Desain Penelitian Sosio-Legal,</w:t>
      </w:r>
      <w:r w:rsidR="008C5148">
        <w:rPr>
          <w:rFonts w:ascii="Brill" w:hAnsi="Brill"/>
          <w:noProof/>
        </w:rPr>
        <w:t>”</w:t>
      </w:r>
      <w:r w:rsidRPr="008A3265">
        <w:rPr>
          <w:rFonts w:ascii="Brill" w:hAnsi="Brill"/>
          <w:noProof/>
        </w:rPr>
        <w:t xml:space="preserve"> </w:t>
      </w:r>
      <w:r w:rsidRPr="008A3265">
        <w:rPr>
          <w:rFonts w:ascii="Brill" w:hAnsi="Brill"/>
          <w:i/>
          <w:noProof/>
        </w:rPr>
        <w:t>Undang: Jurnal Hukum</w:t>
      </w:r>
      <w:r w:rsidRPr="008A3265">
        <w:rPr>
          <w:rFonts w:ascii="Brill" w:hAnsi="Brill"/>
          <w:noProof/>
        </w:rPr>
        <w:t xml:space="preserve"> 5, no. 1 (2022): 241.</w:t>
      </w:r>
      <w:r w:rsidRPr="008A3265">
        <w:rPr>
          <w:rFonts w:ascii="Brill" w:hAnsi="Brill"/>
        </w:rPr>
        <w:fldChar w:fldCharType="end"/>
      </w:r>
    </w:p>
  </w:footnote>
  <w:footnote w:id="19">
    <w:p w14:paraId="2D4080EB" w14:textId="0131543E" w:rsidR="00393AF2" w:rsidRPr="008A3265" w:rsidRDefault="00393AF2" w:rsidP="008A3265">
      <w:pPr>
        <w:pStyle w:val="FootnoteText"/>
        <w:ind w:firstLine="567"/>
        <w:jc w:val="both"/>
        <w:rPr>
          <w:rFonts w:ascii="Brill" w:hAnsi="Brill"/>
          <w:lang w:val="en-US"/>
        </w:rPr>
      </w:pPr>
      <w:r w:rsidRPr="008A3265">
        <w:rPr>
          <w:rStyle w:val="FootnoteReference"/>
          <w:rFonts w:ascii="Brill" w:hAnsi="Brill"/>
        </w:rPr>
        <w:footnoteRef/>
      </w:r>
      <w:r w:rsidRPr="008A3265">
        <w:rPr>
          <w:rFonts w:ascii="Brill" w:hAnsi="Brill"/>
        </w:rPr>
        <w:t xml:space="preserve"> </w:t>
      </w:r>
      <w:r w:rsidRPr="008A3265">
        <w:rPr>
          <w:rFonts w:ascii="Brill" w:hAnsi="Brill"/>
        </w:rPr>
        <w:fldChar w:fldCharType="begin" w:fldLock="1"/>
      </w:r>
      <w:r w:rsidR="00673131">
        <w:rPr>
          <w:rFonts w:ascii="Brill" w:hAnsi="Brill"/>
        </w:rPr>
        <w:instrText>ADDIN CSL_CITATION {"citationItems":[{"id":"ITEM-1","itemData":{"DOI":"http://dx.doi.org/10.56444/jidh.v7i2.3154","author":[{"dropping-particle":"","family":"Noor","given":"Afif","non-dropping-particle":"","parse-names":false,"suffix":""}],"container-title":"Jurnal Ilmiah Dunia Hukum","id":"ITEM-1","issue":"2","issued":{"date-parts":[["2023"]]},"page":"108","title":"Socio-Legal Research: Integration of Normative and Empirical Juridical Research in Legal Research","type":"article-journal","volume":"7"},"uris":["http://www.mendeley.com/documents/?uuid=1f687cc6-b3cc-46cb-aae7-d1a42ce851ab"]}],"mendeley":{"formattedCitation":"Afif Noor, “Socio-Legal Research: Integration of Normative and Empirical Juridical Research in Legal Research,” &lt;i&gt;Jurnal Ilmiah Dunia Hukum&lt;/i&gt; 7, no. 2 (2023): 108.","plainTextFormattedCitation":"Afif Noor, “Socio-Legal Research: Integration of Normative and Empirical Juridical Research in Legal Research,” Jurnal Ilmiah Dunia Hukum 7, no. 2 (2023): 108.","previouslyFormattedCitation":"Afif Noor, “Socio-Legal Research: Integration of Normative and Empirical Juridical Research in Legal Research,” &lt;i&gt;Jurnal Ilmiah Dunia Hukum&lt;/i&gt; 7, no. 2 (2023): 108."},"properties":{"noteIndex":19},"schema":"https://github.com/citation-style-language/schema/raw/master/csl-citation.json"}</w:instrText>
      </w:r>
      <w:r w:rsidRPr="008A3265">
        <w:rPr>
          <w:rFonts w:ascii="Brill" w:hAnsi="Brill"/>
        </w:rPr>
        <w:fldChar w:fldCharType="separate"/>
      </w:r>
      <w:r w:rsidRPr="008A3265">
        <w:rPr>
          <w:rFonts w:ascii="Brill" w:hAnsi="Brill"/>
          <w:noProof/>
        </w:rPr>
        <w:t xml:space="preserve">Afif Noor, </w:t>
      </w:r>
      <w:r w:rsidR="008C5148">
        <w:rPr>
          <w:rFonts w:ascii="Brill" w:hAnsi="Brill"/>
          <w:noProof/>
        </w:rPr>
        <w:t>“</w:t>
      </w:r>
      <w:r w:rsidRPr="008A3265">
        <w:rPr>
          <w:rFonts w:ascii="Brill" w:hAnsi="Brill"/>
          <w:noProof/>
        </w:rPr>
        <w:t>Socio-Legal Research: Integration of Normative and Empirical Juridical Research in Legal Research,</w:t>
      </w:r>
      <w:r w:rsidR="008C5148">
        <w:rPr>
          <w:rFonts w:ascii="Brill" w:hAnsi="Brill"/>
          <w:noProof/>
        </w:rPr>
        <w:t>”</w:t>
      </w:r>
      <w:r w:rsidRPr="008A3265">
        <w:rPr>
          <w:rFonts w:ascii="Brill" w:hAnsi="Brill"/>
          <w:noProof/>
        </w:rPr>
        <w:t xml:space="preserve"> </w:t>
      </w:r>
      <w:r w:rsidRPr="008A3265">
        <w:rPr>
          <w:rFonts w:ascii="Brill" w:hAnsi="Brill"/>
          <w:i/>
          <w:noProof/>
        </w:rPr>
        <w:t>Jurnal Ilmiah Dunia Hukum</w:t>
      </w:r>
      <w:r w:rsidRPr="008A3265">
        <w:rPr>
          <w:rFonts w:ascii="Brill" w:hAnsi="Brill"/>
          <w:noProof/>
        </w:rPr>
        <w:t xml:space="preserve"> 7, no. 2 (2023): 108.</w:t>
      </w:r>
      <w:r w:rsidRPr="008A3265">
        <w:rPr>
          <w:rFonts w:ascii="Brill" w:hAnsi="Brill"/>
        </w:rPr>
        <w:fldChar w:fldCharType="end"/>
      </w:r>
    </w:p>
  </w:footnote>
  <w:footnote w:id="20">
    <w:p w14:paraId="45311E43" w14:textId="032ACB22" w:rsidR="00295D4D" w:rsidRPr="008A3265" w:rsidRDefault="00295D4D"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w:t>
      </w:r>
      <w:r w:rsidRPr="008A3265">
        <w:rPr>
          <w:rFonts w:ascii="Brill" w:hAnsi="Brill"/>
          <w:lang w:val="id-ID"/>
        </w:rPr>
        <w:fldChar w:fldCharType="begin" w:fldLock="1"/>
      </w:r>
      <w:r w:rsidR="00393AF2" w:rsidRPr="008A3265">
        <w:rPr>
          <w:rFonts w:ascii="Brill" w:hAnsi="Brill"/>
          <w:lang w:val="id-ID"/>
        </w:rPr>
        <w:instrText>ADDIN CSL_CITATION {"citationItems":[{"id":"ITEM-1","itemData":{"author":[{"dropping-particle":"","family":"Simbolon","given":"Subandri","non-dropping-particle":"","parse-names":false,"suffix":""},{"dropping-particle":"","family":"Toruan","given":"Sepniar Lumban","non-dropping-particle":"","parse-names":false,"suffix":""},{"dropping-particle":"","family":"Ningsih","given":"Lulu Musyarafah","non-dropping-particle":"","parse-names":false,"suffix":""}],"id":"ITEM-1","issued":{"date-parts":[["2021"]]},"publisher-place":"Pontianak","title":"Analisis Kebijakan Publik Kota Pontianak Dengan Perspektif Pluralisme Kewargaan","type":"report"},"uris":["http://www.mendeley.com/documents/?uuid=ecee203f-1a98-425f-a73d-953ba3c82fd4"]}],"mendeley":{"formattedCitation":"Simbolon, Toruan, and Ningsih, &lt;i&gt;Analisis Kebijakan Publik Kota Pontianak Dengan Perspektif Pluralisme Kewargaan&lt;/i&gt;.","plainTextFormattedCitation":"Simbolon, Toruan, and Ningsih, Analisis Kebijakan Publik Kota Pontianak Dengan Perspektif Pluralisme Kewargaan.","previouslyFormattedCitation":"Simbolon, Toruan, and Ningsih, &lt;i&gt;Analisis Kebijakan Publik Kota Pontianak Dengan Perspektif Pluralisme Kewargaan&lt;/i&gt;."},"properties":{"noteIndex":20},"schema":"https://github.com/citation-style-language/schema/raw/master/csl-citation.json"}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 xml:space="preserve">Simbolon, Toruan, and Ningsih, </w:t>
      </w:r>
      <w:r w:rsidRPr="008A3265">
        <w:rPr>
          <w:rFonts w:ascii="Brill" w:hAnsi="Brill"/>
          <w:i/>
          <w:noProof/>
          <w:lang w:val="id-ID"/>
        </w:rPr>
        <w:t>Analisis Kebijakan Publik Kota Pontianak Dengan Perspektif Pluralisme Kewargaan</w:t>
      </w:r>
      <w:r w:rsidRPr="008A3265">
        <w:rPr>
          <w:rFonts w:ascii="Brill" w:hAnsi="Brill"/>
          <w:noProof/>
          <w:lang w:val="id-ID"/>
        </w:rPr>
        <w:t>.</w:t>
      </w:r>
      <w:r w:rsidRPr="008A3265">
        <w:rPr>
          <w:rFonts w:ascii="Brill" w:hAnsi="Brill"/>
          <w:lang w:val="id-ID"/>
        </w:rPr>
        <w:fldChar w:fldCharType="end"/>
      </w:r>
    </w:p>
  </w:footnote>
  <w:footnote w:id="21">
    <w:p w14:paraId="22A5E997" w14:textId="2FBBDE1D" w:rsidR="00295D4D" w:rsidRPr="008A3265" w:rsidRDefault="0026649F"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Kota Pontianak didirikan oleh Sultan Syarif Abdurrahman al-Qadri pada Tahun 1771M yang pada masa itu merupakan tanah kosong yang tidak berpenghuni. Setelah proses pembukaan lahan yang memerlukan waktu bertahun-tahun (diikuti dengan pembangunan Kesultanan Pontianak), mulai muncul pemukiman-pemukiman warga dari berbagai suku-suku di nusantara, sehingga dapat dikatakan bahwa tanah Pontianak tidak melekat pada suatu identitas bangsa atau suku. Lihat dalam</w:t>
      </w:r>
      <w:r w:rsidR="008C5148">
        <w:rPr>
          <w:rFonts w:ascii="Brill" w:hAnsi="Brill"/>
          <w:lang w:val="id-ID"/>
        </w:rPr>
        <w:t xml:space="preserve"> </w:t>
      </w:r>
      <w:r w:rsidR="00295D4D" w:rsidRPr="008A3265">
        <w:rPr>
          <w:rFonts w:ascii="Brill" w:hAnsi="Brill"/>
          <w:lang w:val="id-ID"/>
        </w:rPr>
        <w:fldChar w:fldCharType="begin" w:fldLock="1"/>
      </w:r>
      <w:r w:rsidR="00393AF2" w:rsidRPr="008A3265">
        <w:rPr>
          <w:rFonts w:ascii="Brill" w:hAnsi="Brill"/>
          <w:lang w:val="id-ID"/>
        </w:rPr>
        <w:instrText>ADDIN CSL_CITATION {"citationItems":[{"id":"ITEM-1","itemData":{"author":[{"dropping-particle":"","family":"Bakar","given":"Abu","non-dropping-particle":"","parse-names":false,"suffix":""}],"id":"ITEM-1","issued":{"date-parts":[["2021"]]},"number-of-pages":"107","publisher":"IAIN Pontianak Press","publisher-place":"Pontianak","title":"Kepingan Sejarah Sosial dan Politik Tentang Pendiri Negeri Pontianak dan Perkampungan Arab","type":"book"},"uris":["http://www.mendeley.com/documents/?uuid=7f97f911-f3db-4626-83c4-0daa6381ee72"]}],"mendeley":{"formattedCitation":"Abu Bakar, &lt;i&gt;Kepingan Sejarah Sosial Dan Politik Tentang Pendiri Negeri Pontianak Dan Perkampungan Arab&lt;/i&gt; (Pontianak: IAIN Pontianak Press, 2021).","plainTextFormattedCitation":"Abu Bakar, Kepingan Sejarah Sosial Dan Politik Tentang Pendiri Negeri Pontianak Dan Perkampungan Arab (Pontianak: IAIN Pontianak Press, 2021).","previouslyFormattedCitation":"Abu Bakar, &lt;i&gt;Kepingan Sejarah Sosial Dan Politik Tentang Pendiri Negeri Pontianak Dan Perkampungan Arab&lt;/i&gt; (Pontianak: IAIN Pontianak Press, 2021)."},"properties":{"noteIndex":21},"schema":"https://github.com/citation-style-language/schema/raw/master/csl-citation.json"}</w:instrText>
      </w:r>
      <w:r w:rsidR="00295D4D" w:rsidRPr="008A3265">
        <w:rPr>
          <w:rFonts w:ascii="Brill" w:hAnsi="Brill"/>
          <w:lang w:val="id-ID"/>
        </w:rPr>
        <w:fldChar w:fldCharType="separate"/>
      </w:r>
      <w:r w:rsidR="00295D4D" w:rsidRPr="008A3265">
        <w:rPr>
          <w:rFonts w:ascii="Brill" w:hAnsi="Brill"/>
          <w:noProof/>
          <w:lang w:val="id-ID"/>
        </w:rPr>
        <w:t xml:space="preserve">Abu Bakar, </w:t>
      </w:r>
      <w:r w:rsidR="00295D4D" w:rsidRPr="008A3265">
        <w:rPr>
          <w:rFonts w:ascii="Brill" w:hAnsi="Brill"/>
          <w:i/>
          <w:noProof/>
          <w:lang w:val="id-ID"/>
        </w:rPr>
        <w:t>Kepingan Sejarah Sosial Dan Politik Tentang Pendiri Negeri Pontianak Dan Perkampungan Arab</w:t>
      </w:r>
      <w:r w:rsidR="00295D4D" w:rsidRPr="008A3265">
        <w:rPr>
          <w:rFonts w:ascii="Brill" w:hAnsi="Brill"/>
          <w:noProof/>
          <w:lang w:val="id-ID"/>
        </w:rPr>
        <w:t xml:space="preserve"> (Pontianak: IAIN Pontianak Press, 2021).</w:t>
      </w:r>
      <w:r w:rsidR="00295D4D" w:rsidRPr="008A3265">
        <w:rPr>
          <w:rFonts w:ascii="Brill" w:hAnsi="Brill"/>
          <w:lang w:val="id-ID"/>
        </w:rPr>
        <w:fldChar w:fldCharType="end"/>
      </w:r>
    </w:p>
  </w:footnote>
  <w:footnote w:id="22">
    <w:p w14:paraId="0271B283" w14:textId="1AB01F5F" w:rsidR="007D284A" w:rsidRPr="008A3265" w:rsidRDefault="007D284A"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w:t>
      </w:r>
      <w:r w:rsidRPr="008A3265">
        <w:rPr>
          <w:rFonts w:ascii="Brill" w:hAnsi="Brill"/>
          <w:lang w:val="id-ID"/>
        </w:rPr>
        <w:fldChar w:fldCharType="begin" w:fldLock="1"/>
      </w:r>
      <w:r w:rsidR="00393AF2" w:rsidRPr="008A3265">
        <w:rPr>
          <w:rFonts w:ascii="Brill" w:hAnsi="Brill"/>
          <w:lang w:val="id-ID"/>
        </w:rPr>
        <w:instrText>ADDIN CSL_CITATION {"citationItems":[{"id":"ITEM-1","itemData":{"DOI":"https://doi.org/10.24198/jkrk.v2i2.28149","author":[{"dropping-particle":"","family":"Sumaya","given":"Faraz","non-dropping-particle":"","parse-names":false,"suffix":""}],"container-title":"Jurnal Kolaborasi Resolusi Konflik","id":"ITEM-1","issue":"2","issued":{"date-parts":[["2020"]]},"page":"91-92","title":"Identitas dalam Konflik di Kalimantan Barat (Sebuah Pemetaan Konflik)","type":"article-journal","volume":"2"},"uris":["http://www.mendeley.com/documents/?uuid=3d9c0078-f88d-4506-bec1-a31d143a363b"]}],"mendeley":{"formattedCitation":"Sumaya, “Identitas Dalam Konflik Di Kalimantan Barat (Sebuah Pemetaan Konflik).”","plainTextFormattedCitation":"Sumaya, “Identitas Dalam Konflik Di Kalimantan Barat (Sebuah Pemetaan Konflik).”","previouslyFormattedCitation":"Sumaya, “Identitas Dalam Konflik Di Kalimantan Barat (Sebuah Pemetaan Konflik).”"},"properties":{"noteIndex":22},"schema":"https://github.com/citation-style-language/schema/raw/master/csl-citation.json"}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 xml:space="preserve">Sumaya, </w:t>
      </w:r>
      <w:r w:rsidR="008C5148">
        <w:rPr>
          <w:rFonts w:ascii="Brill" w:hAnsi="Brill"/>
          <w:noProof/>
          <w:lang w:val="id-ID"/>
        </w:rPr>
        <w:t>“</w:t>
      </w:r>
      <w:r w:rsidRPr="008A3265">
        <w:rPr>
          <w:rFonts w:ascii="Brill" w:hAnsi="Brill"/>
          <w:noProof/>
          <w:lang w:val="id-ID"/>
        </w:rPr>
        <w:t>Identitas Dalam Konflik Di Kalimantan Barat (Sebuah Pemetaan Konflik).</w:t>
      </w:r>
      <w:r w:rsidR="008C5148">
        <w:rPr>
          <w:rFonts w:ascii="Brill" w:hAnsi="Brill"/>
          <w:noProof/>
          <w:lang w:val="id-ID"/>
        </w:rPr>
        <w:t>”</w:t>
      </w:r>
      <w:r w:rsidRPr="008A3265">
        <w:rPr>
          <w:rFonts w:ascii="Brill" w:hAnsi="Brill"/>
          <w:lang w:val="id-ID"/>
        </w:rPr>
        <w:fldChar w:fldCharType="end"/>
      </w:r>
    </w:p>
  </w:footnote>
  <w:footnote w:id="23">
    <w:p w14:paraId="3625D4E9" w14:textId="5CD4AE31" w:rsidR="00FF1ABD" w:rsidRPr="008A3265" w:rsidRDefault="00FF1ABD"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w:t>
      </w:r>
      <w:r w:rsidRPr="008A3265">
        <w:rPr>
          <w:rFonts w:ascii="Brill" w:hAnsi="Brill"/>
          <w:lang w:val="id-ID"/>
        </w:rPr>
        <w:fldChar w:fldCharType="begin" w:fldLock="1"/>
      </w:r>
      <w:r w:rsidR="00393AF2" w:rsidRPr="008A3265">
        <w:rPr>
          <w:rFonts w:ascii="Brill" w:hAnsi="Brill"/>
          <w:lang w:val="id-ID"/>
        </w:rPr>
        <w:instrText>ADDIN CSL_CITATION {"citationItems":[{"id":"ITEM-1","itemData":{"DOI":"https://doi.org/10.24260/jhjd.v14i2.1811","author":[{"dropping-particle":"","family":"Ruslan","given":"Ismail","non-dropping-particle":"","parse-names":false,"suffix":""}],"container-title":"Al-Hikmah Jurnal Dakwah","id":"ITEM-1","issue":"2","issued":{"date-parts":[["2020"]]},"page":"189-212","title":"Pelintiran Kebencian (Hate Spin): Rekayasa Ketersinggungan dan Ujaran Kebencian dengan menggunakan Identitas Agama dan Etnik di Kalimantan Barat","type":"article-journal","volume":"14"},"uris":["http://www.mendeley.com/documents/?uuid=e921e7e4-21ad-47d3-b2bb-0c7ae663927f"]}],"mendeley":{"formattedCitation":"Ruslan, “Pelintiran Kebencian (Hate Spin): Rekayasa Ketersinggungan Dan Ujaran Kebencian Dengan Menggunakan Identitas Agama Dan Etnik Di Kalimantan Barat.”","plainTextFormattedCitation":"Ruslan, “Pelintiran Kebencian (Hate Spin): Rekayasa Ketersinggungan Dan Ujaran Kebencian Dengan Menggunakan Identitas Agama Dan Etnik Di Kalimantan Barat.”","previouslyFormattedCitation":"Ruslan, “Pelintiran Kebencian (Hate Spin): Rekayasa Ketersinggungan Dan Ujaran Kebencian Dengan Menggunakan Identitas Agama Dan Etnik Di Kalimantan Barat.”"},"properties":{"noteIndex":23},"schema":"https://github.com/citation-style-language/schema/raw/master/csl-citation.json"}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 xml:space="preserve">Ruslan, </w:t>
      </w:r>
      <w:r w:rsidR="008C5148">
        <w:rPr>
          <w:rFonts w:ascii="Brill" w:hAnsi="Brill"/>
          <w:noProof/>
          <w:lang w:val="id-ID"/>
        </w:rPr>
        <w:t>“</w:t>
      </w:r>
      <w:r w:rsidRPr="008A3265">
        <w:rPr>
          <w:rFonts w:ascii="Brill" w:hAnsi="Brill"/>
          <w:noProof/>
          <w:lang w:val="id-ID"/>
        </w:rPr>
        <w:t>Pelintiran Kebencian (Hate Spin): Rekayasa Ketersinggungan Dan Ujaran Kebencian Dengan Menggunakan Identitas Agama Dan Etnik Di Kalimantan Barat.</w:t>
      </w:r>
      <w:r w:rsidR="008C5148">
        <w:rPr>
          <w:rFonts w:ascii="Brill" w:hAnsi="Brill"/>
          <w:noProof/>
          <w:lang w:val="id-ID"/>
        </w:rPr>
        <w:t>”</w:t>
      </w:r>
      <w:r w:rsidRPr="008A3265">
        <w:rPr>
          <w:rFonts w:ascii="Brill" w:hAnsi="Brill"/>
          <w:lang w:val="id-ID"/>
        </w:rPr>
        <w:fldChar w:fldCharType="end"/>
      </w:r>
    </w:p>
  </w:footnote>
  <w:footnote w:id="24">
    <w:p w14:paraId="03ABB7C3" w14:textId="4A4607EA" w:rsidR="00FF1ABD" w:rsidRPr="008A3265" w:rsidRDefault="00FF1ABD"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w:t>
      </w:r>
      <w:r w:rsidRPr="008A3265">
        <w:rPr>
          <w:rFonts w:ascii="Brill" w:hAnsi="Brill"/>
          <w:lang w:val="id-ID"/>
        </w:rPr>
        <w:fldChar w:fldCharType="begin" w:fldLock="1"/>
      </w:r>
      <w:r w:rsidR="00393AF2" w:rsidRPr="008A3265">
        <w:rPr>
          <w:rFonts w:ascii="Brill" w:hAnsi="Brill"/>
          <w:lang w:val="id-ID"/>
        </w:rPr>
        <w:instrText>ADDIN CSL_CITATION {"citationItems":[{"id":"ITEM-1","itemData":{"author":[{"dropping-particle":"","family":"George","given":"Cherian","non-dropping-particle":"","parse-names":false,"suffix":""}],"editor":[{"dropping-particle":"","family":"Ali-Fauzi","given":"Ihsan","non-dropping-particle":"","parse-names":false,"suffix":""},{"dropping-particle":"","family":"Rafsadie","given":"Irsyad","non-dropping-particle":"","parse-names":false,"suffix":""}],"id":"ITEM-1","issued":{"date-parts":[["2017"]]},"number-of-pages":"63","publisher":"Pusat Studi Agama dan Demokrasi (PUSAD) Yayasan Paramadina","publisher-place":"Jakarta","title":"Pelintiran Kebencian: Rekayasa Ketersinggungan Agama dan Ancamannya bagi Demokrasi","type":"book"},"uris":["http://www.mendeley.com/documents/?uuid=528ad5c1-3bde-44e1-96c0-fa9433a20fb3"]}],"mendeley":{"formattedCitation":"Cherian George, &lt;i&gt;Pelintiran Kebencian: Rekayasa Ketersinggungan Agama Dan Ancamannya Bagi Demokrasi&lt;/i&gt;, ed. Ihsan Ali-Fauzi and Irsyad Rafsadie (Jakarta: Pusat Studi Agama dan Demokrasi (PUSAD) Yayasan Paramadina, 2017).","plainTextFormattedCitation":"Cherian George, Pelintiran Kebencian: Rekayasa Ketersinggungan Agama Dan Ancamannya Bagi Demokrasi, ed. Ihsan Ali-Fauzi and Irsyad Rafsadie (Jakarta: Pusat Studi Agama dan Demokrasi (PUSAD) Yayasan Paramadina, 2017).","previouslyFormattedCitation":"Cherian George, &lt;i&gt;Pelintiran Kebencian: Rekayasa Ketersinggungan Agama Dan Ancamannya Bagi Demokrasi&lt;/i&gt;, ed. Ihsan Ali-Fauzi and Irsyad Rafsadie (Jakarta: Pusat Studi Agama dan Demokrasi (PUSAD) Yayasan Paramadina, 2017)."},"properties":{"noteIndex":24},"schema":"https://github.com/citation-style-language/schema/raw/master/csl-citation.json"}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 xml:space="preserve">Cherian George, </w:t>
      </w:r>
      <w:r w:rsidRPr="008A3265">
        <w:rPr>
          <w:rFonts w:ascii="Brill" w:hAnsi="Brill"/>
          <w:i/>
          <w:noProof/>
          <w:lang w:val="id-ID"/>
        </w:rPr>
        <w:t>Pelintiran Kebencian: Rekayasa Ketersinggungan Agama Dan Ancamannya Bagi Demokrasi</w:t>
      </w:r>
      <w:r w:rsidRPr="008A3265">
        <w:rPr>
          <w:rFonts w:ascii="Brill" w:hAnsi="Brill"/>
          <w:noProof/>
          <w:lang w:val="id-ID"/>
        </w:rPr>
        <w:t>, ed. Ihsan Ali-Fauzi and Irsyad Rafsadie (Jakarta: Pusat Studi Agama dan Demokrasi (PUSAD) Yayasan Paramadina, 2017).</w:t>
      </w:r>
      <w:r w:rsidRPr="008A3265">
        <w:rPr>
          <w:rFonts w:ascii="Brill" w:hAnsi="Brill"/>
          <w:lang w:val="id-ID"/>
        </w:rPr>
        <w:fldChar w:fldCharType="end"/>
      </w:r>
    </w:p>
  </w:footnote>
  <w:footnote w:id="25">
    <w:p w14:paraId="73A7F1BF" w14:textId="301844F8" w:rsidR="0023278C" w:rsidRPr="008A3265" w:rsidRDefault="0023278C"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w:t>
      </w:r>
      <w:r w:rsidRPr="008A3265">
        <w:rPr>
          <w:rFonts w:ascii="Brill" w:hAnsi="Brill"/>
          <w:lang w:val="id-ID"/>
        </w:rPr>
        <w:fldChar w:fldCharType="begin" w:fldLock="1"/>
      </w:r>
      <w:r w:rsidR="00393AF2" w:rsidRPr="008A3265">
        <w:rPr>
          <w:rFonts w:ascii="Brill" w:hAnsi="Brill"/>
          <w:lang w:val="id-ID"/>
        </w:rPr>
        <w:instrText>ADDIN CSL_CITATION {"citationItems":[{"id":"ITEM-1","itemData":{"author":[{"dropping-particle":"","family":"Bhinneka","given":"Jaringan Pontianak","non-dropping-particle":"","parse-names":false,"suffix":""}],"id":"ITEM-1","issued":{"date-parts":[["2021"]]},"number-of-pages":"37-38","publisher-place":"Pontianak","title":"Naskah Akademik Peraturan Daerah Kota Pontianak tentang Penyelenggaraan Toleransi dalam Kehidupan Bermasyarakat","type":"report"},"uris":["http://www.mendeley.com/documents/?uuid=ec805648-39b5-475a-be3f-9ac74858d346"]}],"mendeley":{"formattedCitation":"Jaringan Pontianak Bhinneka, &lt;i&gt;Naskah Akademik Peraturan Daerah Kota Pontianak Tentang Penyelenggaraan Toleransi Dalam Kehidupan Bermasyarakat&lt;/i&gt; (Pontianak, 2021).","plainTextFormattedCitation":"Jaringan Pontianak Bhinneka, Naskah Akademik Peraturan Daerah Kota Pontianak Tentang Penyelenggaraan Toleransi Dalam Kehidupan Bermasyarakat (Pontianak, 2021).","previouslyFormattedCitation":"Jaringan Pontianak Bhinneka, &lt;i&gt;Naskah Akademik Peraturan Daerah Kota Pontianak Tentang Penyelenggaraan Toleransi Dalam Kehidupan Bermasyarakat&lt;/i&gt; (Pontianak, 2021)."},"properties":{"noteIndex":25},"schema":"https://github.com/citation-style-language/schema/raw/master/csl-citation.json"}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 xml:space="preserve">Jaringan Pontianak Bhinneka, </w:t>
      </w:r>
      <w:r w:rsidRPr="008A3265">
        <w:rPr>
          <w:rFonts w:ascii="Brill" w:hAnsi="Brill"/>
          <w:i/>
          <w:noProof/>
          <w:lang w:val="id-ID"/>
        </w:rPr>
        <w:t>Naskah Akademik Peraturan Daerah Kota Pontianak Tentang Penyelenggaraan Toleransi Dalam Kehidupan Bermasyarakat</w:t>
      </w:r>
      <w:r w:rsidRPr="008A3265">
        <w:rPr>
          <w:rFonts w:ascii="Brill" w:hAnsi="Brill"/>
          <w:noProof/>
          <w:lang w:val="id-ID"/>
        </w:rPr>
        <w:t xml:space="preserve"> (Pontianak, 2021).</w:t>
      </w:r>
      <w:r w:rsidRPr="008A3265">
        <w:rPr>
          <w:rFonts w:ascii="Brill" w:hAnsi="Brill"/>
          <w:lang w:val="id-ID"/>
        </w:rPr>
        <w:fldChar w:fldCharType="end"/>
      </w:r>
    </w:p>
  </w:footnote>
  <w:footnote w:id="26">
    <w:p w14:paraId="2E8BD78C" w14:textId="2F4C8CA4" w:rsidR="00BC69B2" w:rsidRPr="008A3265" w:rsidRDefault="00BC69B2"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w:t>
      </w:r>
      <w:r w:rsidRPr="008A3265">
        <w:rPr>
          <w:rFonts w:ascii="Brill" w:hAnsi="Brill"/>
          <w:lang w:val="id-ID"/>
        </w:rPr>
        <w:fldChar w:fldCharType="begin" w:fldLock="1"/>
      </w:r>
      <w:r w:rsidR="00393AF2" w:rsidRPr="008A3265">
        <w:rPr>
          <w:rFonts w:ascii="Brill" w:hAnsi="Brill"/>
          <w:lang w:val="id-ID"/>
        </w:rPr>
        <w:instrText>ADDIN CSL_CITATION {"citationItems":[{"id":"ITEM-1","itemData":{"author":[{"dropping-particle":"","family":"Bhinneka","given":"Jaringan Pontianak","non-dropping-particle":"","parse-names":false,"suffix":""}],"id":"ITEM-1","issued":{"date-parts":[["2021"]]},"number-of-pages":"37-38","publisher-place":"Pontianak","title":"Naskah Akademik Peraturan Daerah Kota Pontianak tentang Penyelenggaraan Toleransi dalam Kehidupan Bermasyarakat","type":"report"},"uris":["http://www.mendeley.com/documents/?uuid=ec805648-39b5-475a-be3f-9ac74858d346"]}],"mendeley":{"formattedCitation":"Ibid.","plainTextFormattedCitation":"Ibid.","previouslyFormattedCitation":"Ibid."},"properties":{"noteIndex":26},"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Ibid.</w:t>
      </w:r>
      <w:r w:rsidRPr="008A3265">
        <w:rPr>
          <w:rFonts w:ascii="Brill" w:hAnsi="Brill"/>
          <w:lang w:val="id-ID"/>
        </w:rPr>
        <w:fldChar w:fldCharType="end"/>
      </w:r>
    </w:p>
  </w:footnote>
  <w:footnote w:id="27">
    <w:p w14:paraId="1DA93716" w14:textId="046A3C89" w:rsidR="006C13C3" w:rsidRPr="008A3265" w:rsidRDefault="006C13C3"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w:t>
      </w:r>
      <w:r w:rsidRPr="008A3265">
        <w:rPr>
          <w:rFonts w:ascii="Brill" w:hAnsi="Brill"/>
          <w:lang w:val="id-ID"/>
        </w:rPr>
        <w:fldChar w:fldCharType="begin" w:fldLock="1"/>
      </w:r>
      <w:r w:rsidR="00393AF2" w:rsidRPr="008A3265">
        <w:rPr>
          <w:rFonts w:ascii="Brill" w:hAnsi="Brill"/>
          <w:lang w:val="id-ID"/>
        </w:rPr>
        <w:instrText>ADDIN CSL_CITATION {"citationItems":[{"id":"ITEM-1","itemData":{"author":[{"dropping-particle":"","family":"Indarti","given":"Erlyn","non-dropping-particle":"","parse-names":false,"suffix":""}],"id":"ITEM-1","issued":{"date-parts":[["2010"]]},"publisher":"Universitas Diponegoro","title":"Diskresi dan Paradigma Sebuah Telaah Filsafat Hukum","type":"thesis"},"uris":["http://www.mendeley.com/documents/?uuid=af8aa2c1-3f4b-4145-874a-ad750bbef606"]}],"mendeley":{"formattedCitation":"Erlyn Indarti, “Diskresi Dan Paradigma Sebuah Telaah Filsafat Hukum” (Universitas Diponegoro, 2010).","plainTextFormattedCitation":"Erlyn Indarti, “Diskresi Dan Paradigma Sebuah Telaah Filsafat Hukum” (Universitas Diponegoro, 2010).","previouslyFormattedCitation":"Erlyn Indarti, “Diskresi Dan Paradigma Sebuah Telaah Filsafat Hukum” (Universitas Diponegoro, 2010)."},"properties":{"noteIndex":27},"schema":"https://github.com/citation-style-language/schema/raw/master/csl-citation.json"}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 xml:space="preserve">Erlyn Indarti, </w:t>
      </w:r>
      <w:r w:rsidR="008C5148">
        <w:rPr>
          <w:rFonts w:ascii="Brill" w:hAnsi="Brill"/>
          <w:noProof/>
          <w:lang w:val="id-ID"/>
        </w:rPr>
        <w:t>“</w:t>
      </w:r>
      <w:r w:rsidRPr="008A3265">
        <w:rPr>
          <w:rFonts w:ascii="Brill" w:hAnsi="Brill"/>
          <w:noProof/>
          <w:lang w:val="id-ID"/>
        </w:rPr>
        <w:t>Diskresi Dan Paradigma Sebuah Telaah Filsafat Hukum</w:t>
      </w:r>
      <w:r w:rsidR="008C5148">
        <w:rPr>
          <w:rFonts w:ascii="Brill" w:hAnsi="Brill"/>
          <w:noProof/>
          <w:lang w:val="id-ID"/>
        </w:rPr>
        <w:t>”</w:t>
      </w:r>
      <w:r w:rsidRPr="008A3265">
        <w:rPr>
          <w:rFonts w:ascii="Brill" w:hAnsi="Brill"/>
          <w:noProof/>
          <w:lang w:val="id-ID"/>
        </w:rPr>
        <w:t xml:space="preserve"> (Universitas Diponegoro, 2010).</w:t>
      </w:r>
      <w:r w:rsidRPr="008A3265">
        <w:rPr>
          <w:rFonts w:ascii="Brill" w:hAnsi="Brill"/>
          <w:lang w:val="id-ID"/>
        </w:rPr>
        <w:fldChar w:fldCharType="end"/>
      </w:r>
    </w:p>
  </w:footnote>
  <w:footnote w:id="28">
    <w:p w14:paraId="2CC6D7A6" w14:textId="60AAA543" w:rsidR="00673131" w:rsidRPr="00673131" w:rsidRDefault="00673131" w:rsidP="000A0178">
      <w:pPr>
        <w:pStyle w:val="FootnoteText"/>
        <w:ind w:firstLine="567"/>
        <w:jc w:val="both"/>
        <w:rPr>
          <w:lang w:val="en-US"/>
        </w:rPr>
      </w:pPr>
      <w:r>
        <w:rPr>
          <w:rStyle w:val="FootnoteReference"/>
        </w:rPr>
        <w:footnoteRef/>
      </w:r>
      <w:r>
        <w:t xml:space="preserve"> </w:t>
      </w:r>
      <w:r>
        <w:fldChar w:fldCharType="begin" w:fldLock="1"/>
      </w:r>
      <w:r w:rsidR="00972A31">
        <w:instrText>ADDIN CSL_CITATION {"citationItems":[{"id":"ITEM-1","itemData":{"DOI":"https://doi.org/10.4324/9781003422976","author":[{"dropping-particle":"","family":"Čustović","given":"Ajla","non-dropping-particle":"","parse-names":false,"suffix":""}],"container-title":"When Politics Meets Religion: Navigating Old Challenges and New Perspectives","edition":"1th Editio","editor":[{"dropping-particle":"","family":"Veković","given":"Marko","non-dropping-particle":"","parse-names":false,"suffix":""},{"dropping-particle":"","family":"Jevtić","given":"Miroljub","non-dropping-particle":"","parse-names":false,"suffix":""}],"id":"ITEM-1","issued":{"date-parts":[["2024"]]},"page":"1-14","publisher":"Routledge Taylor and Francis Group","publisher-place":"London","title":"Progressive Islamic Interpretation of Tradition Why Should Muslims Treat Sharia Law Only as a Moral Code in the Context of Universal Human Rights?","type":"chapter"},"uris":["http://www.mendeley.com/documents/?uuid=d3b40ffb-cab5-49a8-8495-99cb1fa0f656"]}],"mendeley":{"formattedCitation":"Ajla Čustović, “Progressive Islamic Interpretation of Tradition Why Should Muslims Treat Sharia Law Only as a Moral Code in the Context of Universal Human Rights?,” in &lt;i&gt;When Politics Meets Religion: Navigating Old Challenges and New Perspectives&lt;/i&gt;, ed. Marko Veković and Miroljub Jevtić, 1th Editio. (London: Routledge Taylor and Francis Group, 2024), 1–14.","plainTextFormattedCitation":"Ajla Čustović, “Progressive Islamic Interpretation of Tradition Why Should Muslims Treat Sharia Law Only as a Moral Code in the Context of Universal Human Rights?,” in When Politics Meets Religion: Navigating Old Challenges and New Perspectives, ed. Marko Veković and Miroljub Jevtić, 1th Editio. (London: Routledge Taylor and Francis Group, 2024), 1–14.","previouslyFormattedCitation":"Ajla Čustović, “Progressive Islamic Interpretation of Tradition Why Should Muslims Treat Sharia Law Only as a Moral Code in the Context of Universal Human Rights?,” in &lt;i&gt;When Politics Meets Religion: Navigating Old Challenges and New Perspectives&lt;/i&gt;, ed. Marko Veković and Miroljub Jevtić, 1th Editio. (London: Routledge Taylor and Francis Group, 2024), 1–14."},"properties":{"noteIndex":28},"schema":"https://github.com/citation-style-language/schema/raw/master/csl-citation.json"}</w:instrText>
      </w:r>
      <w:r>
        <w:fldChar w:fldCharType="separate"/>
      </w:r>
      <w:r w:rsidRPr="00673131">
        <w:rPr>
          <w:noProof/>
        </w:rPr>
        <w:t xml:space="preserve">Ajla Čustović, “Progressive Islamic Interpretation of Tradition Why Should Muslims Treat Sharia Law Only as a Moral Code in the Context of Universal Human Rights?,” in </w:t>
      </w:r>
      <w:r w:rsidRPr="00673131">
        <w:rPr>
          <w:i/>
          <w:noProof/>
        </w:rPr>
        <w:t>When Politics Meets Religion: Navigating Old Challenges and New Perspectives</w:t>
      </w:r>
      <w:r w:rsidRPr="00673131">
        <w:rPr>
          <w:noProof/>
        </w:rPr>
        <w:t>, ed. Marko Veković and Miroljub Jevtić, 1th Editio. (London: Routledge Taylor and Francis Group, 2024), 1–14.</w:t>
      </w:r>
      <w:r>
        <w:fldChar w:fldCharType="end"/>
      </w:r>
    </w:p>
  </w:footnote>
  <w:footnote w:id="29">
    <w:p w14:paraId="4161EA9B" w14:textId="7833925A" w:rsidR="00972A31" w:rsidRPr="00972A31" w:rsidRDefault="00972A31" w:rsidP="000A0178">
      <w:pPr>
        <w:pStyle w:val="FootnoteText"/>
        <w:ind w:firstLine="567"/>
        <w:jc w:val="both"/>
        <w:rPr>
          <w:lang w:val="en-US"/>
        </w:rPr>
      </w:pPr>
      <w:r>
        <w:rPr>
          <w:rStyle w:val="FootnoteReference"/>
        </w:rPr>
        <w:footnoteRef/>
      </w:r>
      <w:r>
        <w:t xml:space="preserve"> </w:t>
      </w:r>
      <w:r>
        <w:fldChar w:fldCharType="begin" w:fldLock="1"/>
      </w:r>
      <w:r w:rsidR="000A0178">
        <w:instrText>ADDIN CSL_CITATION {"citationItems":[{"id":"ITEM-1","itemData":{"DOI":"http://dx.doi.org/10.18860/j-fsh.v16i1.23989","author":[{"dropping-particle":"","family":"Salam","given":"Nor","non-dropping-particle":"","parse-names":false,"suffix":""},{"dropping-particle":"","family":"Purnomo","given":"Agus","non-dropping-particle":"","parse-names":false,"suffix":""},{"dropping-particle":"","family":"Saifullah","given":"Saifullah","non-dropping-particle":"","parse-names":false,"suffix":""},{"dropping-particle":"","family":"Saifullah","given":"Saifullah","non-dropping-particle":"","parse-names":false,"suffix":""}],"container-title":"De Jure: Jurnal Hukum dan Syar'iah","id":"ITEM-1","issue":"1","issued":{"date-parts":[["2024"]]},"page":"186","title":"Interfaith Marriage from the Perspective of Rationality: Theocentrism in Islamic Law and Anthropocentrism in Human Rights Law","type":"article-journal","volume":"16"},"uris":["http://www.mendeley.com/documents/?uuid=ffe5d184-7a2d-49d2-b519-4bae4cdf3ea7"]}],"mendeley":{"formattedCitation":"Nor Salam et al., “Interfaith Marriage from the Perspective of Rationality: Theocentrism in Islamic Law and Anthropocentrism in Human Rights Law,” &lt;i&gt;De Jure: Jurnal Hukum dan Syar’iah&lt;/i&gt; 16, no. 1 (2024): 186.","plainTextFormattedCitation":"Nor Salam et al., “Interfaith Marriage from the Perspective of Rationality: Theocentrism in Islamic Law and Anthropocentrism in Human Rights Law,” De Jure: Jurnal Hukum dan Syar’iah 16, no. 1 (2024): 186.","previouslyFormattedCitation":"Nor Salam et al., “Interfaith Marriage from the Perspective of Rationality: Theocentrism in Islamic Law and Anthropocentrism in Human Rights Law,” &lt;i&gt;De Jure: Jurnal Hukum dan Syar’iah&lt;/i&gt; 16, no. 1 (2024): 186."},"properties":{"noteIndex":29},"schema":"https://github.com/citation-style-language/schema/raw/master/csl-citation.json"}</w:instrText>
      </w:r>
      <w:r>
        <w:fldChar w:fldCharType="separate"/>
      </w:r>
      <w:r w:rsidRPr="00972A31">
        <w:rPr>
          <w:noProof/>
        </w:rPr>
        <w:t xml:space="preserve">Nor Salam et al., “Interfaith Marriage from the Perspective of Rationality: Theocentrism in Islamic Law and Anthropocentrism in Human Rights Law,” </w:t>
      </w:r>
      <w:r w:rsidRPr="00972A31">
        <w:rPr>
          <w:i/>
          <w:noProof/>
        </w:rPr>
        <w:t>De Jure: Jurnal Hukum dan Syar’iah</w:t>
      </w:r>
      <w:r w:rsidRPr="00972A31">
        <w:rPr>
          <w:noProof/>
        </w:rPr>
        <w:t xml:space="preserve"> 16, no. 1 (2024): 186.</w:t>
      </w:r>
      <w:r>
        <w:fldChar w:fldCharType="end"/>
      </w:r>
    </w:p>
  </w:footnote>
  <w:footnote w:id="30">
    <w:p w14:paraId="55D83330" w14:textId="1D32E393" w:rsidR="000A0178" w:rsidRPr="000A0178" w:rsidRDefault="000A0178" w:rsidP="000A0178">
      <w:pPr>
        <w:pStyle w:val="FootnoteText"/>
        <w:ind w:firstLine="567"/>
        <w:jc w:val="both"/>
        <w:rPr>
          <w:lang w:val="en-US"/>
        </w:rPr>
      </w:pPr>
      <w:r>
        <w:rPr>
          <w:rStyle w:val="FootnoteReference"/>
        </w:rPr>
        <w:footnoteRef/>
      </w:r>
      <w:r>
        <w:t xml:space="preserve"> </w:t>
      </w:r>
      <w:r>
        <w:fldChar w:fldCharType="begin" w:fldLock="1"/>
      </w:r>
      <w:r w:rsidR="00F834E3">
        <w:instrText>ADDIN CSL_CITATION {"citationItems":[{"id":"ITEM-1","itemData":{"DOI":"https://doi.org/10.36941/ajis-2021-0047","author":[{"dropping-particle":"","family":"AlKhaza’leh","given":"Mohammad Salman","non-dropping-particle":"","parse-names":false,"suffix":""}],"container-title":"Academic Journal of Interdisciplinary Studies","id":"ITEM-1","issue":"2","issued":{"date-parts":[["2021"]]},"page":"163","title":"An Outlook of Each of the Islamic Thought and the Contemporary Global Thought on the Human Concept and Rights","type":"article-journal","volume":"10"},"uris":["http://www.mendeley.com/documents/?uuid=91296c39-a32a-499d-bc01-8c1a5f84fc35"]}],"mendeley":{"formattedCitation":"Mohammad Salman AlKhaza’leh, “An Outlook of Each of the Islamic Thought and the Contemporary Global Thought on the Human Concept and Rights,” &lt;i&gt;Academic Journal of Interdisciplinary Studies&lt;/i&gt; 10, no. 2 (2021): 163.","plainTextFormattedCitation":"Mohammad Salman AlKhaza’leh, “An Outlook of Each of the Islamic Thought and the Contemporary Global Thought on the Human Concept and Rights,” Academic Journal of Interdisciplinary Studies 10, no. 2 (2021): 163.","previouslyFormattedCitation":"Mohammad Salman AlKhaza’leh, “An Outlook of Each of the Islamic Thought and the Contemporary Global Thought on the Human Concept and Rights,” &lt;i&gt;Academic Journal of Interdisciplinary Studies&lt;/i&gt; 10, no. 2 (2021): 163."},"properties":{"noteIndex":30},"schema":"https://github.com/citation-style-language/schema/raw/master/csl-citation.json"}</w:instrText>
      </w:r>
      <w:r>
        <w:fldChar w:fldCharType="separate"/>
      </w:r>
      <w:r w:rsidRPr="000A0178">
        <w:rPr>
          <w:noProof/>
        </w:rPr>
        <w:t xml:space="preserve">Mohammad Salman AlKhaza’leh, “An Outlook of Each of the Islamic Thought and the Contemporary Global Thought on the Human Concept and Rights,” </w:t>
      </w:r>
      <w:r w:rsidRPr="000A0178">
        <w:rPr>
          <w:i/>
          <w:noProof/>
        </w:rPr>
        <w:t>Academic Journal of Interdisciplinary Studies</w:t>
      </w:r>
      <w:r w:rsidRPr="000A0178">
        <w:rPr>
          <w:noProof/>
        </w:rPr>
        <w:t xml:space="preserve"> 10, no. 2 (2021): 163.</w:t>
      </w:r>
      <w:r>
        <w:fldChar w:fldCharType="end"/>
      </w:r>
    </w:p>
  </w:footnote>
  <w:footnote w:id="31">
    <w:p w14:paraId="05A44056" w14:textId="230F6F66" w:rsidR="00F834E3" w:rsidRPr="00F834E3" w:rsidRDefault="00F834E3" w:rsidP="00572D66">
      <w:pPr>
        <w:pStyle w:val="FootnoteText"/>
        <w:ind w:firstLine="567"/>
        <w:jc w:val="both"/>
        <w:rPr>
          <w:lang w:val="en-US"/>
        </w:rPr>
      </w:pPr>
      <w:r>
        <w:rPr>
          <w:rStyle w:val="FootnoteReference"/>
        </w:rPr>
        <w:footnoteRef/>
      </w:r>
      <w:r>
        <w:t xml:space="preserve"> </w:t>
      </w:r>
      <w:r>
        <w:fldChar w:fldCharType="begin" w:fldLock="1"/>
      </w:r>
      <w:r w:rsidR="00EC768C">
        <w:instrText>ADDIN CSL_CITATION {"citationItems":[{"id":"ITEM-1","itemData":{"DOI":"https://doi.org/10.24090/mnh.v17i2.7897","author":[{"dropping-particle":"","family":"Farkhani","given":"Farkhani","non-dropping-particle":"","parse-names":false,"suffix":""},{"dropping-particle":"","family":"Badwan","given":"Badwan","non-dropping-particle":"","parse-names":false,"suffix":""},{"dropping-particle":"","family":"Berutu","given":"Ali Geno","non-dropping-particle":"","parse-names":false,"suffix":""},{"dropping-particle":"","family":"Zulkarnain","given":"Zulkarnain","non-dropping-particle":"","parse-names":false,"suffix":""},{"dropping-particle":"","family":"Irfanudin","given":"Fahmi","non-dropping-particle":"","parse-names":false,"suffix":""}],"container-title":"Al-Manahij: Jurnal Kajian Hukum Islam","id":"ITEM-1","issue":"2","issued":{"date-parts":[["2023"]]},"page":"215","title":"Legal Protection of Minority Rights: Study on the Implementation of Qanun Number 6 of 2014 Concerning the Jinayat Law in Langsa City, Aceh Special Region Province","type":"article-journal","volume":"17"},"uris":["http://www.mendeley.com/documents/?uuid=ac2da4a9-5432-4f15-b49b-9bde8d93f59a"]}],"mendeley":{"formattedCitation":"Farkhani Farkhani et al., “Legal Protection of Minority Rights: Study on the Implementation of Qanun Number 6 of 2014 Concerning the Jinayat Law in Langsa City, Aceh Special Region Province,” &lt;i&gt;Al-Manahij: Jurnal Kajian Hukum Islam&lt;/i&gt; 17, no. 2 (2023): 215.","plainTextFormattedCitation":"Farkhani Farkhani et al., “Legal Protection of Minority Rights: Study on the Implementation of Qanun Number 6 of 2014 Concerning the Jinayat Law in Langsa City, Aceh Special Region Province,” Al-Manahij: Jurnal Kajian Hukum Islam 17, no. 2 (2023): 215.","previouslyFormattedCitation":"Farkhani Farkhani et al., “Legal Protection of Minority Rights: Study on the Implementation of Qanun Number 6 of 2014 Concerning the Jinayat Law in Langsa City, Aceh Special Region Province,” &lt;i&gt;Al-Manahij: Jurnal Kajian Hukum Islam&lt;/i&gt; 17, no. 2 (2023): 215."},"properties":{"noteIndex":31},"schema":"https://github.com/citation-style-language/schema/raw/master/csl-citation.json"}</w:instrText>
      </w:r>
      <w:r>
        <w:fldChar w:fldCharType="separate"/>
      </w:r>
      <w:r w:rsidRPr="00F834E3">
        <w:rPr>
          <w:noProof/>
        </w:rPr>
        <w:t xml:space="preserve">Farkhani Farkhani et al., “Legal Protection of Minority Rights: Study on the Implementation of Qanun Number 6 of 2014 Concerning the Jinayat Law in Langsa City, Aceh Special Region Province,” </w:t>
      </w:r>
      <w:r w:rsidRPr="00F834E3">
        <w:rPr>
          <w:i/>
          <w:noProof/>
        </w:rPr>
        <w:t>Al-Manahij: Jurnal Kajian Hukum Islam</w:t>
      </w:r>
      <w:r w:rsidRPr="00F834E3">
        <w:rPr>
          <w:noProof/>
        </w:rPr>
        <w:t xml:space="preserve"> 17, no. 2 (2023): 215.</w:t>
      </w:r>
      <w:r>
        <w:fldChar w:fldCharType="end"/>
      </w:r>
    </w:p>
  </w:footnote>
  <w:footnote w:id="32">
    <w:p w14:paraId="1C8C485F" w14:textId="4DD757D6" w:rsidR="00EC768C" w:rsidRPr="00EC768C" w:rsidRDefault="00EC768C" w:rsidP="00572D66">
      <w:pPr>
        <w:pStyle w:val="FootnoteText"/>
        <w:ind w:firstLine="567"/>
        <w:jc w:val="both"/>
        <w:rPr>
          <w:lang w:val="en-US"/>
        </w:rPr>
      </w:pPr>
      <w:r>
        <w:rPr>
          <w:rStyle w:val="FootnoteReference"/>
        </w:rPr>
        <w:footnoteRef/>
      </w:r>
      <w:r>
        <w:t xml:space="preserve"> </w:t>
      </w:r>
      <w:r>
        <w:fldChar w:fldCharType="begin" w:fldLock="1"/>
      </w:r>
      <w:r>
        <w:instrText>ADDIN CSL_CITATION {"citationItems":[{"id":"ITEM-1","itemData":{"DOI":"https://doi.org/10.1007/s12142-021-00645-x","author":[{"dropping-particle":"","family":"Halim","given":"Abdul","non-dropping-particle":"","parse-names":false,"suffix":""}],"container-title":"Human Rights Review","id":"ITEM-1","issue":"June","issued":{"date-parts":[["2022"]]},"page":"265-288","title":"Non-Muslims in the Qanun Jinayat and the Choice of Law in Sharia Courts in Aceh","type":"article-journal","volume":"23"},"uris":["http://www.mendeley.com/documents/?uuid=38f14075-050c-4e91-8004-3138a4fb5ea9"]}],"mendeley":{"formattedCitation":"Abdul Halim, “Non-Muslims in the Qanun Jinayat and the Choice of Law in Sharia Courts in Aceh,” &lt;i&gt;Human Rights Review&lt;/i&gt; 23, no. June (2022): 265–288.","plainTextFormattedCitation":"Abdul Halim, “Non-Muslims in the Qanun Jinayat and the Choice of Law in Sharia Courts in Aceh,” Human Rights Review 23, no. June (2022): 265–288.","previouslyFormattedCitation":"Abdul Halim, “Non-Muslims in the Qanun Jinayat and the Choice of Law in Sharia Courts in Aceh,” &lt;i&gt;Human Rights Review&lt;/i&gt; 23, no. June (2022): 265–288."},"properties":{"noteIndex":32},"schema":"https://github.com/citation-style-language/schema/raw/master/csl-citation.json"}</w:instrText>
      </w:r>
      <w:r>
        <w:fldChar w:fldCharType="separate"/>
      </w:r>
      <w:r w:rsidRPr="00EC768C">
        <w:rPr>
          <w:noProof/>
        </w:rPr>
        <w:t xml:space="preserve">Abdul Halim, “Non-Muslims in the Qanun Jinayat and the Choice of Law in Sharia Courts in Aceh,” </w:t>
      </w:r>
      <w:r w:rsidRPr="00EC768C">
        <w:rPr>
          <w:i/>
          <w:noProof/>
        </w:rPr>
        <w:t>Human Rights Review</w:t>
      </w:r>
      <w:r w:rsidRPr="00EC768C">
        <w:rPr>
          <w:noProof/>
        </w:rPr>
        <w:t xml:space="preserve"> 23, no. June (2022): 265–288.</w:t>
      </w:r>
      <w:r>
        <w:fldChar w:fldCharType="end"/>
      </w:r>
    </w:p>
  </w:footnote>
  <w:footnote w:id="33">
    <w:p w14:paraId="159CFFFD" w14:textId="4EE13CAB" w:rsidR="00EC768C" w:rsidRPr="00EC768C" w:rsidRDefault="00EC768C" w:rsidP="00572D66">
      <w:pPr>
        <w:pStyle w:val="FootnoteText"/>
        <w:ind w:firstLine="567"/>
        <w:jc w:val="both"/>
        <w:rPr>
          <w:lang w:val="en-US"/>
        </w:rPr>
      </w:pPr>
      <w:r>
        <w:rPr>
          <w:rStyle w:val="FootnoteReference"/>
        </w:rPr>
        <w:footnoteRef/>
      </w:r>
      <w:r>
        <w:t xml:space="preserve"> </w:t>
      </w:r>
      <w:r>
        <w:fldChar w:fldCharType="begin" w:fldLock="1"/>
      </w:r>
      <w:r w:rsidR="00572D66">
        <w:instrText>ADDIN CSL_CITATION {"citationItems":[{"id":"ITEM-1","itemData":{"DOI":"https://doi.org/10.32332/istinbath.v14i1.735","author":[{"dropping-particle":"","family":"Jufri","given":"Muwaffiq","non-dropping-particle":"","parse-names":false,"suffix":""}],"container-title":"Istinbath : Jurnal Hukum","id":"ITEM-1","issue":"1","issued":{"date-parts":[["2017"]]},"page":"1-14","title":"Nuansa Maqashid Al-Syariah dalam Undang-Undang Nomor 39 Tahun 1999 tentang Hak Asasi Manusia","type":"article-journal","volume":"14"},"uris":["http://www.mendeley.com/documents/?uuid=dbb097cb-ebe7-489e-b7c7-02162135b5dd"]}],"mendeley":{"formattedCitation":"Muwaffiq Jufri, “Nuansa Maqashid Al-Syariah Dalam Undang-Undang Nomor 39 Tahun 1999 Tentang Hak Asasi Manusia,” &lt;i&gt;Istinbath : Jurnal Hukum&lt;/i&gt; 14, no. 1 (2017): 1–14.","plainTextFormattedCitation":"Muwaffiq Jufri, “Nuansa Maqashid Al-Syariah Dalam Undang-Undang Nomor 39 Tahun 1999 Tentang Hak Asasi Manusia,” Istinbath : Jurnal Hukum 14, no. 1 (2017): 1–14.","previouslyFormattedCitation":"Muwaffiq Jufri, “Nuansa Maqashid Al-Syariah Dalam Undang-Undang Nomor 39 Tahun 1999 Tentang Hak Asasi Manusia,” &lt;i&gt;Istinbath : Jurnal Hukum&lt;/i&gt; 14, no. 1 (2017): 1–14."},"properties":{"noteIndex":33},"schema":"https://github.com/citation-style-language/schema/raw/master/csl-citation.json"}</w:instrText>
      </w:r>
      <w:r>
        <w:fldChar w:fldCharType="separate"/>
      </w:r>
      <w:r w:rsidRPr="00EC768C">
        <w:rPr>
          <w:noProof/>
        </w:rPr>
        <w:t xml:space="preserve">Muwaffiq Jufri, “Nuansa Maqashid Al-Syariah Dalam Undang-Undang Nomor 39 Tahun 1999 Tentang Hak Asasi Manusia,” </w:t>
      </w:r>
      <w:r w:rsidRPr="00EC768C">
        <w:rPr>
          <w:i/>
          <w:noProof/>
        </w:rPr>
        <w:t>Istinbath : Jurnal Hukum</w:t>
      </w:r>
      <w:r w:rsidRPr="00EC768C">
        <w:rPr>
          <w:noProof/>
        </w:rPr>
        <w:t xml:space="preserve"> 14, no. 1 (2017): 1–14.</w:t>
      </w:r>
      <w:r>
        <w:fldChar w:fldCharType="end"/>
      </w:r>
    </w:p>
  </w:footnote>
  <w:footnote w:id="34">
    <w:p w14:paraId="2A0809D2" w14:textId="15523846" w:rsidR="00D572FC" w:rsidRPr="008A3265" w:rsidRDefault="00D572FC"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w:t>
      </w:r>
      <w:r w:rsidRPr="008A3265">
        <w:rPr>
          <w:rFonts w:ascii="Brill" w:hAnsi="Brill"/>
          <w:lang w:val="id-ID"/>
        </w:rPr>
        <w:fldChar w:fldCharType="begin" w:fldLock="1"/>
      </w:r>
      <w:r w:rsidR="00EC768C">
        <w:rPr>
          <w:rFonts w:ascii="Brill" w:hAnsi="Brill"/>
          <w:lang w:val="id-ID"/>
        </w:rPr>
        <w:instrText>ADDIN CSL_CITATION {"citationItems":[{"id":"ITEM-1","itemData":{"author":[{"dropping-particle":"","family":"Bielefeldt","given":"Heiner","non-dropping-particle":"","parse-names":false,"suffix":""},{"dropping-particle":"","family":"Wiener","given":"Michael","non-dropping-particle":"","parse-names":false,"suffix":""}],"editor":[{"dropping-particle":"","family":"Baiquni","given":"Ahmad","non-dropping-particle":"","parse-names":false,"suffix":""}],"id":"ITEM-1","issued":{"date-parts":[["2021"]]},"publisher":"Penerbit Mizan","publisher-place":"Bandung","title":"Menelisik Kebebasan Beragama: Prinsip-Prinsip dan Kontroversinya","type":"book"},"uris":["http://www.mendeley.com/documents/?uuid=78837a9d-a547-4eed-b420-75d6fe7dbe39"]}],"mendeley":{"formattedCitation":"Heiner Bielefeldt and Michael Wiener, &lt;i&gt;Menelisik Kebebasan Beragama: Prinsip-Prinsip Dan Kontroversinya&lt;/i&gt;, ed. Ahmad Baiquni (Bandung: Penerbit Mizan, 2021).","plainTextFormattedCitation":"Heiner Bielefeldt and Michael Wiener, Menelisik Kebebasan Beragama: Prinsip-Prinsip Dan Kontroversinya, ed. Ahmad Baiquni (Bandung: Penerbit Mizan, 2021).","previouslyFormattedCitation":"Heiner Bielefeldt and Michael Wiener, &lt;i&gt;Menelisik Kebebasan Beragama: Prinsip-Prinsip Dan Kontroversinya&lt;/i&gt;, ed. Ahmad Baiquni (Bandung: Penerbit Mizan, 2021)."},"properties":{"noteIndex":34},"schema":"https://github.com/citation-style-language/schema/raw/master/csl-citation.json"}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 xml:space="preserve">Heiner Bielefeldt and Michael Wiener, </w:t>
      </w:r>
      <w:r w:rsidRPr="008A3265">
        <w:rPr>
          <w:rFonts w:ascii="Brill" w:hAnsi="Brill"/>
          <w:i/>
          <w:noProof/>
          <w:lang w:val="id-ID"/>
        </w:rPr>
        <w:t>Menelisik Kebebasan Beragama: Prinsip-Prinsip Dan Kontroversinya</w:t>
      </w:r>
      <w:r w:rsidRPr="008A3265">
        <w:rPr>
          <w:rFonts w:ascii="Brill" w:hAnsi="Brill"/>
          <w:noProof/>
          <w:lang w:val="id-ID"/>
        </w:rPr>
        <w:t>, ed. Ahmad Baiquni (Bandung: Penerbit Mizan, 2021).</w:t>
      </w:r>
      <w:r w:rsidRPr="008A3265">
        <w:rPr>
          <w:rFonts w:ascii="Brill" w:hAnsi="Brill"/>
          <w:lang w:val="id-ID"/>
        </w:rPr>
        <w:fldChar w:fldCharType="end"/>
      </w:r>
    </w:p>
  </w:footnote>
  <w:footnote w:id="35">
    <w:p w14:paraId="1095A1B1" w14:textId="3DFCF86D" w:rsidR="00572D66" w:rsidRPr="00572D66" w:rsidRDefault="00572D66" w:rsidP="00572D66">
      <w:pPr>
        <w:pStyle w:val="FootnoteText"/>
        <w:ind w:firstLine="567"/>
        <w:jc w:val="both"/>
        <w:rPr>
          <w:lang w:val="en-US"/>
        </w:rPr>
      </w:pPr>
      <w:r>
        <w:rPr>
          <w:rStyle w:val="FootnoteReference"/>
        </w:rPr>
        <w:footnoteRef/>
      </w:r>
      <w:r>
        <w:t xml:space="preserve"> </w:t>
      </w:r>
      <w:r>
        <w:fldChar w:fldCharType="begin" w:fldLock="1"/>
      </w:r>
      <w:r>
        <w:instrText>ADDIN CSL_CITATION {"citationItems":[{"id":"ITEM-1","itemData":{"author":[{"dropping-particle":"","family":"Na'im","given":"Abdullahi Ahmed A","non-dropping-particle":"","parse-names":false,"suffix":""}],"id":"ITEM-1","issued":{"date-parts":[["1990"]]},"number-of-pages":"11","publisher":"Syracuse University Press,","publisher-place":"New York","title":"Toward an Islamic Refor-mation: Civil Liberties, Human Rights, and International Law","type":"book"},"uris":["http://www.mendeley.com/documents/?uuid=4c875732-57d4-4c0e-aa73-b2f138df4c52"]}],"mendeley":{"formattedCitation":"Abdullahi Ahmed A Na’im, &lt;i&gt;Toward an Islamic Refor-Mation: Civil Liberties, Human Rights, and International Law&lt;/i&gt; (New York: Syracuse University Press, 1990).","plainTextFormattedCitation":"Abdullahi Ahmed A Na’im, Toward an Islamic Refor-Mation: Civil Liberties, Human Rights, and International Law (New York: Syracuse University Press, 1990)."},"properties":{"noteIndex":35},"schema":"https://github.com/citation-style-language/schema/raw/master/csl-citation.json"}</w:instrText>
      </w:r>
      <w:r>
        <w:fldChar w:fldCharType="separate"/>
      </w:r>
      <w:r w:rsidRPr="00572D66">
        <w:rPr>
          <w:noProof/>
        </w:rPr>
        <w:t xml:space="preserve">Abdullahi Ahmed A Na’im, </w:t>
      </w:r>
      <w:r w:rsidRPr="00572D66">
        <w:rPr>
          <w:i/>
          <w:noProof/>
        </w:rPr>
        <w:t>Toward an Islamic Refor-Mation: Civil Liberties, Human Rights, and International Law</w:t>
      </w:r>
      <w:r w:rsidRPr="00572D66">
        <w:rPr>
          <w:noProof/>
        </w:rPr>
        <w:t xml:space="preserve"> (New York: Syracuse University Press, 1990).</w:t>
      </w:r>
      <w:r>
        <w:fldChar w:fldCharType="end"/>
      </w:r>
    </w:p>
  </w:footnote>
  <w:footnote w:id="36">
    <w:p w14:paraId="1C549EBF" w14:textId="71F167D9" w:rsidR="00AF37D1" w:rsidRPr="008A3265" w:rsidRDefault="00AF37D1"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w:t>
      </w:r>
      <w:r w:rsidRPr="008A3265">
        <w:rPr>
          <w:rFonts w:ascii="Brill" w:hAnsi="Brill"/>
          <w:lang w:val="id-ID"/>
        </w:rPr>
        <w:fldChar w:fldCharType="begin" w:fldLock="1"/>
      </w:r>
      <w:r w:rsidR="00572D66">
        <w:rPr>
          <w:rFonts w:ascii="Brill" w:hAnsi="Brill"/>
          <w:lang w:val="id-ID"/>
        </w:rPr>
        <w:instrText>ADDIN CSL_CITATION {"citationItems":[{"id":"ITEM-1","itemData":{"author":[{"dropping-particle":"","family":"Guba","given":"Egon G.","non-dropping-particle":"","parse-names":false,"suffix":""}],"id":"ITEM-1","issued":{"date-parts":[["1990"]]},"publisher":"Sage Publications, Inc.","publisher-place":"California","title":"The Paradigm Dialog","type":"book"},"uris":["http://www.mendeley.com/documents/?uuid=0b2e6d5e-352d-458e-a5e7-67bd267df715"]}],"mendeley":{"formattedCitation":"Egon G. Guba, &lt;i&gt;The Paradigm Dialog&lt;/i&gt; (California: Sage Publications, Inc., 1990).","plainTextFormattedCitation":"Egon G. Guba, The Paradigm Dialog (California: Sage Publications, Inc., 1990).","previouslyFormattedCitation":"Egon G. Guba, &lt;i&gt;The Paradigm Dialog&lt;/i&gt; (California: Sage Publications, Inc., 1990)."},"properties":{"noteIndex":36},"schema":"https://github.com/citation-style-language/schema/raw/master/csl-citation.json"}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 xml:space="preserve">Egon G. Guba, </w:t>
      </w:r>
      <w:r w:rsidRPr="008A3265">
        <w:rPr>
          <w:rFonts w:ascii="Brill" w:hAnsi="Brill"/>
          <w:i/>
          <w:noProof/>
          <w:lang w:val="id-ID"/>
        </w:rPr>
        <w:t>The Paradigm Dialog</w:t>
      </w:r>
      <w:r w:rsidRPr="008A3265">
        <w:rPr>
          <w:rFonts w:ascii="Brill" w:hAnsi="Brill"/>
          <w:noProof/>
          <w:lang w:val="id-ID"/>
        </w:rPr>
        <w:t xml:space="preserve"> (California: Sage Publications, Inc., 1990).</w:t>
      </w:r>
      <w:r w:rsidRPr="008A3265">
        <w:rPr>
          <w:rFonts w:ascii="Brill" w:hAnsi="Brill"/>
          <w:lang w:val="id-ID"/>
        </w:rPr>
        <w:fldChar w:fldCharType="end"/>
      </w:r>
    </w:p>
  </w:footnote>
  <w:footnote w:id="37">
    <w:p w14:paraId="0B4EC9A6" w14:textId="12697DD5" w:rsidR="006F53BA" w:rsidRPr="008A3265" w:rsidRDefault="006F53BA" w:rsidP="008A3265">
      <w:pPr>
        <w:pStyle w:val="FootnoteText"/>
        <w:ind w:firstLine="567"/>
        <w:jc w:val="both"/>
        <w:rPr>
          <w:rFonts w:ascii="Brill" w:hAnsi="Brill"/>
          <w:lang w:val="id-ID"/>
        </w:rPr>
      </w:pPr>
      <w:r w:rsidRPr="008A3265">
        <w:rPr>
          <w:rStyle w:val="FootnoteReference"/>
          <w:rFonts w:ascii="Brill" w:hAnsi="Brill"/>
          <w:lang w:val="id-ID"/>
        </w:rPr>
        <w:footnoteRef/>
      </w:r>
      <w:r w:rsidRPr="008A3265">
        <w:rPr>
          <w:rFonts w:ascii="Brill" w:hAnsi="Brill"/>
          <w:lang w:val="id-ID"/>
        </w:rPr>
        <w:t xml:space="preserve"> </w:t>
      </w:r>
      <w:r w:rsidRPr="008A3265">
        <w:rPr>
          <w:rFonts w:ascii="Brill" w:hAnsi="Brill"/>
          <w:lang w:val="id-ID"/>
        </w:rPr>
        <w:fldChar w:fldCharType="begin" w:fldLock="1"/>
      </w:r>
      <w:r w:rsidR="00572D66">
        <w:rPr>
          <w:rFonts w:ascii="Brill" w:hAnsi="Brill"/>
          <w:lang w:val="id-ID"/>
        </w:rPr>
        <w:instrText>ADDIN CSL_CITATION {"citationItems":[{"id":"ITEM-1","itemData":{"author":[{"dropping-particle":"","family":"Lincoln","given":"Yvonna S.","non-dropping-particle":"","parse-names":false,"suffix":""},{"dropping-particle":"","family":"Guba","given":"Egon G.","non-dropping-particle":"","parse-names":false,"suffix":""}],"id":"ITEM-1","issued":{"date-parts":[["2013"]]},"publisher":"Left Coast Press Inc.","publisher-place":"Walnut Creek, California","title":"The Constructivist Credo","type":"book"},"uris":["http://www.mendeley.com/documents/?uuid=e758dc54-186b-48b4-b50c-8c34fde95f91"]}],"mendeley":{"formattedCitation":"Yvonna S. Lincoln and Egon G. Guba, &lt;i&gt;The Constructivist Credo&lt;/i&gt; (Walnut Creek, California: Left Coast Press Inc., 2013).","plainTextFormattedCitation":"Yvonna S. Lincoln and Egon G. Guba, The Constructivist Credo (Walnut Creek, California: Left Coast Press Inc., 2013).","previouslyFormattedCitation":"Yvonna S. Lincoln and Egon G. Guba, &lt;i&gt;The Constructivist Credo&lt;/i&gt; (Walnut Creek, California: Left Coast Press Inc., 2013)."},"properties":{"noteIndex":37},"schema":"https://github.com/citation-style-language/schema/raw/master/csl-citation.json"}</w:instrText>
      </w:r>
      <w:r w:rsidRPr="008A3265">
        <w:rPr>
          <w:rFonts w:ascii="Brill" w:hAnsi="Brill"/>
          <w:lang w:val="id-ID"/>
        </w:rPr>
        <w:fldChar w:fldCharType="separate"/>
      </w:r>
      <w:r w:rsidRPr="008A3265">
        <w:rPr>
          <w:rFonts w:ascii="Brill" w:hAnsi="Brill"/>
          <w:noProof/>
          <w:lang w:val="id-ID"/>
        </w:rPr>
        <w:t xml:space="preserve">Yvonna S. Lincoln and Egon G. Guba, </w:t>
      </w:r>
      <w:r w:rsidRPr="008A3265">
        <w:rPr>
          <w:rFonts w:ascii="Brill" w:hAnsi="Brill"/>
          <w:i/>
          <w:noProof/>
          <w:lang w:val="id-ID"/>
        </w:rPr>
        <w:t>The Constructivist Credo</w:t>
      </w:r>
      <w:r w:rsidRPr="008A3265">
        <w:rPr>
          <w:rFonts w:ascii="Brill" w:hAnsi="Brill"/>
          <w:noProof/>
          <w:lang w:val="id-ID"/>
        </w:rPr>
        <w:t xml:space="preserve"> (Walnut Creek, California: Left Coast Press Inc., 2013).</w:t>
      </w:r>
      <w:r w:rsidRPr="008A3265">
        <w:rPr>
          <w:rFonts w:ascii="Brill" w:hAnsi="Brill"/>
          <w:lang w:val="id-ID"/>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AB18A5"/>
    <w:multiLevelType w:val="hybridMultilevel"/>
    <w:tmpl w:val="DFB6FD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6901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D3F"/>
    <w:rsid w:val="00033EF0"/>
    <w:rsid w:val="000402F9"/>
    <w:rsid w:val="00046A03"/>
    <w:rsid w:val="000716B0"/>
    <w:rsid w:val="00087710"/>
    <w:rsid w:val="000A0178"/>
    <w:rsid w:val="000C3668"/>
    <w:rsid w:val="000C3721"/>
    <w:rsid w:val="000D28EE"/>
    <w:rsid w:val="000E2695"/>
    <w:rsid w:val="000F6827"/>
    <w:rsid w:val="00102FB2"/>
    <w:rsid w:val="001112C1"/>
    <w:rsid w:val="00134588"/>
    <w:rsid w:val="00143147"/>
    <w:rsid w:val="001964FF"/>
    <w:rsid w:val="001A2F96"/>
    <w:rsid w:val="001B4BD5"/>
    <w:rsid w:val="001C6D96"/>
    <w:rsid w:val="00217682"/>
    <w:rsid w:val="002207E3"/>
    <w:rsid w:val="00226284"/>
    <w:rsid w:val="0023278C"/>
    <w:rsid w:val="00234096"/>
    <w:rsid w:val="002353ED"/>
    <w:rsid w:val="0026649F"/>
    <w:rsid w:val="00276525"/>
    <w:rsid w:val="00277221"/>
    <w:rsid w:val="002779BA"/>
    <w:rsid w:val="00292EF7"/>
    <w:rsid w:val="00295D4D"/>
    <w:rsid w:val="002A4DDA"/>
    <w:rsid w:val="002A6F93"/>
    <w:rsid w:val="002E2A5B"/>
    <w:rsid w:val="002E34A0"/>
    <w:rsid w:val="0031662A"/>
    <w:rsid w:val="003423BD"/>
    <w:rsid w:val="00354FD4"/>
    <w:rsid w:val="003676F8"/>
    <w:rsid w:val="00375F01"/>
    <w:rsid w:val="003772B9"/>
    <w:rsid w:val="0038628C"/>
    <w:rsid w:val="00393AF2"/>
    <w:rsid w:val="003C7ECD"/>
    <w:rsid w:val="003D32C5"/>
    <w:rsid w:val="003F5CF2"/>
    <w:rsid w:val="004040C9"/>
    <w:rsid w:val="00436185"/>
    <w:rsid w:val="004503BC"/>
    <w:rsid w:val="00470CC8"/>
    <w:rsid w:val="00493139"/>
    <w:rsid w:val="004B05BB"/>
    <w:rsid w:val="004B4779"/>
    <w:rsid w:val="004B5206"/>
    <w:rsid w:val="004C3A30"/>
    <w:rsid w:val="004C5945"/>
    <w:rsid w:val="004C7A9F"/>
    <w:rsid w:val="004D5D3F"/>
    <w:rsid w:val="004F3970"/>
    <w:rsid w:val="0050179E"/>
    <w:rsid w:val="00503F3E"/>
    <w:rsid w:val="00515AAB"/>
    <w:rsid w:val="005565F5"/>
    <w:rsid w:val="00570218"/>
    <w:rsid w:val="00572D66"/>
    <w:rsid w:val="00572E1D"/>
    <w:rsid w:val="0057487C"/>
    <w:rsid w:val="005964B1"/>
    <w:rsid w:val="005B3107"/>
    <w:rsid w:val="005C37C8"/>
    <w:rsid w:val="005C5EE5"/>
    <w:rsid w:val="005F617C"/>
    <w:rsid w:val="00602D88"/>
    <w:rsid w:val="00641AE9"/>
    <w:rsid w:val="00650A30"/>
    <w:rsid w:val="00652F5E"/>
    <w:rsid w:val="006659C1"/>
    <w:rsid w:val="00673131"/>
    <w:rsid w:val="006C13C3"/>
    <w:rsid w:val="006D6984"/>
    <w:rsid w:val="006E5901"/>
    <w:rsid w:val="006F53BA"/>
    <w:rsid w:val="00782E59"/>
    <w:rsid w:val="00782F9E"/>
    <w:rsid w:val="007848BA"/>
    <w:rsid w:val="007D284A"/>
    <w:rsid w:val="007D7B1F"/>
    <w:rsid w:val="007F30E8"/>
    <w:rsid w:val="00801A8D"/>
    <w:rsid w:val="00817AAD"/>
    <w:rsid w:val="00826DC1"/>
    <w:rsid w:val="00860C68"/>
    <w:rsid w:val="00871E83"/>
    <w:rsid w:val="008730F6"/>
    <w:rsid w:val="008A3265"/>
    <w:rsid w:val="008B5E1B"/>
    <w:rsid w:val="008C5148"/>
    <w:rsid w:val="008D411E"/>
    <w:rsid w:val="00914AF9"/>
    <w:rsid w:val="00915CBE"/>
    <w:rsid w:val="00930387"/>
    <w:rsid w:val="00960045"/>
    <w:rsid w:val="00972A31"/>
    <w:rsid w:val="009A0450"/>
    <w:rsid w:val="009B141A"/>
    <w:rsid w:val="009D450E"/>
    <w:rsid w:val="00A27A0D"/>
    <w:rsid w:val="00A319B6"/>
    <w:rsid w:val="00A34647"/>
    <w:rsid w:val="00A40F54"/>
    <w:rsid w:val="00A41B56"/>
    <w:rsid w:val="00A94F86"/>
    <w:rsid w:val="00AA27EB"/>
    <w:rsid w:val="00AA63FD"/>
    <w:rsid w:val="00AB5028"/>
    <w:rsid w:val="00AD2E7A"/>
    <w:rsid w:val="00AF0FCF"/>
    <w:rsid w:val="00AF37D1"/>
    <w:rsid w:val="00B03361"/>
    <w:rsid w:val="00B1539C"/>
    <w:rsid w:val="00B24797"/>
    <w:rsid w:val="00B25D71"/>
    <w:rsid w:val="00B87184"/>
    <w:rsid w:val="00BC69B2"/>
    <w:rsid w:val="00BE4DF8"/>
    <w:rsid w:val="00C27D85"/>
    <w:rsid w:val="00C30CD1"/>
    <w:rsid w:val="00C62D3D"/>
    <w:rsid w:val="00C644FF"/>
    <w:rsid w:val="00C87838"/>
    <w:rsid w:val="00CB6F61"/>
    <w:rsid w:val="00CD2413"/>
    <w:rsid w:val="00CD29AD"/>
    <w:rsid w:val="00D10660"/>
    <w:rsid w:val="00D1361F"/>
    <w:rsid w:val="00D21AA3"/>
    <w:rsid w:val="00D37BAA"/>
    <w:rsid w:val="00D572FC"/>
    <w:rsid w:val="00D60EAA"/>
    <w:rsid w:val="00D66ADE"/>
    <w:rsid w:val="00D90FCE"/>
    <w:rsid w:val="00DB0AD3"/>
    <w:rsid w:val="00DB2498"/>
    <w:rsid w:val="00DB3CE1"/>
    <w:rsid w:val="00DC1194"/>
    <w:rsid w:val="00DE1705"/>
    <w:rsid w:val="00DF433A"/>
    <w:rsid w:val="00E01022"/>
    <w:rsid w:val="00E104A2"/>
    <w:rsid w:val="00E30DEB"/>
    <w:rsid w:val="00E5792A"/>
    <w:rsid w:val="00E867A1"/>
    <w:rsid w:val="00E97187"/>
    <w:rsid w:val="00EC505C"/>
    <w:rsid w:val="00EC768C"/>
    <w:rsid w:val="00EE00B3"/>
    <w:rsid w:val="00EE0426"/>
    <w:rsid w:val="00EF466E"/>
    <w:rsid w:val="00F144A7"/>
    <w:rsid w:val="00F144FE"/>
    <w:rsid w:val="00F27705"/>
    <w:rsid w:val="00F37B3A"/>
    <w:rsid w:val="00F43907"/>
    <w:rsid w:val="00F834E3"/>
    <w:rsid w:val="00F9150A"/>
    <w:rsid w:val="00F9383B"/>
    <w:rsid w:val="00FA5F24"/>
    <w:rsid w:val="00FB391F"/>
    <w:rsid w:val="00FE1501"/>
    <w:rsid w:val="00FF1AB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6CC6B"/>
  <w15:chartTrackingRefBased/>
  <w15:docId w15:val="{3FD7A1DD-633E-5745-964C-BCB742565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D3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D5D3F"/>
    <w:pPr>
      <w:spacing w:before="100" w:beforeAutospacing="1" w:after="100" w:afterAutospacing="1"/>
    </w:pPr>
  </w:style>
  <w:style w:type="paragraph" w:styleId="FootnoteText">
    <w:name w:val="footnote text"/>
    <w:basedOn w:val="Normal"/>
    <w:link w:val="FootnoteTextChar"/>
    <w:uiPriority w:val="99"/>
    <w:semiHidden/>
    <w:unhideWhenUsed/>
    <w:rsid w:val="00087710"/>
    <w:rPr>
      <w:sz w:val="20"/>
      <w:szCs w:val="20"/>
    </w:rPr>
  </w:style>
  <w:style w:type="character" w:customStyle="1" w:styleId="FootnoteTextChar">
    <w:name w:val="Footnote Text Char"/>
    <w:basedOn w:val="DefaultParagraphFont"/>
    <w:link w:val="FootnoteText"/>
    <w:uiPriority w:val="99"/>
    <w:semiHidden/>
    <w:rsid w:val="00087710"/>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087710"/>
    <w:rPr>
      <w:vertAlign w:val="superscript"/>
    </w:rPr>
  </w:style>
  <w:style w:type="paragraph" w:styleId="ListParagraph">
    <w:name w:val="List Paragraph"/>
    <w:basedOn w:val="Normal"/>
    <w:uiPriority w:val="34"/>
    <w:qFormat/>
    <w:rsid w:val="001B4BD5"/>
    <w:pPr>
      <w:ind w:left="720"/>
      <w:contextualSpacing/>
    </w:pPr>
  </w:style>
  <w:style w:type="table" w:styleId="TableGrid">
    <w:name w:val="Table Grid"/>
    <w:basedOn w:val="TableNormal"/>
    <w:uiPriority w:val="39"/>
    <w:rsid w:val="00F43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7D284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uiPriority w:val="99"/>
    <w:unhideWhenUsed/>
    <w:rsid w:val="00D60E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hfadhil@iainptk.ac.id" TargetMode="Externa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7BD0FF-DEB0-5A49-8B04-33870184F0E1}" type="doc">
      <dgm:prSet loTypeId="urn:microsoft.com/office/officeart/2005/8/layout/cycle4" loCatId="" qsTypeId="urn:microsoft.com/office/officeart/2005/8/quickstyle/simple1" qsCatId="simple" csTypeId="urn:microsoft.com/office/officeart/2005/8/colors/accent1_2" csCatId="accent1" phldr="1"/>
      <dgm:spPr/>
      <dgm:t>
        <a:bodyPr/>
        <a:lstStyle/>
        <a:p>
          <a:endParaRPr lang="en-US"/>
        </a:p>
      </dgm:t>
    </dgm:pt>
    <dgm:pt modelId="{3215BC4E-AA73-764A-9F33-BD388D3EA929}">
      <dgm:prSet phldrT="[Text]"/>
      <dgm:spPr/>
      <dgm:t>
        <a:bodyPr/>
        <a:lstStyle/>
        <a:p>
          <a:r>
            <a:rPr lang="en-US"/>
            <a:t>realisme naif </a:t>
          </a:r>
        </a:p>
      </dgm:t>
    </dgm:pt>
    <dgm:pt modelId="{BD25F20B-DDA5-E547-B6DE-9CDFE9DBB0CA}" type="parTrans" cxnId="{0D8C052F-F0B1-8349-B61C-36D110A51244}">
      <dgm:prSet/>
      <dgm:spPr/>
      <dgm:t>
        <a:bodyPr/>
        <a:lstStyle/>
        <a:p>
          <a:endParaRPr lang="en-US"/>
        </a:p>
      </dgm:t>
    </dgm:pt>
    <dgm:pt modelId="{674FFE21-D81C-0344-AEA0-8808E85BFA22}" type="sibTrans" cxnId="{0D8C052F-F0B1-8349-B61C-36D110A51244}">
      <dgm:prSet/>
      <dgm:spPr/>
      <dgm:t>
        <a:bodyPr/>
        <a:lstStyle/>
        <a:p>
          <a:endParaRPr lang="en-US"/>
        </a:p>
      </dgm:t>
    </dgm:pt>
    <dgm:pt modelId="{5A2A3666-E5F7-9C4D-8E36-A2DEC434EE25}">
      <dgm:prSet phldrT="[Text]"/>
      <dgm:spPr/>
      <dgm:t>
        <a:bodyPr/>
        <a:lstStyle/>
        <a:p>
          <a:r>
            <a:rPr lang="en-US"/>
            <a:t>positivisme</a:t>
          </a:r>
        </a:p>
      </dgm:t>
    </dgm:pt>
    <dgm:pt modelId="{C474C29E-D1EB-9540-9672-76D5183B382E}" type="parTrans" cxnId="{01D8FED9-004E-FD4A-8CB7-927EAB16BAB4}">
      <dgm:prSet/>
      <dgm:spPr/>
      <dgm:t>
        <a:bodyPr/>
        <a:lstStyle/>
        <a:p>
          <a:endParaRPr lang="en-US"/>
        </a:p>
      </dgm:t>
    </dgm:pt>
    <dgm:pt modelId="{0D5AB7BC-33CA-664C-97BB-189C337AF514}" type="sibTrans" cxnId="{01D8FED9-004E-FD4A-8CB7-927EAB16BAB4}">
      <dgm:prSet/>
      <dgm:spPr/>
      <dgm:t>
        <a:bodyPr/>
        <a:lstStyle/>
        <a:p>
          <a:endParaRPr lang="en-US"/>
        </a:p>
      </dgm:t>
    </dgm:pt>
    <dgm:pt modelId="{A40BB3E9-8DAB-1045-AD24-7D6123E8C927}">
      <dgm:prSet phldrT="[Text]"/>
      <dgm:spPr/>
      <dgm:t>
        <a:bodyPr/>
        <a:lstStyle/>
        <a:p>
          <a:r>
            <a:rPr lang="en-US"/>
            <a:t>refleksi kritis</a:t>
          </a:r>
        </a:p>
      </dgm:t>
    </dgm:pt>
    <dgm:pt modelId="{0A99C426-65D6-7246-9B3C-0ECA3ECCFB37}" type="parTrans" cxnId="{7DBA1382-2B3F-D346-9FBC-359299330109}">
      <dgm:prSet/>
      <dgm:spPr/>
      <dgm:t>
        <a:bodyPr/>
        <a:lstStyle/>
        <a:p>
          <a:endParaRPr lang="en-US"/>
        </a:p>
      </dgm:t>
    </dgm:pt>
    <dgm:pt modelId="{786A7605-6D76-CD4C-A7B5-EC5D27546165}" type="sibTrans" cxnId="{7DBA1382-2B3F-D346-9FBC-359299330109}">
      <dgm:prSet/>
      <dgm:spPr/>
      <dgm:t>
        <a:bodyPr/>
        <a:lstStyle/>
        <a:p>
          <a:endParaRPr lang="en-US"/>
        </a:p>
      </dgm:t>
    </dgm:pt>
    <dgm:pt modelId="{550B87B5-DE96-AF4B-A750-5B613A953A04}">
      <dgm:prSet phldrT="[Text]"/>
      <dgm:spPr/>
      <dgm:t>
        <a:bodyPr/>
        <a:lstStyle/>
        <a:p>
          <a:r>
            <a:rPr lang="en-US"/>
            <a:t>pospositivisme</a:t>
          </a:r>
        </a:p>
      </dgm:t>
    </dgm:pt>
    <dgm:pt modelId="{277C3267-EA0E-C748-A7E6-80F2028FB86E}" type="parTrans" cxnId="{DF7FD49A-A35D-9844-9745-2832770D7332}">
      <dgm:prSet/>
      <dgm:spPr/>
      <dgm:t>
        <a:bodyPr/>
        <a:lstStyle/>
        <a:p>
          <a:endParaRPr lang="en-US"/>
        </a:p>
      </dgm:t>
    </dgm:pt>
    <dgm:pt modelId="{86DE6A8C-7ECE-CD40-A292-859C1AA89352}" type="sibTrans" cxnId="{DF7FD49A-A35D-9844-9745-2832770D7332}">
      <dgm:prSet/>
      <dgm:spPr/>
      <dgm:t>
        <a:bodyPr/>
        <a:lstStyle/>
        <a:p>
          <a:endParaRPr lang="en-US"/>
        </a:p>
      </dgm:t>
    </dgm:pt>
    <dgm:pt modelId="{54E9E807-4844-AC40-87B2-D64B6E30C9D0}">
      <dgm:prSet phldrT="[Text]"/>
      <dgm:spPr/>
      <dgm:t>
        <a:bodyPr/>
        <a:lstStyle/>
        <a:p>
          <a:r>
            <a:rPr lang="en-US"/>
            <a:t>gerakan kesadaran baru</a:t>
          </a:r>
        </a:p>
      </dgm:t>
    </dgm:pt>
    <dgm:pt modelId="{3F47F1F4-863A-4C48-A36B-06EB4CD3B96C}" type="parTrans" cxnId="{A883A5F4-2E84-544B-9CD0-D875A0A279BF}">
      <dgm:prSet/>
      <dgm:spPr/>
      <dgm:t>
        <a:bodyPr/>
        <a:lstStyle/>
        <a:p>
          <a:endParaRPr lang="en-US"/>
        </a:p>
      </dgm:t>
    </dgm:pt>
    <dgm:pt modelId="{06DBD739-D2CB-BC45-87CC-2558DE85979C}" type="sibTrans" cxnId="{A883A5F4-2E84-544B-9CD0-D875A0A279BF}">
      <dgm:prSet/>
      <dgm:spPr/>
      <dgm:t>
        <a:bodyPr/>
        <a:lstStyle/>
        <a:p>
          <a:endParaRPr lang="en-US"/>
        </a:p>
      </dgm:t>
    </dgm:pt>
    <dgm:pt modelId="{D132E79E-8F3D-2046-8B0B-44C30FD75A20}">
      <dgm:prSet phldrT="[Text]"/>
      <dgm:spPr/>
      <dgm:t>
        <a:bodyPr/>
        <a:lstStyle/>
        <a:p>
          <a:r>
            <a:rPr lang="en-US"/>
            <a:t>teori kritis</a:t>
          </a:r>
        </a:p>
      </dgm:t>
    </dgm:pt>
    <dgm:pt modelId="{285526F9-92EC-8E49-9290-B64F42DCBC1F}" type="parTrans" cxnId="{F9DFF78C-2DCD-3F48-AFE7-7027B89BC286}">
      <dgm:prSet/>
      <dgm:spPr/>
      <dgm:t>
        <a:bodyPr/>
        <a:lstStyle/>
        <a:p>
          <a:endParaRPr lang="en-US"/>
        </a:p>
      </dgm:t>
    </dgm:pt>
    <dgm:pt modelId="{412BB946-46F6-314E-A458-584E3198E0CF}" type="sibTrans" cxnId="{F9DFF78C-2DCD-3F48-AFE7-7027B89BC286}">
      <dgm:prSet/>
      <dgm:spPr/>
      <dgm:t>
        <a:bodyPr/>
        <a:lstStyle/>
        <a:p>
          <a:endParaRPr lang="en-US"/>
        </a:p>
      </dgm:t>
    </dgm:pt>
    <dgm:pt modelId="{317ADD2A-DEC9-5D4B-8324-9FE50FBACDEC}">
      <dgm:prSet phldrT="[Text]"/>
      <dgm:spPr/>
      <dgm:t>
        <a:bodyPr/>
        <a:lstStyle/>
        <a:p>
          <a:r>
            <a:rPr lang="en-US"/>
            <a:t>relativisme kebenaran</a:t>
          </a:r>
        </a:p>
      </dgm:t>
    </dgm:pt>
    <dgm:pt modelId="{FC3F5C0E-6521-9F49-9C26-FBA68FFB710A}" type="parTrans" cxnId="{FF48DF3F-DDF3-844D-A829-CD9B2DCDAFD1}">
      <dgm:prSet/>
      <dgm:spPr/>
      <dgm:t>
        <a:bodyPr/>
        <a:lstStyle/>
        <a:p>
          <a:endParaRPr lang="en-US"/>
        </a:p>
      </dgm:t>
    </dgm:pt>
    <dgm:pt modelId="{F4D14473-3305-BA41-A052-63E910A0CD51}" type="sibTrans" cxnId="{FF48DF3F-DDF3-844D-A829-CD9B2DCDAFD1}">
      <dgm:prSet/>
      <dgm:spPr/>
      <dgm:t>
        <a:bodyPr/>
        <a:lstStyle/>
        <a:p>
          <a:endParaRPr lang="en-US"/>
        </a:p>
      </dgm:t>
    </dgm:pt>
    <dgm:pt modelId="{71F765AA-2F35-FD4F-83AD-01E63A2749E9}">
      <dgm:prSet phldrT="[Text]"/>
      <dgm:spPr/>
      <dgm:t>
        <a:bodyPr/>
        <a:lstStyle/>
        <a:p>
          <a:r>
            <a:rPr lang="en-US"/>
            <a:t>konstruktivisme</a:t>
          </a:r>
        </a:p>
      </dgm:t>
    </dgm:pt>
    <dgm:pt modelId="{6B6F5138-3061-1742-9DC0-66FA3C2928EB}" type="parTrans" cxnId="{18D12370-4D23-A344-ACE1-1EF198014751}">
      <dgm:prSet/>
      <dgm:spPr/>
      <dgm:t>
        <a:bodyPr/>
        <a:lstStyle/>
        <a:p>
          <a:endParaRPr lang="en-US"/>
        </a:p>
      </dgm:t>
    </dgm:pt>
    <dgm:pt modelId="{02FAF59A-BDE7-234A-9256-9C0F1BB81799}" type="sibTrans" cxnId="{18D12370-4D23-A344-ACE1-1EF198014751}">
      <dgm:prSet/>
      <dgm:spPr/>
      <dgm:t>
        <a:bodyPr/>
        <a:lstStyle/>
        <a:p>
          <a:endParaRPr lang="en-US"/>
        </a:p>
      </dgm:t>
    </dgm:pt>
    <dgm:pt modelId="{B4E3AF34-746E-344D-976F-1B27EEA32BB9}" type="pres">
      <dgm:prSet presAssocID="{F97BD0FF-DEB0-5A49-8B04-33870184F0E1}" presName="cycleMatrixDiagram" presStyleCnt="0">
        <dgm:presLayoutVars>
          <dgm:chMax val="1"/>
          <dgm:dir/>
          <dgm:animLvl val="lvl"/>
          <dgm:resizeHandles val="exact"/>
        </dgm:presLayoutVars>
      </dgm:prSet>
      <dgm:spPr/>
    </dgm:pt>
    <dgm:pt modelId="{C7B7CC78-B8AC-0A40-B4F8-A2F22164C27D}" type="pres">
      <dgm:prSet presAssocID="{F97BD0FF-DEB0-5A49-8B04-33870184F0E1}" presName="children" presStyleCnt="0"/>
      <dgm:spPr/>
    </dgm:pt>
    <dgm:pt modelId="{480B66FC-DAEC-484C-B349-B27796D9631F}" type="pres">
      <dgm:prSet presAssocID="{F97BD0FF-DEB0-5A49-8B04-33870184F0E1}" presName="child1group" presStyleCnt="0"/>
      <dgm:spPr/>
    </dgm:pt>
    <dgm:pt modelId="{8ED10A7C-E689-084E-840E-AAFE16782B61}" type="pres">
      <dgm:prSet presAssocID="{F97BD0FF-DEB0-5A49-8B04-33870184F0E1}" presName="child1" presStyleLbl="bgAcc1" presStyleIdx="0" presStyleCnt="4"/>
      <dgm:spPr/>
    </dgm:pt>
    <dgm:pt modelId="{E159E36D-53F2-1443-A444-0EAB256D5617}" type="pres">
      <dgm:prSet presAssocID="{F97BD0FF-DEB0-5A49-8B04-33870184F0E1}" presName="child1Text" presStyleLbl="bgAcc1" presStyleIdx="0" presStyleCnt="4">
        <dgm:presLayoutVars>
          <dgm:bulletEnabled val="1"/>
        </dgm:presLayoutVars>
      </dgm:prSet>
      <dgm:spPr/>
    </dgm:pt>
    <dgm:pt modelId="{5C3F401E-4E0D-584E-A502-919FA90717D1}" type="pres">
      <dgm:prSet presAssocID="{F97BD0FF-DEB0-5A49-8B04-33870184F0E1}" presName="child2group" presStyleCnt="0"/>
      <dgm:spPr/>
    </dgm:pt>
    <dgm:pt modelId="{F021E60D-86C9-B143-919F-CDF644C3FFC0}" type="pres">
      <dgm:prSet presAssocID="{F97BD0FF-DEB0-5A49-8B04-33870184F0E1}" presName="child2" presStyleLbl="bgAcc1" presStyleIdx="1" presStyleCnt="4"/>
      <dgm:spPr/>
    </dgm:pt>
    <dgm:pt modelId="{F367B814-5FF1-8847-BB10-5AC44E3C7407}" type="pres">
      <dgm:prSet presAssocID="{F97BD0FF-DEB0-5A49-8B04-33870184F0E1}" presName="child2Text" presStyleLbl="bgAcc1" presStyleIdx="1" presStyleCnt="4">
        <dgm:presLayoutVars>
          <dgm:bulletEnabled val="1"/>
        </dgm:presLayoutVars>
      </dgm:prSet>
      <dgm:spPr/>
    </dgm:pt>
    <dgm:pt modelId="{46D28F32-26C9-B54B-B907-D0CD3E65D1D6}" type="pres">
      <dgm:prSet presAssocID="{F97BD0FF-DEB0-5A49-8B04-33870184F0E1}" presName="child3group" presStyleCnt="0"/>
      <dgm:spPr/>
    </dgm:pt>
    <dgm:pt modelId="{D67A7101-EC06-CE43-9F96-69E6732E77B8}" type="pres">
      <dgm:prSet presAssocID="{F97BD0FF-DEB0-5A49-8B04-33870184F0E1}" presName="child3" presStyleLbl="bgAcc1" presStyleIdx="2" presStyleCnt="4"/>
      <dgm:spPr/>
    </dgm:pt>
    <dgm:pt modelId="{F50C409A-9408-4643-AF5C-5E06BEAEE18F}" type="pres">
      <dgm:prSet presAssocID="{F97BD0FF-DEB0-5A49-8B04-33870184F0E1}" presName="child3Text" presStyleLbl="bgAcc1" presStyleIdx="2" presStyleCnt="4">
        <dgm:presLayoutVars>
          <dgm:bulletEnabled val="1"/>
        </dgm:presLayoutVars>
      </dgm:prSet>
      <dgm:spPr/>
    </dgm:pt>
    <dgm:pt modelId="{3F8AD7C1-F825-B24D-BB6D-47D0068F33E1}" type="pres">
      <dgm:prSet presAssocID="{F97BD0FF-DEB0-5A49-8B04-33870184F0E1}" presName="child4group" presStyleCnt="0"/>
      <dgm:spPr/>
    </dgm:pt>
    <dgm:pt modelId="{7F857603-2B5F-FF4E-8924-8C4CD4571C45}" type="pres">
      <dgm:prSet presAssocID="{F97BD0FF-DEB0-5A49-8B04-33870184F0E1}" presName="child4" presStyleLbl="bgAcc1" presStyleIdx="3" presStyleCnt="4"/>
      <dgm:spPr/>
    </dgm:pt>
    <dgm:pt modelId="{AFCD8F87-10B2-9446-9EFC-A983BF1EA644}" type="pres">
      <dgm:prSet presAssocID="{F97BD0FF-DEB0-5A49-8B04-33870184F0E1}" presName="child4Text" presStyleLbl="bgAcc1" presStyleIdx="3" presStyleCnt="4">
        <dgm:presLayoutVars>
          <dgm:bulletEnabled val="1"/>
        </dgm:presLayoutVars>
      </dgm:prSet>
      <dgm:spPr/>
    </dgm:pt>
    <dgm:pt modelId="{4CD7B119-D12D-3E40-BB03-F2C816DAC378}" type="pres">
      <dgm:prSet presAssocID="{F97BD0FF-DEB0-5A49-8B04-33870184F0E1}" presName="childPlaceholder" presStyleCnt="0"/>
      <dgm:spPr/>
    </dgm:pt>
    <dgm:pt modelId="{FA5774A8-9650-7F47-A733-B4960C2DA5A7}" type="pres">
      <dgm:prSet presAssocID="{F97BD0FF-DEB0-5A49-8B04-33870184F0E1}" presName="circle" presStyleCnt="0"/>
      <dgm:spPr/>
    </dgm:pt>
    <dgm:pt modelId="{C66501C2-FBB5-1346-9B51-DF4E30ADBE37}" type="pres">
      <dgm:prSet presAssocID="{F97BD0FF-DEB0-5A49-8B04-33870184F0E1}" presName="quadrant1" presStyleLbl="node1" presStyleIdx="0" presStyleCnt="4">
        <dgm:presLayoutVars>
          <dgm:chMax val="1"/>
          <dgm:bulletEnabled val="1"/>
        </dgm:presLayoutVars>
      </dgm:prSet>
      <dgm:spPr/>
    </dgm:pt>
    <dgm:pt modelId="{6C124BA7-99F5-E34E-A742-D044F126EC51}" type="pres">
      <dgm:prSet presAssocID="{F97BD0FF-DEB0-5A49-8B04-33870184F0E1}" presName="quadrant2" presStyleLbl="node1" presStyleIdx="1" presStyleCnt="4">
        <dgm:presLayoutVars>
          <dgm:chMax val="1"/>
          <dgm:bulletEnabled val="1"/>
        </dgm:presLayoutVars>
      </dgm:prSet>
      <dgm:spPr/>
    </dgm:pt>
    <dgm:pt modelId="{F35DE4C0-CE71-BD44-976B-DD7C3CB955E7}" type="pres">
      <dgm:prSet presAssocID="{F97BD0FF-DEB0-5A49-8B04-33870184F0E1}" presName="quadrant3" presStyleLbl="node1" presStyleIdx="2" presStyleCnt="4">
        <dgm:presLayoutVars>
          <dgm:chMax val="1"/>
          <dgm:bulletEnabled val="1"/>
        </dgm:presLayoutVars>
      </dgm:prSet>
      <dgm:spPr/>
    </dgm:pt>
    <dgm:pt modelId="{06DB2DF5-7B71-B740-B144-17DC8200710A}" type="pres">
      <dgm:prSet presAssocID="{F97BD0FF-DEB0-5A49-8B04-33870184F0E1}" presName="quadrant4" presStyleLbl="node1" presStyleIdx="3" presStyleCnt="4">
        <dgm:presLayoutVars>
          <dgm:chMax val="1"/>
          <dgm:bulletEnabled val="1"/>
        </dgm:presLayoutVars>
      </dgm:prSet>
      <dgm:spPr/>
    </dgm:pt>
    <dgm:pt modelId="{75D70383-2291-1C45-A078-613E5FE81AA4}" type="pres">
      <dgm:prSet presAssocID="{F97BD0FF-DEB0-5A49-8B04-33870184F0E1}" presName="quadrantPlaceholder" presStyleCnt="0"/>
      <dgm:spPr/>
    </dgm:pt>
    <dgm:pt modelId="{8A56AB98-B94E-604A-8F12-4F27185E7D27}" type="pres">
      <dgm:prSet presAssocID="{F97BD0FF-DEB0-5A49-8B04-33870184F0E1}" presName="center1" presStyleLbl="fgShp" presStyleIdx="0" presStyleCnt="2"/>
      <dgm:spPr/>
    </dgm:pt>
    <dgm:pt modelId="{DAA018E6-EBBA-BB47-A86F-F9A1200CD96A}" type="pres">
      <dgm:prSet presAssocID="{F97BD0FF-DEB0-5A49-8B04-33870184F0E1}" presName="center2" presStyleLbl="fgShp" presStyleIdx="1" presStyleCnt="2"/>
      <dgm:spPr/>
    </dgm:pt>
  </dgm:ptLst>
  <dgm:cxnLst>
    <dgm:cxn modelId="{A9016409-AA59-6344-8D2A-F49778A38CD2}" type="presOf" srcId="{317ADD2A-DEC9-5D4B-8324-9FE50FBACDEC}" destId="{06DB2DF5-7B71-B740-B144-17DC8200710A}" srcOrd="0" destOrd="0" presId="urn:microsoft.com/office/officeart/2005/8/layout/cycle4"/>
    <dgm:cxn modelId="{687C4D1F-6653-9D4D-A4DB-0C7140205EED}" type="presOf" srcId="{A40BB3E9-8DAB-1045-AD24-7D6123E8C927}" destId="{6C124BA7-99F5-E34E-A742-D044F126EC51}" srcOrd="0" destOrd="0" presId="urn:microsoft.com/office/officeart/2005/8/layout/cycle4"/>
    <dgm:cxn modelId="{0D8C052F-F0B1-8349-B61C-36D110A51244}" srcId="{F97BD0FF-DEB0-5A49-8B04-33870184F0E1}" destId="{3215BC4E-AA73-764A-9F33-BD388D3EA929}" srcOrd="0" destOrd="0" parTransId="{BD25F20B-DDA5-E547-B6DE-9CDFE9DBB0CA}" sibTransId="{674FFE21-D81C-0344-AEA0-8808E85BFA22}"/>
    <dgm:cxn modelId="{47E36430-B05F-7A48-AA45-3008157BC188}" type="presOf" srcId="{550B87B5-DE96-AF4B-A750-5B613A953A04}" destId="{F021E60D-86C9-B143-919F-CDF644C3FFC0}" srcOrd="0" destOrd="0" presId="urn:microsoft.com/office/officeart/2005/8/layout/cycle4"/>
    <dgm:cxn modelId="{C8B22233-6F66-E14F-B66E-3981593C2A32}" type="presOf" srcId="{D132E79E-8F3D-2046-8B0B-44C30FD75A20}" destId="{F50C409A-9408-4643-AF5C-5E06BEAEE18F}" srcOrd="1" destOrd="0" presId="urn:microsoft.com/office/officeart/2005/8/layout/cycle4"/>
    <dgm:cxn modelId="{E3CFF137-812E-604B-90D0-ED7D82AB858F}" type="presOf" srcId="{D132E79E-8F3D-2046-8B0B-44C30FD75A20}" destId="{D67A7101-EC06-CE43-9F96-69E6732E77B8}" srcOrd="0" destOrd="0" presId="urn:microsoft.com/office/officeart/2005/8/layout/cycle4"/>
    <dgm:cxn modelId="{FF48DF3F-DDF3-844D-A829-CD9B2DCDAFD1}" srcId="{F97BD0FF-DEB0-5A49-8B04-33870184F0E1}" destId="{317ADD2A-DEC9-5D4B-8324-9FE50FBACDEC}" srcOrd="3" destOrd="0" parTransId="{FC3F5C0E-6521-9F49-9C26-FBA68FFB710A}" sibTransId="{F4D14473-3305-BA41-A052-63E910A0CD51}"/>
    <dgm:cxn modelId="{79058E59-2AEB-0445-9F1A-389ACAAC9A46}" type="presOf" srcId="{71F765AA-2F35-FD4F-83AD-01E63A2749E9}" destId="{7F857603-2B5F-FF4E-8924-8C4CD4571C45}" srcOrd="0" destOrd="0" presId="urn:microsoft.com/office/officeart/2005/8/layout/cycle4"/>
    <dgm:cxn modelId="{70E2FF5D-7C57-9E48-829B-635700B5786E}" type="presOf" srcId="{54E9E807-4844-AC40-87B2-D64B6E30C9D0}" destId="{F35DE4C0-CE71-BD44-976B-DD7C3CB955E7}" srcOrd="0" destOrd="0" presId="urn:microsoft.com/office/officeart/2005/8/layout/cycle4"/>
    <dgm:cxn modelId="{18D12370-4D23-A344-ACE1-1EF198014751}" srcId="{317ADD2A-DEC9-5D4B-8324-9FE50FBACDEC}" destId="{71F765AA-2F35-FD4F-83AD-01E63A2749E9}" srcOrd="0" destOrd="0" parTransId="{6B6F5138-3061-1742-9DC0-66FA3C2928EB}" sibTransId="{02FAF59A-BDE7-234A-9256-9C0F1BB81799}"/>
    <dgm:cxn modelId="{7DBA1382-2B3F-D346-9FBC-359299330109}" srcId="{F97BD0FF-DEB0-5A49-8B04-33870184F0E1}" destId="{A40BB3E9-8DAB-1045-AD24-7D6123E8C927}" srcOrd="1" destOrd="0" parTransId="{0A99C426-65D6-7246-9B3C-0ECA3ECCFB37}" sibTransId="{786A7605-6D76-CD4C-A7B5-EC5D27546165}"/>
    <dgm:cxn modelId="{43043A84-4B75-E94B-B094-BAACA20BFEC3}" type="presOf" srcId="{5A2A3666-E5F7-9C4D-8E36-A2DEC434EE25}" destId="{E159E36D-53F2-1443-A444-0EAB256D5617}" srcOrd="1" destOrd="0" presId="urn:microsoft.com/office/officeart/2005/8/layout/cycle4"/>
    <dgm:cxn modelId="{F9DFF78C-2DCD-3F48-AFE7-7027B89BC286}" srcId="{54E9E807-4844-AC40-87B2-D64B6E30C9D0}" destId="{D132E79E-8F3D-2046-8B0B-44C30FD75A20}" srcOrd="0" destOrd="0" parTransId="{285526F9-92EC-8E49-9290-B64F42DCBC1F}" sibTransId="{412BB946-46F6-314E-A458-584E3198E0CF}"/>
    <dgm:cxn modelId="{DF7FD49A-A35D-9844-9745-2832770D7332}" srcId="{A40BB3E9-8DAB-1045-AD24-7D6123E8C927}" destId="{550B87B5-DE96-AF4B-A750-5B613A953A04}" srcOrd="0" destOrd="0" parTransId="{277C3267-EA0E-C748-A7E6-80F2028FB86E}" sibTransId="{86DE6A8C-7ECE-CD40-A292-859C1AA89352}"/>
    <dgm:cxn modelId="{AD5ECFA5-8CE7-4A4C-803D-CC828ADFA18B}" type="presOf" srcId="{71F765AA-2F35-FD4F-83AD-01E63A2749E9}" destId="{AFCD8F87-10B2-9446-9EFC-A983BF1EA644}" srcOrd="1" destOrd="0" presId="urn:microsoft.com/office/officeart/2005/8/layout/cycle4"/>
    <dgm:cxn modelId="{D769C1B5-50BB-074C-AD1D-95FA8E798A76}" type="presOf" srcId="{F97BD0FF-DEB0-5A49-8B04-33870184F0E1}" destId="{B4E3AF34-746E-344D-976F-1B27EEA32BB9}" srcOrd="0" destOrd="0" presId="urn:microsoft.com/office/officeart/2005/8/layout/cycle4"/>
    <dgm:cxn modelId="{F56F5EC5-0730-C74D-AE2C-036256AB0DD7}" type="presOf" srcId="{3215BC4E-AA73-764A-9F33-BD388D3EA929}" destId="{C66501C2-FBB5-1346-9B51-DF4E30ADBE37}" srcOrd="0" destOrd="0" presId="urn:microsoft.com/office/officeart/2005/8/layout/cycle4"/>
    <dgm:cxn modelId="{01D8FED9-004E-FD4A-8CB7-927EAB16BAB4}" srcId="{3215BC4E-AA73-764A-9F33-BD388D3EA929}" destId="{5A2A3666-E5F7-9C4D-8E36-A2DEC434EE25}" srcOrd="0" destOrd="0" parTransId="{C474C29E-D1EB-9540-9672-76D5183B382E}" sibTransId="{0D5AB7BC-33CA-664C-97BB-189C337AF514}"/>
    <dgm:cxn modelId="{690214F3-5101-AA46-B26F-590A557F86E2}" type="presOf" srcId="{5A2A3666-E5F7-9C4D-8E36-A2DEC434EE25}" destId="{8ED10A7C-E689-084E-840E-AAFE16782B61}" srcOrd="0" destOrd="0" presId="urn:microsoft.com/office/officeart/2005/8/layout/cycle4"/>
    <dgm:cxn modelId="{A883A5F4-2E84-544B-9CD0-D875A0A279BF}" srcId="{F97BD0FF-DEB0-5A49-8B04-33870184F0E1}" destId="{54E9E807-4844-AC40-87B2-D64B6E30C9D0}" srcOrd="2" destOrd="0" parTransId="{3F47F1F4-863A-4C48-A36B-06EB4CD3B96C}" sibTransId="{06DBD739-D2CB-BC45-87CC-2558DE85979C}"/>
    <dgm:cxn modelId="{F88F4CFB-671C-664E-8883-3B1178D0BEAD}" type="presOf" srcId="{550B87B5-DE96-AF4B-A750-5B613A953A04}" destId="{F367B814-5FF1-8847-BB10-5AC44E3C7407}" srcOrd="1" destOrd="0" presId="urn:microsoft.com/office/officeart/2005/8/layout/cycle4"/>
    <dgm:cxn modelId="{50892898-9E0D-3044-8892-D056A5EC55E5}" type="presParOf" srcId="{B4E3AF34-746E-344D-976F-1B27EEA32BB9}" destId="{C7B7CC78-B8AC-0A40-B4F8-A2F22164C27D}" srcOrd="0" destOrd="0" presId="urn:microsoft.com/office/officeart/2005/8/layout/cycle4"/>
    <dgm:cxn modelId="{8B52C9CE-F738-834A-A633-ED15FDF8946B}" type="presParOf" srcId="{C7B7CC78-B8AC-0A40-B4F8-A2F22164C27D}" destId="{480B66FC-DAEC-484C-B349-B27796D9631F}" srcOrd="0" destOrd="0" presId="urn:microsoft.com/office/officeart/2005/8/layout/cycle4"/>
    <dgm:cxn modelId="{D1E12519-BF35-914E-BBDC-2AB0A9DB82E0}" type="presParOf" srcId="{480B66FC-DAEC-484C-B349-B27796D9631F}" destId="{8ED10A7C-E689-084E-840E-AAFE16782B61}" srcOrd="0" destOrd="0" presId="urn:microsoft.com/office/officeart/2005/8/layout/cycle4"/>
    <dgm:cxn modelId="{593D2149-E96C-EF49-BFF1-DA48F084834F}" type="presParOf" srcId="{480B66FC-DAEC-484C-B349-B27796D9631F}" destId="{E159E36D-53F2-1443-A444-0EAB256D5617}" srcOrd="1" destOrd="0" presId="urn:microsoft.com/office/officeart/2005/8/layout/cycle4"/>
    <dgm:cxn modelId="{143CBAEE-7BE1-F74D-93BB-FA5FF86FA80E}" type="presParOf" srcId="{C7B7CC78-B8AC-0A40-B4F8-A2F22164C27D}" destId="{5C3F401E-4E0D-584E-A502-919FA90717D1}" srcOrd="1" destOrd="0" presId="urn:microsoft.com/office/officeart/2005/8/layout/cycle4"/>
    <dgm:cxn modelId="{C2C660F1-4465-8945-A542-AAEDB92A534A}" type="presParOf" srcId="{5C3F401E-4E0D-584E-A502-919FA90717D1}" destId="{F021E60D-86C9-B143-919F-CDF644C3FFC0}" srcOrd="0" destOrd="0" presId="urn:microsoft.com/office/officeart/2005/8/layout/cycle4"/>
    <dgm:cxn modelId="{8B2F96B1-5E9A-F147-8CFB-2CD1B96F6992}" type="presParOf" srcId="{5C3F401E-4E0D-584E-A502-919FA90717D1}" destId="{F367B814-5FF1-8847-BB10-5AC44E3C7407}" srcOrd="1" destOrd="0" presId="urn:microsoft.com/office/officeart/2005/8/layout/cycle4"/>
    <dgm:cxn modelId="{B45868DD-CDBE-3746-8801-2F47258661E6}" type="presParOf" srcId="{C7B7CC78-B8AC-0A40-B4F8-A2F22164C27D}" destId="{46D28F32-26C9-B54B-B907-D0CD3E65D1D6}" srcOrd="2" destOrd="0" presId="urn:microsoft.com/office/officeart/2005/8/layout/cycle4"/>
    <dgm:cxn modelId="{A11E882E-52C1-8943-85D5-EDE73C1C6729}" type="presParOf" srcId="{46D28F32-26C9-B54B-B907-D0CD3E65D1D6}" destId="{D67A7101-EC06-CE43-9F96-69E6732E77B8}" srcOrd="0" destOrd="0" presId="urn:microsoft.com/office/officeart/2005/8/layout/cycle4"/>
    <dgm:cxn modelId="{F4026C7F-D8FD-4F4E-8B79-F98E55905C32}" type="presParOf" srcId="{46D28F32-26C9-B54B-B907-D0CD3E65D1D6}" destId="{F50C409A-9408-4643-AF5C-5E06BEAEE18F}" srcOrd="1" destOrd="0" presId="urn:microsoft.com/office/officeart/2005/8/layout/cycle4"/>
    <dgm:cxn modelId="{A90A8BDC-6D6E-124E-B3E1-9EC6A0D5C2D4}" type="presParOf" srcId="{C7B7CC78-B8AC-0A40-B4F8-A2F22164C27D}" destId="{3F8AD7C1-F825-B24D-BB6D-47D0068F33E1}" srcOrd="3" destOrd="0" presId="urn:microsoft.com/office/officeart/2005/8/layout/cycle4"/>
    <dgm:cxn modelId="{311C0EF5-9C15-D54B-AA74-4C655D48CA67}" type="presParOf" srcId="{3F8AD7C1-F825-B24D-BB6D-47D0068F33E1}" destId="{7F857603-2B5F-FF4E-8924-8C4CD4571C45}" srcOrd="0" destOrd="0" presId="urn:microsoft.com/office/officeart/2005/8/layout/cycle4"/>
    <dgm:cxn modelId="{2FEF459C-A873-0B4B-A8E1-E710AC9D743F}" type="presParOf" srcId="{3F8AD7C1-F825-B24D-BB6D-47D0068F33E1}" destId="{AFCD8F87-10B2-9446-9EFC-A983BF1EA644}" srcOrd="1" destOrd="0" presId="urn:microsoft.com/office/officeart/2005/8/layout/cycle4"/>
    <dgm:cxn modelId="{27FD01B3-D5BD-5F4B-803E-5A875604DD1A}" type="presParOf" srcId="{C7B7CC78-B8AC-0A40-B4F8-A2F22164C27D}" destId="{4CD7B119-D12D-3E40-BB03-F2C816DAC378}" srcOrd="4" destOrd="0" presId="urn:microsoft.com/office/officeart/2005/8/layout/cycle4"/>
    <dgm:cxn modelId="{9AFBC445-6005-9748-A6BA-24C9DDEECD7B}" type="presParOf" srcId="{B4E3AF34-746E-344D-976F-1B27EEA32BB9}" destId="{FA5774A8-9650-7F47-A733-B4960C2DA5A7}" srcOrd="1" destOrd="0" presId="urn:microsoft.com/office/officeart/2005/8/layout/cycle4"/>
    <dgm:cxn modelId="{D313C496-5720-654C-BD80-B60A2F71086E}" type="presParOf" srcId="{FA5774A8-9650-7F47-A733-B4960C2DA5A7}" destId="{C66501C2-FBB5-1346-9B51-DF4E30ADBE37}" srcOrd="0" destOrd="0" presId="urn:microsoft.com/office/officeart/2005/8/layout/cycle4"/>
    <dgm:cxn modelId="{B4CDEC85-A375-3A4A-ACE1-F83F2873CA56}" type="presParOf" srcId="{FA5774A8-9650-7F47-A733-B4960C2DA5A7}" destId="{6C124BA7-99F5-E34E-A742-D044F126EC51}" srcOrd="1" destOrd="0" presId="urn:microsoft.com/office/officeart/2005/8/layout/cycle4"/>
    <dgm:cxn modelId="{9302026D-9058-EE49-BBF5-24E302232EB6}" type="presParOf" srcId="{FA5774A8-9650-7F47-A733-B4960C2DA5A7}" destId="{F35DE4C0-CE71-BD44-976B-DD7C3CB955E7}" srcOrd="2" destOrd="0" presId="urn:microsoft.com/office/officeart/2005/8/layout/cycle4"/>
    <dgm:cxn modelId="{BA78A62F-A509-EA42-B77F-970D5EE6D8E6}" type="presParOf" srcId="{FA5774A8-9650-7F47-A733-B4960C2DA5A7}" destId="{06DB2DF5-7B71-B740-B144-17DC8200710A}" srcOrd="3" destOrd="0" presId="urn:microsoft.com/office/officeart/2005/8/layout/cycle4"/>
    <dgm:cxn modelId="{DA4B5767-5134-104F-8E6D-BDC58D6CC31A}" type="presParOf" srcId="{FA5774A8-9650-7F47-A733-B4960C2DA5A7}" destId="{75D70383-2291-1C45-A078-613E5FE81AA4}" srcOrd="4" destOrd="0" presId="urn:microsoft.com/office/officeart/2005/8/layout/cycle4"/>
    <dgm:cxn modelId="{88CF0ADC-0537-E141-B341-3E6BC4D763AF}" type="presParOf" srcId="{B4E3AF34-746E-344D-976F-1B27EEA32BB9}" destId="{8A56AB98-B94E-604A-8F12-4F27185E7D27}" srcOrd="2" destOrd="0" presId="urn:microsoft.com/office/officeart/2005/8/layout/cycle4"/>
    <dgm:cxn modelId="{99D37E9E-5555-DF4B-9D69-552686234795}" type="presParOf" srcId="{B4E3AF34-746E-344D-976F-1B27EEA32BB9}" destId="{DAA018E6-EBBA-BB47-A86F-F9A1200CD96A}" srcOrd="3" destOrd="0" presId="urn:microsoft.com/office/officeart/2005/8/layout/cycle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67A7101-EC06-CE43-9F96-69E6732E77B8}">
      <dsp:nvSpPr>
        <dsp:cNvPr id="0" name=""/>
        <dsp:cNvSpPr/>
      </dsp:nvSpPr>
      <dsp:spPr>
        <a:xfrm>
          <a:off x="2929704" y="1421917"/>
          <a:ext cx="1032981" cy="66913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266700">
            <a:lnSpc>
              <a:spcPct val="90000"/>
            </a:lnSpc>
            <a:spcBef>
              <a:spcPct val="0"/>
            </a:spcBef>
            <a:spcAft>
              <a:spcPct val="15000"/>
            </a:spcAft>
            <a:buChar char="•"/>
          </a:pPr>
          <a:r>
            <a:rPr lang="en-US" sz="600" kern="1200"/>
            <a:t>teori kritis</a:t>
          </a:r>
        </a:p>
      </dsp:txBody>
      <dsp:txXfrm>
        <a:off x="3254297" y="1603900"/>
        <a:ext cx="693688" cy="472455"/>
      </dsp:txXfrm>
    </dsp:sp>
    <dsp:sp modelId="{7F857603-2B5F-FF4E-8924-8C4CD4571C45}">
      <dsp:nvSpPr>
        <dsp:cNvPr id="0" name=""/>
        <dsp:cNvSpPr/>
      </dsp:nvSpPr>
      <dsp:spPr>
        <a:xfrm>
          <a:off x="1244314" y="1421917"/>
          <a:ext cx="1032981" cy="66913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266700">
            <a:lnSpc>
              <a:spcPct val="90000"/>
            </a:lnSpc>
            <a:spcBef>
              <a:spcPct val="0"/>
            </a:spcBef>
            <a:spcAft>
              <a:spcPct val="15000"/>
            </a:spcAft>
            <a:buChar char="•"/>
          </a:pPr>
          <a:r>
            <a:rPr lang="en-US" sz="600" kern="1200"/>
            <a:t>konstruktivisme</a:t>
          </a:r>
        </a:p>
      </dsp:txBody>
      <dsp:txXfrm>
        <a:off x="1259013" y="1603900"/>
        <a:ext cx="693688" cy="472455"/>
      </dsp:txXfrm>
    </dsp:sp>
    <dsp:sp modelId="{F021E60D-86C9-B143-919F-CDF644C3FFC0}">
      <dsp:nvSpPr>
        <dsp:cNvPr id="0" name=""/>
        <dsp:cNvSpPr/>
      </dsp:nvSpPr>
      <dsp:spPr>
        <a:xfrm>
          <a:off x="2929704" y="0"/>
          <a:ext cx="1032981" cy="66913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266700">
            <a:lnSpc>
              <a:spcPct val="90000"/>
            </a:lnSpc>
            <a:spcBef>
              <a:spcPct val="0"/>
            </a:spcBef>
            <a:spcAft>
              <a:spcPct val="15000"/>
            </a:spcAft>
            <a:buChar char="•"/>
          </a:pPr>
          <a:r>
            <a:rPr lang="en-US" sz="600" kern="1200"/>
            <a:t>pospositivisme</a:t>
          </a:r>
        </a:p>
      </dsp:txBody>
      <dsp:txXfrm>
        <a:off x="3254297" y="14699"/>
        <a:ext cx="693688" cy="472455"/>
      </dsp:txXfrm>
    </dsp:sp>
    <dsp:sp modelId="{8ED10A7C-E689-084E-840E-AAFE16782B61}">
      <dsp:nvSpPr>
        <dsp:cNvPr id="0" name=""/>
        <dsp:cNvSpPr/>
      </dsp:nvSpPr>
      <dsp:spPr>
        <a:xfrm>
          <a:off x="1244314" y="0"/>
          <a:ext cx="1032981" cy="66913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266700">
            <a:lnSpc>
              <a:spcPct val="90000"/>
            </a:lnSpc>
            <a:spcBef>
              <a:spcPct val="0"/>
            </a:spcBef>
            <a:spcAft>
              <a:spcPct val="15000"/>
            </a:spcAft>
            <a:buChar char="•"/>
          </a:pPr>
          <a:r>
            <a:rPr lang="en-US" sz="600" kern="1200"/>
            <a:t>positivisme</a:t>
          </a:r>
        </a:p>
      </dsp:txBody>
      <dsp:txXfrm>
        <a:off x="1259013" y="14699"/>
        <a:ext cx="693688" cy="472455"/>
      </dsp:txXfrm>
    </dsp:sp>
    <dsp:sp modelId="{C66501C2-FBB5-1346-9B51-DF4E30ADBE37}">
      <dsp:nvSpPr>
        <dsp:cNvPr id="0" name=""/>
        <dsp:cNvSpPr/>
      </dsp:nvSpPr>
      <dsp:spPr>
        <a:xfrm>
          <a:off x="1677162" y="119190"/>
          <a:ext cx="905426" cy="905426"/>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t>realisme naif </a:t>
          </a:r>
        </a:p>
      </dsp:txBody>
      <dsp:txXfrm>
        <a:off x="1942355" y="384383"/>
        <a:ext cx="640233" cy="640233"/>
      </dsp:txXfrm>
    </dsp:sp>
    <dsp:sp modelId="{6C124BA7-99F5-E34E-A742-D044F126EC51}">
      <dsp:nvSpPr>
        <dsp:cNvPr id="0" name=""/>
        <dsp:cNvSpPr/>
      </dsp:nvSpPr>
      <dsp:spPr>
        <a:xfrm rot="5400000">
          <a:off x="2624410" y="119190"/>
          <a:ext cx="905426" cy="905426"/>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t>refleksi kritis</a:t>
          </a:r>
        </a:p>
      </dsp:txBody>
      <dsp:txXfrm rot="-5400000">
        <a:off x="2624410" y="384383"/>
        <a:ext cx="640233" cy="640233"/>
      </dsp:txXfrm>
    </dsp:sp>
    <dsp:sp modelId="{F35DE4C0-CE71-BD44-976B-DD7C3CB955E7}">
      <dsp:nvSpPr>
        <dsp:cNvPr id="0" name=""/>
        <dsp:cNvSpPr/>
      </dsp:nvSpPr>
      <dsp:spPr>
        <a:xfrm rot="10800000">
          <a:off x="2624410" y="1066438"/>
          <a:ext cx="905426" cy="905426"/>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t>gerakan kesadaran baru</a:t>
          </a:r>
        </a:p>
      </dsp:txBody>
      <dsp:txXfrm rot="10800000">
        <a:off x="2624410" y="1066438"/>
        <a:ext cx="640233" cy="640233"/>
      </dsp:txXfrm>
    </dsp:sp>
    <dsp:sp modelId="{06DB2DF5-7B71-B740-B144-17DC8200710A}">
      <dsp:nvSpPr>
        <dsp:cNvPr id="0" name=""/>
        <dsp:cNvSpPr/>
      </dsp:nvSpPr>
      <dsp:spPr>
        <a:xfrm rot="16200000">
          <a:off x="1677162" y="1066438"/>
          <a:ext cx="905426" cy="905426"/>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kern="1200"/>
            <a:t>relativisme kebenaran</a:t>
          </a:r>
        </a:p>
      </dsp:txBody>
      <dsp:txXfrm rot="5400000">
        <a:off x="1942355" y="1066438"/>
        <a:ext cx="640233" cy="640233"/>
      </dsp:txXfrm>
    </dsp:sp>
    <dsp:sp modelId="{8A56AB98-B94E-604A-8F12-4F27185E7D27}">
      <dsp:nvSpPr>
        <dsp:cNvPr id="0" name=""/>
        <dsp:cNvSpPr/>
      </dsp:nvSpPr>
      <dsp:spPr>
        <a:xfrm>
          <a:off x="2447193" y="857332"/>
          <a:ext cx="312612" cy="271837"/>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AA018E6-EBBA-BB47-A86F-F9A1200CD96A}">
      <dsp:nvSpPr>
        <dsp:cNvPr id="0" name=""/>
        <dsp:cNvSpPr/>
      </dsp:nvSpPr>
      <dsp:spPr>
        <a:xfrm rot="10800000">
          <a:off x="2447193" y="961885"/>
          <a:ext cx="312612" cy="271837"/>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FF27A-7F3D-DA44-B13E-4702FBE65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889</TotalTime>
  <Pages>18</Pages>
  <Words>6994</Words>
  <Characters>39869</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mf5932133@gmail.com</dc:creator>
  <cp:keywords/>
  <dc:description/>
  <cp:lastModifiedBy>mf5932133@gmail.com</cp:lastModifiedBy>
  <cp:revision>80</cp:revision>
  <dcterms:created xsi:type="dcterms:W3CDTF">2023-03-03T06:40:00Z</dcterms:created>
  <dcterms:modified xsi:type="dcterms:W3CDTF">2024-09-02T04:49:00Z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d8a7b4ff-ae0e-37d7-a467-6bd3657acf42</vt:lpwstr>
  </property>
  <property fmtid="{D5CDD505-2E9C-101B-9397-08002B2CF9AE}" pid="4" name="Mendeley Citation Style_1">
    <vt:lpwstr>http://www.zotero.org/styles/turabian-fullnote-bibliography</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http://www.zotero.org/styles/chicago-author-date-16th-edition</vt:lpwstr>
  </property>
  <property fmtid="{D5CDD505-2E9C-101B-9397-08002B2CF9AE}" pid="8" name="Mendeley Recent Style Name 1_1">
    <vt:lpwstr>Chicago Manual of Style 16th edition (author-date)</vt:lpwstr>
  </property>
  <property fmtid="{D5CDD505-2E9C-101B-9397-08002B2CF9AE}" pid="9" name="Mendeley Recent Style Id 2_1">
    <vt:lpwstr>http://www.zotero.org/styles/chicago-fullnote-bibliography-16th-edition</vt:lpwstr>
  </property>
  <property fmtid="{D5CDD505-2E9C-101B-9397-08002B2CF9AE}" pid="10" name="Mendeley Recent Style Name 2_1">
    <vt:lpwstr>Chicago Manual of Style 16th edition (full note)</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8th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http://www.zotero.org/styles/oscola</vt:lpwstr>
  </property>
  <property fmtid="{D5CDD505-2E9C-101B-9397-08002B2CF9AE}" pid="22" name="Mendeley Recent Style Name 8_1">
    <vt:lpwstr>OSCOLA (Oxford University Standard for Citation of Legal Authorities)</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