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0EA48" w14:textId="77777777" w:rsidR="00C82956" w:rsidRPr="00551164" w:rsidRDefault="007F76D2">
      <w:pPr>
        <w:spacing w:after="0" w:line="240" w:lineRule="auto"/>
        <w:jc w:val="both"/>
        <w:rPr>
          <w:rFonts w:ascii="Times New Roman" w:eastAsia="Times New Roman" w:hAnsi="Times New Roman" w:cs="Times New Roman"/>
          <w:color w:val="000000" w:themeColor="text1"/>
          <w:sz w:val="24"/>
          <w:szCs w:val="24"/>
        </w:rPr>
      </w:pPr>
      <w:r w:rsidRPr="00551164">
        <w:rPr>
          <w:rFonts w:ascii="Times New Roman" w:eastAsia="Times New Roman" w:hAnsi="Times New Roman" w:cs="Times New Roman"/>
          <w:b/>
          <w:color w:val="000000" w:themeColor="text1"/>
          <w:sz w:val="24"/>
          <w:szCs w:val="24"/>
        </w:rPr>
        <w:t>De Jure: Jurnal Hukum dan Syar’iah</w:t>
      </w:r>
      <w:r w:rsidRPr="00551164">
        <w:rPr>
          <w:rFonts w:ascii="Times New Roman" w:eastAsia="Times New Roman" w:hAnsi="Times New Roman" w:cs="Times New Roman"/>
          <w:color w:val="000000" w:themeColor="text1"/>
          <w:sz w:val="24"/>
          <w:szCs w:val="24"/>
        </w:rPr>
        <w:t xml:space="preserve"> </w:t>
      </w:r>
    </w:p>
    <w:p w14:paraId="7F288A91" w14:textId="77777777" w:rsidR="00C82956" w:rsidRPr="00551164" w:rsidRDefault="007F76D2">
      <w:pPr>
        <w:spacing w:after="0" w:line="240" w:lineRule="auto"/>
        <w:jc w:val="both"/>
        <w:rPr>
          <w:rFonts w:ascii="Times New Roman" w:eastAsia="Times New Roman" w:hAnsi="Times New Roman" w:cs="Times New Roman"/>
          <w:color w:val="000000" w:themeColor="text1"/>
          <w:sz w:val="24"/>
          <w:szCs w:val="24"/>
        </w:rPr>
      </w:pPr>
      <w:r w:rsidRPr="00551164">
        <w:rPr>
          <w:rFonts w:ascii="Times New Roman" w:eastAsia="Times New Roman" w:hAnsi="Times New Roman" w:cs="Times New Roman"/>
          <w:color w:val="000000" w:themeColor="text1"/>
          <w:sz w:val="24"/>
          <w:szCs w:val="24"/>
        </w:rPr>
        <w:t>Vol. XX, No. Y, TAHUN, h. XX-XX</w:t>
      </w:r>
    </w:p>
    <w:p w14:paraId="5158E8A4" w14:textId="77777777" w:rsidR="00C82956" w:rsidRPr="00551164" w:rsidRDefault="007F76D2">
      <w:pPr>
        <w:spacing w:after="0" w:line="240" w:lineRule="auto"/>
        <w:jc w:val="both"/>
        <w:rPr>
          <w:rFonts w:ascii="Times New Roman" w:eastAsia="Times New Roman" w:hAnsi="Times New Roman" w:cs="Times New Roman"/>
          <w:color w:val="000000" w:themeColor="text1"/>
          <w:sz w:val="24"/>
          <w:szCs w:val="24"/>
        </w:rPr>
      </w:pPr>
      <w:r w:rsidRPr="00551164">
        <w:rPr>
          <w:rFonts w:ascii="Times New Roman" w:eastAsia="Times New Roman" w:hAnsi="Times New Roman" w:cs="Times New Roman"/>
          <w:color w:val="000000" w:themeColor="text1"/>
          <w:sz w:val="24"/>
          <w:szCs w:val="24"/>
        </w:rPr>
        <w:t xml:space="preserve">ISSN (Print): 2085-1618, ISSN (Online): 2528-1658 </w:t>
      </w:r>
    </w:p>
    <w:p w14:paraId="5AE1C11B" w14:textId="77777777" w:rsidR="00C82956" w:rsidRPr="00551164" w:rsidRDefault="007F76D2">
      <w:pPr>
        <w:spacing w:after="0" w:line="240" w:lineRule="auto"/>
        <w:jc w:val="both"/>
        <w:rPr>
          <w:rFonts w:ascii="Times New Roman" w:eastAsia="Times New Roman" w:hAnsi="Times New Roman" w:cs="Times New Roman"/>
          <w:color w:val="000000" w:themeColor="text1"/>
          <w:sz w:val="24"/>
          <w:szCs w:val="24"/>
        </w:rPr>
      </w:pPr>
      <w:r w:rsidRPr="00551164">
        <w:rPr>
          <w:rFonts w:ascii="Times New Roman" w:eastAsia="Times New Roman" w:hAnsi="Times New Roman" w:cs="Times New Roman"/>
          <w:color w:val="000000" w:themeColor="text1"/>
          <w:sz w:val="24"/>
          <w:szCs w:val="24"/>
        </w:rPr>
        <w:t>DOI: http://dx.doi.org/10.18860/j-fsh.vXXiY.6614</w:t>
      </w:r>
    </w:p>
    <w:p w14:paraId="21BA075F" w14:textId="77777777" w:rsidR="00C82956" w:rsidRPr="00551164" w:rsidRDefault="007F76D2">
      <w:pPr>
        <w:spacing w:after="480" w:line="240" w:lineRule="auto"/>
        <w:rPr>
          <w:rFonts w:ascii="Times New Roman" w:eastAsia="Times New Roman" w:hAnsi="Times New Roman" w:cs="Times New Roman"/>
          <w:color w:val="000000" w:themeColor="text1"/>
          <w:sz w:val="24"/>
          <w:szCs w:val="24"/>
        </w:rPr>
      </w:pPr>
      <w:r w:rsidRPr="00551164">
        <w:rPr>
          <w:rFonts w:ascii="Times New Roman" w:eastAsia="Times New Roman" w:hAnsi="Times New Roman" w:cs="Times New Roman"/>
          <w:color w:val="000000" w:themeColor="text1"/>
          <w:sz w:val="24"/>
          <w:szCs w:val="24"/>
        </w:rPr>
        <w:t xml:space="preserve">Available online at </w:t>
      </w:r>
      <w:hyperlink r:id="rId9">
        <w:r w:rsidRPr="00551164">
          <w:rPr>
            <w:rFonts w:ascii="Times New Roman" w:eastAsia="Times New Roman" w:hAnsi="Times New Roman" w:cs="Times New Roman"/>
            <w:color w:val="000000" w:themeColor="text1"/>
            <w:sz w:val="24"/>
            <w:szCs w:val="24"/>
            <w:u w:val="single"/>
          </w:rPr>
          <w:t>http://ejournal.uin-malang.ac.id/index.php/syariah</w:t>
        </w:r>
      </w:hyperlink>
      <w:r w:rsidRPr="00551164">
        <w:rPr>
          <w:rFonts w:ascii="Times New Roman" w:eastAsia="Times New Roman" w:hAnsi="Times New Roman" w:cs="Times New Roman"/>
          <w:b/>
          <w:color w:val="000000" w:themeColor="text1"/>
          <w:sz w:val="24"/>
          <w:szCs w:val="24"/>
        </w:rPr>
        <w:t xml:space="preserve"> </w:t>
      </w:r>
    </w:p>
    <w:p w14:paraId="479E502C" w14:textId="0E1BFA9B" w:rsidR="009651FA" w:rsidRDefault="00F82E1E">
      <w:pPr>
        <w:spacing w:after="0" w:line="240" w:lineRule="auto"/>
        <w:jc w:val="center"/>
        <w:rPr>
          <w:rFonts w:ascii="Times New Roman" w:eastAsia="Times New Roman" w:hAnsi="Times New Roman" w:cs="Times New Roman"/>
          <w:b/>
          <w:color w:val="000000" w:themeColor="text1"/>
          <w:sz w:val="32"/>
          <w:szCs w:val="32"/>
        </w:rPr>
      </w:pPr>
      <w:r>
        <w:rPr>
          <w:rFonts w:ascii="Times New Roman" w:eastAsia="Times New Roman" w:hAnsi="Times New Roman" w:cs="Times New Roman"/>
          <w:b/>
          <w:color w:val="000000" w:themeColor="text1"/>
          <w:sz w:val="32"/>
          <w:szCs w:val="32"/>
        </w:rPr>
        <w:t>Local Wisdom and Joint Property Division: A Legal Perspe</w:t>
      </w:r>
      <w:r w:rsidR="00CC15DB">
        <w:rPr>
          <w:rFonts w:ascii="Times New Roman" w:eastAsia="Times New Roman" w:hAnsi="Times New Roman" w:cs="Times New Roman"/>
          <w:b/>
          <w:color w:val="000000" w:themeColor="text1"/>
          <w:sz w:val="32"/>
          <w:szCs w:val="32"/>
        </w:rPr>
        <w:t>c</w:t>
      </w:r>
      <w:r>
        <w:rPr>
          <w:rFonts w:ascii="Times New Roman" w:eastAsia="Times New Roman" w:hAnsi="Times New Roman" w:cs="Times New Roman"/>
          <w:b/>
          <w:color w:val="000000" w:themeColor="text1"/>
          <w:sz w:val="32"/>
          <w:szCs w:val="32"/>
        </w:rPr>
        <w:t>ti</w:t>
      </w:r>
      <w:r w:rsidR="00CC15DB">
        <w:rPr>
          <w:rFonts w:ascii="Times New Roman" w:eastAsia="Times New Roman" w:hAnsi="Times New Roman" w:cs="Times New Roman"/>
          <w:b/>
          <w:color w:val="000000" w:themeColor="text1"/>
          <w:sz w:val="32"/>
          <w:szCs w:val="32"/>
        </w:rPr>
        <w:t>ve</w:t>
      </w:r>
      <w:r>
        <w:rPr>
          <w:rFonts w:ascii="Times New Roman" w:eastAsia="Times New Roman" w:hAnsi="Times New Roman" w:cs="Times New Roman"/>
          <w:b/>
          <w:color w:val="000000" w:themeColor="text1"/>
          <w:sz w:val="32"/>
          <w:szCs w:val="32"/>
        </w:rPr>
        <w:t xml:space="preserve"> in Malaysia</w:t>
      </w:r>
    </w:p>
    <w:p w14:paraId="6269C75A" w14:textId="0F11A6A2" w:rsidR="00E13D3D" w:rsidRDefault="00E13D3D">
      <w:pPr>
        <w:spacing w:after="0" w:line="240" w:lineRule="auto"/>
        <w:jc w:val="center"/>
        <w:rPr>
          <w:rFonts w:ascii="Times New Roman" w:eastAsia="Times New Roman" w:hAnsi="Times New Roman" w:cs="Times New Roman"/>
          <w:b/>
          <w:color w:val="000000" w:themeColor="text1"/>
          <w:sz w:val="32"/>
          <w:szCs w:val="32"/>
        </w:rPr>
      </w:pPr>
    </w:p>
    <w:p w14:paraId="164A1102" w14:textId="02FE2F12" w:rsidR="00A442FB" w:rsidRPr="00A442FB" w:rsidRDefault="00E13D3D" w:rsidP="00A442FB">
      <w:pPr>
        <w:spacing w:after="0" w:line="240" w:lineRule="auto"/>
        <w:jc w:val="center"/>
        <w:rPr>
          <w:rFonts w:ascii="Times New Roman" w:eastAsia="SimSun" w:hAnsi="Times New Roman" w:cs="Times New Roman"/>
          <w:b/>
          <w:bCs/>
          <w:sz w:val="24"/>
          <w:szCs w:val="24"/>
        </w:rPr>
      </w:pPr>
      <w:r w:rsidRPr="00A442FB">
        <w:rPr>
          <w:rFonts w:ascii="Times New Roman" w:eastAsia="SimSun" w:hAnsi="Times New Roman" w:cs="Times New Roman"/>
          <w:b/>
          <w:bCs/>
          <w:sz w:val="24"/>
          <w:szCs w:val="24"/>
        </w:rPr>
        <w:t>Mohd Norhusairi Mat Hussin</w:t>
      </w:r>
    </w:p>
    <w:p w14:paraId="6C607EA2" w14:textId="32B524E6" w:rsidR="00A442FB" w:rsidRPr="00A442FB" w:rsidRDefault="00B7201C" w:rsidP="00A442FB">
      <w:pPr>
        <w:spacing w:after="0" w:line="240" w:lineRule="auto"/>
        <w:jc w:val="center"/>
        <w:rPr>
          <w:rFonts w:ascii="Times New Roman" w:eastAsia="SimSun" w:hAnsi="Times New Roman" w:cs="Times New Roman"/>
          <w:b/>
          <w:bCs/>
          <w:sz w:val="24"/>
          <w:szCs w:val="24"/>
        </w:rPr>
      </w:pPr>
      <w:r>
        <w:rPr>
          <w:rFonts w:ascii="Times New Roman" w:eastAsia="SimSun" w:hAnsi="Times New Roman" w:cs="Times New Roman"/>
          <w:sz w:val="24"/>
          <w:szCs w:val="24"/>
        </w:rPr>
        <w:t>Universiti Malaya, Malaysia</w:t>
      </w:r>
    </w:p>
    <w:p w14:paraId="3C329219" w14:textId="77777777" w:rsidR="00A442FB" w:rsidRPr="00A442FB" w:rsidRDefault="00A442FB" w:rsidP="00A442FB">
      <w:pPr>
        <w:spacing w:after="0" w:line="240" w:lineRule="auto"/>
        <w:jc w:val="center"/>
        <w:rPr>
          <w:rFonts w:ascii="Times New Roman" w:eastAsia="SimSun" w:hAnsi="Times New Roman" w:cs="Times New Roman"/>
          <w:b/>
          <w:bCs/>
          <w:sz w:val="24"/>
          <w:szCs w:val="24"/>
        </w:rPr>
      </w:pPr>
    </w:p>
    <w:p w14:paraId="54EA1EB1" w14:textId="77777777" w:rsidR="00A442FB" w:rsidRPr="00A442FB" w:rsidRDefault="00A442FB" w:rsidP="00A442FB">
      <w:pPr>
        <w:spacing w:after="0" w:line="240" w:lineRule="auto"/>
        <w:jc w:val="center"/>
        <w:rPr>
          <w:rFonts w:ascii="Times New Roman" w:eastAsia="SimSun" w:hAnsi="Times New Roman" w:cs="Times New Roman"/>
          <w:b/>
          <w:bCs/>
          <w:sz w:val="24"/>
          <w:szCs w:val="24"/>
        </w:rPr>
      </w:pPr>
      <w:r w:rsidRPr="00A442FB">
        <w:rPr>
          <w:rFonts w:ascii="Times New Roman" w:eastAsia="SimSun" w:hAnsi="Times New Roman" w:cs="Times New Roman"/>
          <w:b/>
          <w:bCs/>
          <w:sz w:val="24"/>
          <w:szCs w:val="24"/>
        </w:rPr>
        <w:t>Siti Aisyah Samudin</w:t>
      </w:r>
    </w:p>
    <w:p w14:paraId="03F76FD0" w14:textId="77777777" w:rsidR="00955729" w:rsidRPr="00A442FB" w:rsidRDefault="00955729" w:rsidP="00955729">
      <w:pPr>
        <w:spacing w:after="0" w:line="240" w:lineRule="auto"/>
        <w:jc w:val="center"/>
        <w:rPr>
          <w:rFonts w:ascii="Times New Roman" w:eastAsia="SimSun" w:hAnsi="Times New Roman" w:cs="Times New Roman"/>
          <w:b/>
          <w:bCs/>
          <w:sz w:val="24"/>
          <w:szCs w:val="24"/>
        </w:rPr>
      </w:pPr>
      <w:r>
        <w:rPr>
          <w:rFonts w:ascii="Times New Roman" w:eastAsia="SimSun" w:hAnsi="Times New Roman" w:cs="Times New Roman"/>
          <w:sz w:val="24"/>
          <w:szCs w:val="24"/>
        </w:rPr>
        <w:t>Universiti Malaya, Malaysia</w:t>
      </w:r>
    </w:p>
    <w:p w14:paraId="3AADF5AD" w14:textId="1323D7EB" w:rsidR="00A442FB" w:rsidRPr="00BF3123" w:rsidRDefault="00661414" w:rsidP="00BF3123">
      <w:pPr>
        <w:spacing w:after="160" w:line="360" w:lineRule="auto"/>
        <w:jc w:val="center"/>
        <w:rPr>
          <w:rFonts w:ascii="Times New Roman" w:eastAsia="SimSun" w:hAnsi="Times New Roman" w:cs="Times New Roman"/>
          <w:i/>
          <w:iCs/>
          <w:sz w:val="24"/>
          <w:szCs w:val="24"/>
        </w:rPr>
      </w:pPr>
      <w:hyperlink r:id="rId10" w:history="1">
        <w:r w:rsidR="000F369C" w:rsidRPr="006044F5">
          <w:rPr>
            <w:rStyle w:val="Hyperlink"/>
            <w:rFonts w:ascii="Times New Roman" w:eastAsia="SimSun" w:hAnsi="Times New Roman" w:cs="Times New Roman"/>
            <w:i/>
            <w:iCs/>
            <w:sz w:val="24"/>
            <w:szCs w:val="24"/>
          </w:rPr>
          <w:t>sitiaisyah.samudin@um.edu.my</w:t>
        </w:r>
      </w:hyperlink>
      <w:r w:rsidR="000F369C">
        <w:rPr>
          <w:rFonts w:ascii="Times New Roman" w:eastAsia="SimSun" w:hAnsi="Times New Roman" w:cs="Times New Roman"/>
          <w:i/>
          <w:iCs/>
          <w:sz w:val="24"/>
          <w:szCs w:val="24"/>
        </w:rPr>
        <w:t xml:space="preserve"> </w:t>
      </w:r>
    </w:p>
    <w:p w14:paraId="2B745A23" w14:textId="156EBC8B" w:rsidR="00A442FB" w:rsidRDefault="00A442FB" w:rsidP="00A442FB">
      <w:pPr>
        <w:spacing w:after="0" w:line="240" w:lineRule="auto"/>
        <w:jc w:val="center"/>
        <w:rPr>
          <w:rFonts w:ascii="Times New Roman" w:eastAsia="SimSun" w:hAnsi="Times New Roman" w:cs="Times New Roman"/>
          <w:b/>
          <w:bCs/>
          <w:sz w:val="24"/>
          <w:szCs w:val="24"/>
        </w:rPr>
      </w:pPr>
      <w:r w:rsidRPr="00A442FB">
        <w:rPr>
          <w:rFonts w:ascii="Times New Roman" w:eastAsia="SimSun" w:hAnsi="Times New Roman" w:cs="Times New Roman"/>
          <w:b/>
          <w:bCs/>
          <w:sz w:val="24"/>
          <w:szCs w:val="24"/>
        </w:rPr>
        <w:t>Mohd Zaidi Daud</w:t>
      </w:r>
    </w:p>
    <w:p w14:paraId="4C9481AF" w14:textId="77777777" w:rsidR="00955729" w:rsidRPr="00A442FB" w:rsidRDefault="00955729" w:rsidP="00955729">
      <w:pPr>
        <w:spacing w:after="0" w:line="240" w:lineRule="auto"/>
        <w:jc w:val="center"/>
        <w:rPr>
          <w:rFonts w:ascii="Times New Roman" w:eastAsia="SimSun" w:hAnsi="Times New Roman" w:cs="Times New Roman"/>
          <w:b/>
          <w:bCs/>
          <w:sz w:val="24"/>
          <w:szCs w:val="24"/>
        </w:rPr>
      </w:pPr>
      <w:r>
        <w:rPr>
          <w:rFonts w:ascii="Times New Roman" w:eastAsia="SimSun" w:hAnsi="Times New Roman" w:cs="Times New Roman"/>
          <w:sz w:val="24"/>
          <w:szCs w:val="24"/>
        </w:rPr>
        <w:t>Universiti Malaya, Malaysia</w:t>
      </w:r>
    </w:p>
    <w:p w14:paraId="4637B320" w14:textId="77777777" w:rsidR="00A442FB" w:rsidRPr="00A442FB" w:rsidRDefault="00A442FB" w:rsidP="00955729">
      <w:pPr>
        <w:spacing w:after="0" w:line="240" w:lineRule="auto"/>
        <w:rPr>
          <w:rFonts w:ascii="Times New Roman" w:eastAsia="SimSun" w:hAnsi="Times New Roman" w:cs="Times New Roman"/>
          <w:b/>
          <w:bCs/>
          <w:sz w:val="24"/>
          <w:szCs w:val="24"/>
        </w:rPr>
      </w:pPr>
    </w:p>
    <w:p w14:paraId="5294DAE2" w14:textId="0063BD96" w:rsidR="00A442FB" w:rsidRDefault="00A442FB" w:rsidP="00A442FB">
      <w:pPr>
        <w:spacing w:after="0" w:line="240" w:lineRule="auto"/>
        <w:jc w:val="center"/>
        <w:rPr>
          <w:rFonts w:ascii="Times New Roman" w:eastAsia="SimSun" w:hAnsi="Times New Roman" w:cs="Times New Roman"/>
          <w:b/>
          <w:bCs/>
          <w:sz w:val="24"/>
          <w:szCs w:val="24"/>
        </w:rPr>
      </w:pPr>
      <w:r w:rsidRPr="00A442FB">
        <w:rPr>
          <w:rFonts w:ascii="Times New Roman" w:eastAsia="SimSun" w:hAnsi="Times New Roman" w:cs="Times New Roman"/>
          <w:b/>
          <w:bCs/>
          <w:sz w:val="24"/>
          <w:szCs w:val="24"/>
        </w:rPr>
        <w:t>Risma Nur Arifah</w:t>
      </w:r>
    </w:p>
    <w:p w14:paraId="0D6CCBBB" w14:textId="03758554" w:rsidR="00955729" w:rsidRPr="00955729" w:rsidRDefault="00955729" w:rsidP="00A442FB">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UIN Maulana Malik Ibrahim, Indonesia</w:t>
      </w:r>
    </w:p>
    <w:p w14:paraId="4CA8CE46" w14:textId="77777777" w:rsidR="00A442FB" w:rsidRPr="00A442FB" w:rsidRDefault="00A442FB" w:rsidP="00A442FB">
      <w:pPr>
        <w:spacing w:after="0" w:line="240" w:lineRule="auto"/>
        <w:jc w:val="center"/>
        <w:rPr>
          <w:rFonts w:ascii="Times New Roman" w:eastAsia="SimSun" w:hAnsi="Times New Roman" w:cs="Times New Roman"/>
          <w:b/>
          <w:bCs/>
          <w:sz w:val="24"/>
          <w:szCs w:val="24"/>
        </w:rPr>
      </w:pPr>
    </w:p>
    <w:p w14:paraId="6ED94D8E" w14:textId="4941754F" w:rsidR="00A442FB" w:rsidRDefault="00A442FB" w:rsidP="00A442FB">
      <w:pPr>
        <w:spacing w:after="0" w:line="240" w:lineRule="auto"/>
        <w:jc w:val="center"/>
        <w:rPr>
          <w:rFonts w:ascii="Times New Roman" w:eastAsia="SimSun" w:hAnsi="Times New Roman" w:cs="Times New Roman"/>
          <w:b/>
          <w:bCs/>
          <w:sz w:val="24"/>
          <w:szCs w:val="24"/>
        </w:rPr>
      </w:pPr>
      <w:r w:rsidRPr="00A442FB">
        <w:rPr>
          <w:rFonts w:ascii="Times New Roman" w:eastAsia="SimSun" w:hAnsi="Times New Roman" w:cs="Times New Roman"/>
          <w:b/>
          <w:bCs/>
          <w:sz w:val="24"/>
          <w:szCs w:val="24"/>
        </w:rPr>
        <w:t>Mahamatayuding Samah</w:t>
      </w:r>
    </w:p>
    <w:p w14:paraId="3DE8A4DC" w14:textId="77777777" w:rsidR="00955729" w:rsidRPr="00A442FB" w:rsidRDefault="00955729" w:rsidP="00955729">
      <w:pPr>
        <w:spacing w:after="0" w:line="240" w:lineRule="auto"/>
        <w:jc w:val="center"/>
        <w:rPr>
          <w:rFonts w:ascii="Times New Roman" w:eastAsia="SimSun" w:hAnsi="Times New Roman" w:cs="Times New Roman"/>
          <w:b/>
          <w:bCs/>
          <w:sz w:val="24"/>
          <w:szCs w:val="24"/>
        </w:rPr>
      </w:pPr>
      <w:r>
        <w:rPr>
          <w:rFonts w:ascii="Times New Roman" w:eastAsia="SimSun" w:hAnsi="Times New Roman" w:cs="Times New Roman"/>
          <w:sz w:val="24"/>
          <w:szCs w:val="24"/>
        </w:rPr>
        <w:t>Universiti Malaya, Malaysia</w:t>
      </w:r>
    </w:p>
    <w:p w14:paraId="21096490" w14:textId="77777777" w:rsidR="00955729" w:rsidRPr="00A442FB" w:rsidRDefault="00955729" w:rsidP="00955729">
      <w:pPr>
        <w:spacing w:after="0" w:line="240" w:lineRule="auto"/>
        <w:jc w:val="center"/>
        <w:rPr>
          <w:rFonts w:ascii="Times New Roman" w:eastAsia="SimSun" w:hAnsi="Times New Roman" w:cs="Times New Roman"/>
          <w:b/>
          <w:bCs/>
          <w:sz w:val="24"/>
          <w:szCs w:val="24"/>
        </w:rPr>
      </w:pPr>
    </w:p>
    <w:p w14:paraId="062BCB78" w14:textId="77777777" w:rsidR="00846E36" w:rsidRPr="00551164" w:rsidRDefault="00846E36" w:rsidP="00ED6386">
      <w:pPr>
        <w:spacing w:after="0" w:line="240" w:lineRule="auto"/>
        <w:rPr>
          <w:rFonts w:ascii="Times New Roman" w:eastAsia="Times New Roman" w:hAnsi="Times New Roman" w:cs="Times New Roman"/>
          <w:b/>
          <w:color w:val="000000" w:themeColor="text1"/>
          <w:sz w:val="24"/>
          <w:szCs w:val="24"/>
        </w:rPr>
      </w:pPr>
    </w:p>
    <w:p w14:paraId="177AB59F" w14:textId="77777777" w:rsidR="00C82956" w:rsidRPr="00551164" w:rsidRDefault="007F76D2">
      <w:pPr>
        <w:spacing w:after="120" w:line="240" w:lineRule="auto"/>
        <w:ind w:right="567"/>
        <w:jc w:val="both"/>
        <w:rPr>
          <w:rFonts w:ascii="Times New Roman" w:eastAsia="Times New Roman" w:hAnsi="Times New Roman" w:cs="Times New Roman"/>
          <w:b/>
          <w:color w:val="000000" w:themeColor="text1"/>
          <w:sz w:val="24"/>
          <w:szCs w:val="24"/>
        </w:rPr>
      </w:pPr>
      <w:r w:rsidRPr="00551164">
        <w:rPr>
          <w:rFonts w:ascii="Times New Roman" w:eastAsia="Times New Roman" w:hAnsi="Times New Roman" w:cs="Times New Roman"/>
          <w:b/>
          <w:color w:val="000000" w:themeColor="text1"/>
          <w:sz w:val="24"/>
          <w:szCs w:val="24"/>
        </w:rPr>
        <w:t xml:space="preserve">Abstract: </w:t>
      </w:r>
    </w:p>
    <w:p w14:paraId="3B8F5204" w14:textId="3794BCA0" w:rsidR="007C4546" w:rsidRDefault="00DD17B4" w:rsidP="004953BF">
      <w:pPr>
        <w:spacing w:after="120" w:line="240" w:lineRule="auto"/>
        <w:ind w:left="567" w:right="567"/>
        <w:jc w:val="both"/>
        <w:rPr>
          <w:rFonts w:ascii="Times New Roman" w:eastAsia="Times New Roman" w:hAnsi="Times New Roman" w:cs="Times New Roman"/>
          <w:color w:val="000000" w:themeColor="text1"/>
          <w:sz w:val="24"/>
          <w:szCs w:val="24"/>
        </w:rPr>
      </w:pPr>
      <w:r>
        <w:rPr>
          <w:rFonts w:asciiTheme="majorBidi" w:eastAsia="Times New Roman" w:hAnsiTheme="majorBidi" w:cstheme="majorBidi"/>
          <w:i/>
          <w:iCs/>
          <w:color w:val="000000" w:themeColor="text1"/>
          <w:sz w:val="24"/>
          <w:szCs w:val="24"/>
        </w:rPr>
        <w:t xml:space="preserve">This study aims to analyze the devision of joint property </w:t>
      </w:r>
      <w:r w:rsidR="007E0C39">
        <w:rPr>
          <w:rFonts w:asciiTheme="majorBidi" w:eastAsia="Times New Roman" w:hAnsiTheme="majorBidi" w:cstheme="majorBidi"/>
          <w:i/>
          <w:iCs/>
          <w:color w:val="000000" w:themeColor="text1"/>
          <w:sz w:val="24"/>
          <w:szCs w:val="24"/>
        </w:rPr>
        <w:t xml:space="preserve">(harta sepencaharian) </w:t>
      </w:r>
      <w:r>
        <w:rPr>
          <w:rFonts w:asciiTheme="majorBidi" w:eastAsia="Times New Roman" w:hAnsiTheme="majorBidi" w:cstheme="majorBidi"/>
          <w:i/>
          <w:iCs/>
          <w:color w:val="000000" w:themeColor="text1"/>
          <w:sz w:val="24"/>
          <w:szCs w:val="24"/>
        </w:rPr>
        <w:t xml:space="preserve">within the </w:t>
      </w:r>
      <w:r w:rsidR="007C4546">
        <w:rPr>
          <w:rFonts w:asciiTheme="majorBidi" w:eastAsia="Times New Roman" w:hAnsiTheme="majorBidi" w:cstheme="majorBidi"/>
          <w:i/>
          <w:iCs/>
          <w:color w:val="000000" w:themeColor="text1"/>
          <w:sz w:val="24"/>
          <w:szCs w:val="24"/>
        </w:rPr>
        <w:t>le</w:t>
      </w:r>
      <w:r>
        <w:rPr>
          <w:rFonts w:asciiTheme="majorBidi" w:eastAsia="Times New Roman" w:hAnsiTheme="majorBidi" w:cstheme="majorBidi"/>
          <w:i/>
          <w:iCs/>
          <w:color w:val="000000" w:themeColor="text1"/>
          <w:sz w:val="24"/>
          <w:szCs w:val="24"/>
        </w:rPr>
        <w:t>gal framework</w:t>
      </w:r>
      <w:r w:rsidR="007C4546">
        <w:rPr>
          <w:rFonts w:asciiTheme="majorBidi" w:eastAsia="Times New Roman" w:hAnsiTheme="majorBidi" w:cstheme="majorBidi"/>
          <w:i/>
          <w:iCs/>
          <w:color w:val="000000" w:themeColor="text1"/>
          <w:sz w:val="24"/>
          <w:szCs w:val="24"/>
        </w:rPr>
        <w:t xml:space="preserve"> of Malaysia, emphasizing the role of local wisdom. The research focuses on how customary legal norms and local traditions influence the interpretation and application of law governing joint property disputes. Adopting a normative approach, the study employs conceptual and statutory analysis, supported by the </w:t>
      </w:r>
      <w:r w:rsidR="00491363">
        <w:rPr>
          <w:rFonts w:asciiTheme="majorBidi" w:eastAsia="Times New Roman" w:hAnsiTheme="majorBidi" w:cstheme="majorBidi"/>
          <w:i/>
          <w:iCs/>
          <w:color w:val="000000" w:themeColor="text1"/>
          <w:sz w:val="24"/>
          <w:szCs w:val="24"/>
        </w:rPr>
        <w:t>examination of legal documents and relevant literature. The findings indicate that local wisdom significantly contributes to filling gaps or addressing deficiencies in formal legal norms, thereby fostering justice that aligns with the contextual needs of society. The study’s contribution lies in its policy recommendations for integrating local wisdom into Malaysia’s legal framework. Promoting a theoretical foundation for the development of inclusive and adaptive legal policies.</w:t>
      </w:r>
    </w:p>
    <w:p w14:paraId="7480D59D" w14:textId="3B36ACC8" w:rsidR="00C82956" w:rsidRPr="00551164" w:rsidRDefault="007F76D2" w:rsidP="007C4546">
      <w:pPr>
        <w:spacing w:after="120" w:line="240" w:lineRule="auto"/>
        <w:ind w:left="567" w:right="567"/>
        <w:jc w:val="both"/>
        <w:rPr>
          <w:rFonts w:ascii="Times New Roman" w:eastAsia="Times New Roman" w:hAnsi="Times New Roman" w:cs="Times New Roman"/>
          <w:color w:val="000000" w:themeColor="text1"/>
          <w:sz w:val="24"/>
          <w:szCs w:val="24"/>
        </w:rPr>
      </w:pPr>
      <w:r w:rsidRPr="00551164">
        <w:rPr>
          <w:rFonts w:ascii="Times New Roman" w:eastAsia="Times New Roman" w:hAnsi="Times New Roman" w:cs="Times New Roman"/>
          <w:b/>
          <w:color w:val="000000" w:themeColor="text1"/>
          <w:sz w:val="24"/>
          <w:szCs w:val="24"/>
        </w:rPr>
        <w:t xml:space="preserve">Keywords: </w:t>
      </w:r>
      <w:r w:rsidR="00246BE3" w:rsidRPr="00551164">
        <w:rPr>
          <w:rFonts w:asciiTheme="majorBidi" w:eastAsia="Times New Roman" w:hAnsiTheme="majorBidi" w:cstheme="majorBidi"/>
          <w:iCs/>
          <w:color w:val="000000" w:themeColor="text1"/>
          <w:sz w:val="24"/>
          <w:szCs w:val="24"/>
        </w:rPr>
        <w:t>Harta sepencarian, Malay custom, gender</w:t>
      </w:r>
      <w:r w:rsidRPr="00551164">
        <w:rPr>
          <w:rFonts w:ascii="Times New Roman" w:eastAsia="Times New Roman" w:hAnsi="Times New Roman" w:cs="Times New Roman"/>
          <w:color w:val="000000" w:themeColor="text1"/>
          <w:sz w:val="24"/>
          <w:szCs w:val="24"/>
        </w:rPr>
        <w:t>.</w:t>
      </w:r>
    </w:p>
    <w:p w14:paraId="0D8FCC4B" w14:textId="77777777" w:rsidR="00C82956" w:rsidRPr="00551164" w:rsidRDefault="007F76D2">
      <w:pPr>
        <w:spacing w:before="120" w:after="120" w:line="240" w:lineRule="auto"/>
        <w:jc w:val="both"/>
        <w:rPr>
          <w:rFonts w:ascii="Times New Roman" w:eastAsia="Times New Roman" w:hAnsi="Times New Roman" w:cs="Times New Roman"/>
          <w:b/>
          <w:color w:val="000000" w:themeColor="text1"/>
          <w:sz w:val="24"/>
          <w:szCs w:val="24"/>
        </w:rPr>
      </w:pPr>
      <w:r w:rsidRPr="00551164">
        <w:rPr>
          <w:rFonts w:ascii="Times New Roman" w:eastAsia="Times New Roman" w:hAnsi="Times New Roman" w:cs="Times New Roman"/>
          <w:b/>
          <w:color w:val="000000" w:themeColor="text1"/>
          <w:sz w:val="24"/>
          <w:szCs w:val="24"/>
        </w:rPr>
        <w:t>Introduction</w:t>
      </w:r>
    </w:p>
    <w:p w14:paraId="356E4C1B" w14:textId="77777777" w:rsidR="00036B14" w:rsidRDefault="00246BE3" w:rsidP="00925D9C">
      <w:pPr>
        <w:spacing w:before="120" w:after="120" w:line="240" w:lineRule="auto"/>
        <w:ind w:firstLine="720"/>
        <w:jc w:val="both"/>
        <w:rPr>
          <w:rFonts w:asciiTheme="majorBidi" w:hAnsiTheme="majorBidi" w:cstheme="majorBidi"/>
          <w:color w:val="000000" w:themeColor="text1"/>
          <w:sz w:val="24"/>
          <w:szCs w:val="24"/>
        </w:rPr>
      </w:pPr>
      <w:r w:rsidRPr="00551164">
        <w:rPr>
          <w:rFonts w:asciiTheme="majorBidi" w:hAnsiTheme="majorBidi" w:cstheme="majorBidi"/>
          <w:color w:val="000000" w:themeColor="text1"/>
          <w:sz w:val="24"/>
          <w:szCs w:val="24"/>
        </w:rPr>
        <w:t xml:space="preserve">The practice of dividing harta sepencarian has been </w:t>
      </w:r>
      <w:r w:rsidR="004803CC" w:rsidRPr="00551164">
        <w:rPr>
          <w:rFonts w:asciiTheme="majorBidi" w:hAnsiTheme="majorBidi" w:cstheme="majorBidi"/>
          <w:color w:val="000000" w:themeColor="text1"/>
          <w:sz w:val="24"/>
          <w:szCs w:val="24"/>
        </w:rPr>
        <w:t xml:space="preserve">practiced </w:t>
      </w:r>
      <w:r w:rsidRPr="00551164">
        <w:rPr>
          <w:rFonts w:asciiTheme="majorBidi" w:hAnsiTheme="majorBidi" w:cstheme="majorBidi"/>
          <w:color w:val="000000" w:themeColor="text1"/>
          <w:sz w:val="24"/>
          <w:szCs w:val="24"/>
        </w:rPr>
        <w:t xml:space="preserve">implemented for a long time in the Malay community in Malaysia. In fact, it is also </w:t>
      </w:r>
      <w:r w:rsidR="004803CC" w:rsidRPr="00551164">
        <w:rPr>
          <w:rFonts w:asciiTheme="majorBidi" w:hAnsiTheme="majorBidi" w:cstheme="majorBidi"/>
          <w:color w:val="000000" w:themeColor="text1"/>
          <w:sz w:val="24"/>
          <w:szCs w:val="24"/>
        </w:rPr>
        <w:t>practiced</w:t>
      </w:r>
      <w:r w:rsidRPr="00551164">
        <w:rPr>
          <w:rFonts w:asciiTheme="majorBidi" w:hAnsiTheme="majorBidi" w:cstheme="majorBidi"/>
          <w:color w:val="000000" w:themeColor="text1"/>
          <w:sz w:val="24"/>
          <w:szCs w:val="24"/>
        </w:rPr>
        <w:t xml:space="preserve"> by the </w:t>
      </w:r>
      <w:r w:rsidRPr="00551164">
        <w:rPr>
          <w:rFonts w:asciiTheme="majorBidi" w:hAnsiTheme="majorBidi" w:cstheme="majorBidi"/>
          <w:color w:val="000000" w:themeColor="text1"/>
          <w:sz w:val="24"/>
          <w:szCs w:val="24"/>
        </w:rPr>
        <w:lastRenderedPageBreak/>
        <w:t>indigenous people of Sabah and Sarawak</w:t>
      </w:r>
      <w:r w:rsidR="003F56F0" w:rsidRPr="00551164">
        <w:rPr>
          <w:rStyle w:val="FootnoteReference"/>
          <w:rFonts w:asciiTheme="majorBidi" w:hAnsiTheme="majorBidi"/>
          <w:color w:val="000000" w:themeColor="text1"/>
          <w:sz w:val="24"/>
          <w:szCs w:val="24"/>
        </w:rPr>
        <w:footnoteReference w:id="1"/>
      </w:r>
      <w:r w:rsidRPr="00551164">
        <w:rPr>
          <w:rFonts w:asciiTheme="majorBidi" w:hAnsiTheme="majorBidi" w:cstheme="majorBidi"/>
          <w:color w:val="000000" w:themeColor="text1"/>
          <w:sz w:val="24"/>
          <w:szCs w:val="24"/>
        </w:rPr>
        <w:t xml:space="preserve">. Often, discussions related to matrimonial property in Malaysia will usually revolve around customary practices </w:t>
      </w:r>
      <w:r w:rsidR="004803CC" w:rsidRPr="00551164">
        <w:rPr>
          <w:rFonts w:asciiTheme="majorBidi" w:hAnsiTheme="majorBidi" w:cstheme="majorBidi"/>
          <w:color w:val="000000" w:themeColor="text1"/>
          <w:sz w:val="24"/>
          <w:szCs w:val="24"/>
        </w:rPr>
        <w:t xml:space="preserve">practiced </w:t>
      </w:r>
      <w:r w:rsidRPr="00551164">
        <w:rPr>
          <w:rFonts w:asciiTheme="majorBidi" w:hAnsiTheme="majorBidi" w:cstheme="majorBidi"/>
          <w:color w:val="000000" w:themeColor="text1"/>
          <w:sz w:val="24"/>
          <w:szCs w:val="24"/>
        </w:rPr>
        <w:t>observed in Malaysian society</w:t>
      </w:r>
      <w:r w:rsidR="007F4638" w:rsidRPr="00551164">
        <w:rPr>
          <w:rStyle w:val="FootnoteReference"/>
          <w:rFonts w:asciiTheme="majorBidi" w:hAnsiTheme="majorBidi"/>
          <w:color w:val="000000" w:themeColor="text1"/>
          <w:sz w:val="24"/>
          <w:szCs w:val="24"/>
        </w:rPr>
        <w:footnoteReference w:id="2"/>
      </w:r>
      <w:r w:rsidRPr="00551164">
        <w:rPr>
          <w:rFonts w:asciiTheme="majorBidi" w:hAnsiTheme="majorBidi" w:cstheme="majorBidi"/>
          <w:color w:val="000000" w:themeColor="text1"/>
          <w:sz w:val="24"/>
          <w:szCs w:val="24"/>
        </w:rPr>
        <w:t>. Scholars who discuss customary practices will usually refer to Perpatih custom and Temenggung custom. This is because references related to matrimonial property in Malaysia are usually made to these two customs despite the fact that other tribes, such as the natives (those who are not descended from the Malay community) also coincidentally use the same custom. In fact, the Malay communities in the archipelago such as in Indonesia</w:t>
      </w:r>
      <w:r w:rsidR="00796980" w:rsidRPr="00551164">
        <w:rPr>
          <w:rStyle w:val="FootnoteReference"/>
          <w:rFonts w:asciiTheme="majorBidi" w:hAnsiTheme="majorBidi"/>
          <w:color w:val="000000" w:themeColor="text1"/>
          <w:sz w:val="24"/>
          <w:szCs w:val="24"/>
        </w:rPr>
        <w:footnoteReference w:id="3"/>
      </w:r>
      <w:r w:rsidRPr="00551164">
        <w:rPr>
          <w:rFonts w:asciiTheme="majorBidi" w:hAnsiTheme="majorBidi" w:cstheme="majorBidi"/>
          <w:color w:val="000000" w:themeColor="text1"/>
          <w:sz w:val="24"/>
          <w:szCs w:val="24"/>
        </w:rPr>
        <w:t xml:space="preserve"> Singapore and Brunei (Fatwa Mufti of the National Government Brunei, series 2/73 and </w:t>
      </w:r>
      <w:r w:rsidR="00BC1643" w:rsidRPr="00551164">
        <w:rPr>
          <w:rFonts w:asciiTheme="majorBidi" w:hAnsiTheme="majorBidi" w:cstheme="majorBidi"/>
          <w:color w:val="000000" w:themeColor="text1"/>
          <w:sz w:val="24"/>
          <w:szCs w:val="24"/>
        </w:rPr>
        <w:t>supra</w:t>
      </w:r>
      <w:r w:rsidRPr="00551164">
        <w:rPr>
          <w:rFonts w:asciiTheme="majorBidi" w:hAnsiTheme="majorBidi" w:cstheme="majorBidi"/>
          <w:color w:val="000000" w:themeColor="text1"/>
          <w:sz w:val="24"/>
          <w:szCs w:val="24"/>
        </w:rPr>
        <w:t xml:space="preserve">, 394) also </w:t>
      </w:r>
      <w:r w:rsidR="004803CC" w:rsidRPr="00551164">
        <w:rPr>
          <w:rFonts w:asciiTheme="majorBidi" w:hAnsiTheme="majorBidi" w:cstheme="majorBidi"/>
          <w:color w:val="000000" w:themeColor="text1"/>
          <w:sz w:val="24"/>
          <w:szCs w:val="24"/>
        </w:rPr>
        <w:t>practice</w:t>
      </w:r>
      <w:r w:rsidRPr="00551164">
        <w:rPr>
          <w:rFonts w:asciiTheme="majorBidi" w:hAnsiTheme="majorBidi" w:cstheme="majorBidi"/>
          <w:color w:val="000000" w:themeColor="text1"/>
          <w:sz w:val="24"/>
          <w:szCs w:val="24"/>
        </w:rPr>
        <w:t xml:space="preserve"> the division of matrimonial property</w:t>
      </w:r>
      <w:r w:rsidR="00145B78" w:rsidRPr="00551164">
        <w:rPr>
          <w:rStyle w:val="FootnoteReference"/>
          <w:rFonts w:asciiTheme="majorBidi" w:hAnsiTheme="majorBidi"/>
          <w:color w:val="000000" w:themeColor="text1"/>
          <w:sz w:val="24"/>
          <w:szCs w:val="24"/>
        </w:rPr>
        <w:footnoteReference w:id="4"/>
      </w:r>
      <w:r w:rsidRPr="00551164">
        <w:rPr>
          <w:rFonts w:asciiTheme="majorBidi" w:hAnsiTheme="majorBidi" w:cstheme="majorBidi"/>
          <w:color w:val="000000" w:themeColor="text1"/>
          <w:sz w:val="24"/>
          <w:szCs w:val="24"/>
        </w:rPr>
        <w:t xml:space="preserve"> as one of the claims entitled to be made in the Syariah Court in the event of a divorce between husband and wife. In fact, in addition to going through the process of claims in court, claims for </w:t>
      </w:r>
      <w:r w:rsidRPr="00736281">
        <w:rPr>
          <w:rFonts w:asciiTheme="majorBidi" w:hAnsiTheme="majorBidi" w:cstheme="majorBidi"/>
          <w:i/>
          <w:iCs/>
          <w:color w:val="000000" w:themeColor="text1"/>
          <w:sz w:val="24"/>
          <w:szCs w:val="24"/>
        </w:rPr>
        <w:t>harta sepencarian</w:t>
      </w:r>
      <w:r w:rsidRPr="00551164">
        <w:rPr>
          <w:rFonts w:asciiTheme="majorBidi" w:hAnsiTheme="majorBidi" w:cstheme="majorBidi"/>
          <w:color w:val="000000" w:themeColor="text1"/>
          <w:sz w:val="24"/>
          <w:szCs w:val="24"/>
        </w:rPr>
        <w:t xml:space="preserve"> are also among the majority of claim cases after divorce that are often resolved through the Majlis Sulh</w:t>
      </w:r>
      <w:r w:rsidR="00503F61" w:rsidRPr="00551164">
        <w:rPr>
          <w:rStyle w:val="FootnoteReference"/>
          <w:rFonts w:asciiTheme="majorBidi" w:hAnsiTheme="majorBidi"/>
          <w:color w:val="000000" w:themeColor="text1"/>
          <w:sz w:val="24"/>
          <w:szCs w:val="24"/>
        </w:rPr>
        <w:footnoteReference w:id="5"/>
      </w:r>
      <w:r w:rsidRPr="00551164">
        <w:rPr>
          <w:rFonts w:asciiTheme="majorBidi" w:hAnsiTheme="majorBidi" w:cstheme="majorBidi"/>
          <w:color w:val="000000" w:themeColor="text1"/>
          <w:sz w:val="24"/>
          <w:szCs w:val="24"/>
        </w:rPr>
        <w:t>.</w:t>
      </w:r>
    </w:p>
    <w:p w14:paraId="2F03D5AF" w14:textId="42AFAF09" w:rsidR="007D13BE" w:rsidRDefault="00246BE3" w:rsidP="007D13BE">
      <w:pPr>
        <w:spacing w:before="120" w:after="120" w:line="240" w:lineRule="auto"/>
        <w:ind w:firstLine="720"/>
        <w:jc w:val="both"/>
        <w:rPr>
          <w:rFonts w:asciiTheme="majorBidi" w:hAnsiTheme="majorBidi" w:cstheme="majorBidi"/>
          <w:color w:val="000000" w:themeColor="text1"/>
          <w:sz w:val="24"/>
          <w:szCs w:val="24"/>
        </w:rPr>
      </w:pPr>
      <w:r w:rsidRPr="00551164">
        <w:rPr>
          <w:rFonts w:asciiTheme="majorBidi" w:hAnsiTheme="majorBidi" w:cstheme="majorBidi"/>
          <w:color w:val="000000" w:themeColor="text1"/>
          <w:sz w:val="24"/>
          <w:szCs w:val="24"/>
        </w:rPr>
        <w:t xml:space="preserve">The concept </w:t>
      </w:r>
      <w:r w:rsidR="004803CC" w:rsidRPr="00551164">
        <w:rPr>
          <w:rFonts w:asciiTheme="majorBidi" w:hAnsiTheme="majorBidi" w:cstheme="majorBidi"/>
          <w:color w:val="000000" w:themeColor="text1"/>
          <w:sz w:val="24"/>
          <w:szCs w:val="24"/>
        </w:rPr>
        <w:t>practiced</w:t>
      </w:r>
      <w:r w:rsidRPr="00551164">
        <w:rPr>
          <w:rFonts w:asciiTheme="majorBidi" w:hAnsiTheme="majorBidi" w:cstheme="majorBidi"/>
          <w:color w:val="000000" w:themeColor="text1"/>
          <w:sz w:val="24"/>
          <w:szCs w:val="24"/>
        </w:rPr>
        <w:t xml:space="preserve"> in matrimonial property is in line with Islamic teachings that does not differentiate the level of property management by men and women. This is different from the practice for other societies such as Arab society or in early English law</w:t>
      </w:r>
      <w:r w:rsidR="00CD1AE4" w:rsidRPr="00551164">
        <w:rPr>
          <w:rStyle w:val="FootnoteReference"/>
          <w:rFonts w:asciiTheme="majorBidi" w:hAnsiTheme="majorBidi"/>
          <w:color w:val="000000" w:themeColor="text1"/>
          <w:sz w:val="24"/>
          <w:szCs w:val="24"/>
        </w:rPr>
        <w:footnoteReference w:id="6"/>
      </w:r>
      <w:r w:rsidRPr="00551164">
        <w:rPr>
          <w:rFonts w:asciiTheme="majorBidi" w:hAnsiTheme="majorBidi" w:cstheme="majorBidi"/>
          <w:color w:val="000000" w:themeColor="text1"/>
          <w:sz w:val="24"/>
          <w:szCs w:val="24"/>
        </w:rPr>
        <w:t>. This is because the concept of property ownership for married women is different from the English common law principle which states that when a woman marries, her property is included with her husband's property</w:t>
      </w:r>
      <w:r w:rsidR="00731293" w:rsidRPr="00551164">
        <w:rPr>
          <w:rStyle w:val="FootnoteReference"/>
          <w:rFonts w:asciiTheme="majorBidi" w:hAnsiTheme="majorBidi"/>
          <w:color w:val="000000" w:themeColor="text1"/>
          <w:sz w:val="24"/>
          <w:szCs w:val="24"/>
        </w:rPr>
        <w:footnoteReference w:id="7"/>
      </w:r>
      <w:r w:rsidRPr="00551164">
        <w:rPr>
          <w:rFonts w:asciiTheme="majorBidi" w:hAnsiTheme="majorBidi" w:cstheme="majorBidi"/>
          <w:color w:val="000000" w:themeColor="text1"/>
          <w:sz w:val="24"/>
          <w:szCs w:val="24"/>
        </w:rPr>
        <w:t xml:space="preserve">. In other words, women in English society at that time did not have any right to do any property transaction, they could not even own property. This situation differs from the Malay community which has different practices and approaches towards women, especially when it comes to property ownership and management. </w:t>
      </w:r>
      <w:r w:rsidR="004D7F16">
        <w:rPr>
          <w:rFonts w:asciiTheme="majorBidi" w:hAnsiTheme="majorBidi" w:cstheme="majorBidi"/>
          <w:color w:val="000000" w:themeColor="text1"/>
          <w:sz w:val="24"/>
          <w:szCs w:val="24"/>
        </w:rPr>
        <w:t xml:space="preserve">Consequently, </w:t>
      </w:r>
      <w:r w:rsidRPr="00551164">
        <w:rPr>
          <w:rFonts w:asciiTheme="majorBidi" w:hAnsiTheme="majorBidi" w:cstheme="majorBidi"/>
          <w:color w:val="000000" w:themeColor="text1"/>
          <w:sz w:val="24"/>
          <w:szCs w:val="24"/>
        </w:rPr>
        <w:t xml:space="preserve">women in Malay society are given the right to manage property and get the right to divide property during marriage. This writing will highlight local wisdom in the division of </w:t>
      </w:r>
      <w:r w:rsidRPr="00736281">
        <w:rPr>
          <w:rFonts w:asciiTheme="majorBidi" w:hAnsiTheme="majorBidi" w:cstheme="majorBidi"/>
          <w:i/>
          <w:iCs/>
          <w:color w:val="000000" w:themeColor="text1"/>
          <w:sz w:val="24"/>
          <w:szCs w:val="24"/>
        </w:rPr>
        <w:t>harta sepencarian</w:t>
      </w:r>
      <w:r w:rsidRPr="00551164">
        <w:rPr>
          <w:rFonts w:asciiTheme="majorBidi" w:hAnsiTheme="majorBidi" w:cstheme="majorBidi"/>
          <w:color w:val="000000" w:themeColor="text1"/>
          <w:sz w:val="24"/>
          <w:szCs w:val="24"/>
        </w:rPr>
        <w:t xml:space="preserve"> which will show the recognition of the Malay community towards the rights and contributions given by women and at the same time still defend the rights of men</w:t>
      </w:r>
      <w:r w:rsidR="007D13BE">
        <w:rPr>
          <w:rFonts w:asciiTheme="majorBidi" w:hAnsiTheme="majorBidi" w:cstheme="majorBidi"/>
          <w:color w:val="000000" w:themeColor="text1"/>
          <w:sz w:val="24"/>
          <w:szCs w:val="24"/>
        </w:rPr>
        <w:t>.</w:t>
      </w:r>
    </w:p>
    <w:p w14:paraId="144D04E5" w14:textId="55C3DAA4" w:rsidR="00B64F40" w:rsidRDefault="006A5BD4" w:rsidP="00B64F40">
      <w:pPr>
        <w:spacing w:before="120" w:after="120" w:line="24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Numerous</w:t>
      </w:r>
      <w:r w:rsidR="00036B14">
        <w:rPr>
          <w:rFonts w:asciiTheme="majorBidi" w:hAnsiTheme="majorBidi" w:cstheme="majorBidi"/>
          <w:color w:val="000000" w:themeColor="text1"/>
          <w:sz w:val="24"/>
          <w:szCs w:val="24"/>
        </w:rPr>
        <w:t xml:space="preserve"> similar studies explain that </w:t>
      </w:r>
      <w:r w:rsidR="00F77B2C">
        <w:rPr>
          <w:rFonts w:ascii="Times New Roman" w:hAnsi="Times New Roman" w:cs="Times New Roman"/>
          <w:sz w:val="24"/>
          <w:szCs w:val="24"/>
        </w:rPr>
        <w:t>l</w:t>
      </w:r>
      <w:r w:rsidR="00F0559D" w:rsidRPr="00F0559D">
        <w:rPr>
          <w:rFonts w:ascii="Times New Roman" w:hAnsi="Times New Roman" w:cs="Times New Roman"/>
          <w:sz w:val="24"/>
          <w:szCs w:val="24"/>
        </w:rPr>
        <w:t>ocal wisdom plays a significant role in property division, especially in the context of </w:t>
      </w:r>
      <w:hyperlink r:id="rId11" w:history="1">
        <w:r w:rsidR="00F0559D" w:rsidRPr="00F0559D">
          <w:rPr>
            <w:rFonts w:ascii="Times New Roman" w:hAnsi="Times New Roman" w:cs="Times New Roman"/>
            <w:sz w:val="24"/>
            <w:szCs w:val="24"/>
          </w:rPr>
          <w:t>Malaysia</w:t>
        </w:r>
      </w:hyperlink>
      <w:r w:rsidR="00F0559D" w:rsidRPr="00F0559D">
        <w:rPr>
          <w:rFonts w:ascii="Times New Roman" w:hAnsi="Times New Roman" w:cs="Times New Roman"/>
          <w:sz w:val="24"/>
          <w:szCs w:val="24"/>
        </w:rPr>
        <w:t>. Islamic </w:t>
      </w:r>
      <w:hyperlink r:id="rId12" w:history="1">
        <w:r w:rsidR="00F0559D" w:rsidRPr="00F0559D">
          <w:rPr>
            <w:rFonts w:ascii="Times New Roman" w:hAnsi="Times New Roman" w:cs="Times New Roman"/>
            <w:sz w:val="24"/>
            <w:szCs w:val="24"/>
          </w:rPr>
          <w:t>inheritance</w:t>
        </w:r>
      </w:hyperlink>
      <w:r w:rsidR="00F0559D" w:rsidRPr="00F0559D">
        <w:rPr>
          <w:rFonts w:ascii="Times New Roman" w:hAnsi="Times New Roman" w:cs="Times New Roman"/>
          <w:sz w:val="24"/>
          <w:szCs w:val="24"/>
        </w:rPr>
        <w:t xml:space="preserve"> law, as outlined in the Qur'an and Hadith, governs the distribution of property among descendants </w:t>
      </w:r>
      <w:r w:rsidR="00F0559D" w:rsidRPr="00F0559D">
        <w:rPr>
          <w:rFonts w:ascii="Times New Roman" w:hAnsi="Times New Roman" w:cs="Times New Roman"/>
          <w:sz w:val="24"/>
          <w:szCs w:val="24"/>
        </w:rPr>
        <w:lastRenderedPageBreak/>
        <w:t>of children and siblings</w:t>
      </w:r>
      <w:r w:rsidR="00CE6FCA">
        <w:rPr>
          <w:rStyle w:val="FootnoteReference"/>
          <w:rFonts w:ascii="Times New Roman" w:hAnsi="Times New Roman"/>
          <w:sz w:val="24"/>
          <w:szCs w:val="24"/>
        </w:rPr>
        <w:footnoteReference w:id="8"/>
      </w:r>
      <w:r w:rsidR="00F0559D" w:rsidRPr="00F0559D">
        <w:rPr>
          <w:rFonts w:ascii="Times New Roman" w:hAnsi="Times New Roman" w:cs="Times New Roman"/>
          <w:sz w:val="24"/>
          <w:szCs w:val="24"/>
        </w:rPr>
        <w:t>. This legal framework intersects with local customs and traditions, creating a complex landscape for property division. The incorporation of local wisdom, such as eco</w:t>
      </w:r>
      <w:r w:rsidR="00245096">
        <w:rPr>
          <w:rFonts w:ascii="Times New Roman" w:hAnsi="Times New Roman" w:cs="Times New Roman"/>
          <w:sz w:val="24"/>
          <w:szCs w:val="24"/>
        </w:rPr>
        <w:t>-</w:t>
      </w:r>
      <w:r w:rsidR="00F0559D" w:rsidRPr="00F0559D">
        <w:rPr>
          <w:rFonts w:ascii="Times New Roman" w:hAnsi="Times New Roman" w:cs="Times New Roman"/>
          <w:sz w:val="24"/>
          <w:szCs w:val="24"/>
        </w:rPr>
        <w:t>literacy and </w:t>
      </w:r>
      <w:hyperlink r:id="rId13" w:history="1">
        <w:r w:rsidR="00F0559D" w:rsidRPr="00F0559D">
          <w:rPr>
            <w:rFonts w:ascii="Times New Roman" w:hAnsi="Times New Roman" w:cs="Times New Roman"/>
            <w:sz w:val="24"/>
            <w:szCs w:val="24"/>
          </w:rPr>
          <w:t>community participation</w:t>
        </w:r>
      </w:hyperlink>
      <w:r w:rsidR="00F0559D" w:rsidRPr="00F0559D">
        <w:rPr>
          <w:rFonts w:ascii="Times New Roman" w:hAnsi="Times New Roman" w:cs="Times New Roman"/>
          <w:sz w:val="24"/>
          <w:szCs w:val="24"/>
        </w:rPr>
        <w:t>, can help address issues like </w:t>
      </w:r>
      <w:hyperlink r:id="rId14" w:history="1">
        <w:r w:rsidR="00F0559D" w:rsidRPr="00F0559D">
          <w:rPr>
            <w:rFonts w:ascii="Times New Roman" w:hAnsi="Times New Roman" w:cs="Times New Roman"/>
            <w:sz w:val="24"/>
            <w:szCs w:val="24"/>
          </w:rPr>
          <w:t>illegal mining</w:t>
        </w:r>
      </w:hyperlink>
      <w:r w:rsidR="00F0559D" w:rsidRPr="00F0559D">
        <w:rPr>
          <w:rFonts w:ascii="Times New Roman" w:hAnsi="Times New Roman" w:cs="Times New Roman"/>
          <w:sz w:val="24"/>
          <w:szCs w:val="24"/>
        </w:rPr>
        <w:t> and environmental concerns. In the context of marital property division, there is an ongoing debate regarding the rights of spouses and the division of assets acquired during the marriage</w:t>
      </w:r>
      <w:r w:rsidR="0037096D">
        <w:rPr>
          <w:rStyle w:val="FootnoteReference"/>
          <w:rFonts w:ascii="Times New Roman" w:hAnsi="Times New Roman"/>
          <w:sz w:val="24"/>
          <w:szCs w:val="24"/>
        </w:rPr>
        <w:footnoteReference w:id="9"/>
      </w:r>
      <w:r w:rsidR="00F0559D" w:rsidRPr="00F0559D">
        <w:rPr>
          <w:rFonts w:ascii="Times New Roman" w:hAnsi="Times New Roman" w:cs="Times New Roman"/>
          <w:sz w:val="24"/>
          <w:szCs w:val="24"/>
        </w:rPr>
        <w:t>. While inheritance plays a role in property distribution, the focus is on assets acquired together during the marriage, excluding gifts and inheritance. In Malaysia, foreign investment is regulated, with caps on ownership shares in most sectors, although 100% foreign ownership is permitted in the manufacturing sector</w:t>
      </w:r>
      <w:r w:rsidR="0037096D">
        <w:rPr>
          <w:rStyle w:val="FootnoteReference"/>
          <w:rFonts w:ascii="Times New Roman" w:hAnsi="Times New Roman"/>
          <w:sz w:val="24"/>
          <w:szCs w:val="24"/>
        </w:rPr>
        <w:footnoteReference w:id="10"/>
      </w:r>
      <w:r w:rsidR="00F0559D" w:rsidRPr="00F0559D">
        <w:rPr>
          <w:rFonts w:ascii="Times New Roman" w:hAnsi="Times New Roman" w:cs="Times New Roman"/>
          <w:sz w:val="24"/>
          <w:szCs w:val="24"/>
        </w:rPr>
        <w:t>. This regulatory framework impacts property ownership and division within the country. Overall, the legal perspective on property division in Malaysia is influenced by Islamic inheritance law, local customs, and regulatory frameworks governing foreign investment. The incorporation of local wisdom and community participation is essential in addressing property division issues and ensuring </w:t>
      </w:r>
      <w:hyperlink r:id="rId15" w:history="1">
        <w:r w:rsidR="00F0559D" w:rsidRPr="00F0559D">
          <w:rPr>
            <w:rFonts w:ascii="Times New Roman" w:hAnsi="Times New Roman" w:cs="Times New Roman"/>
            <w:sz w:val="24"/>
            <w:szCs w:val="24"/>
          </w:rPr>
          <w:t>sustainable development</w:t>
        </w:r>
      </w:hyperlink>
      <w:r w:rsidR="00C8502A">
        <w:rPr>
          <w:rStyle w:val="FootnoteReference"/>
          <w:rFonts w:ascii="Times New Roman" w:hAnsi="Times New Roman"/>
          <w:sz w:val="24"/>
          <w:szCs w:val="24"/>
        </w:rPr>
        <w:footnoteReference w:id="11"/>
      </w:r>
      <w:r w:rsidR="00F0559D" w:rsidRPr="00F0559D">
        <w:rPr>
          <w:rFonts w:ascii="Times New Roman" w:hAnsi="Times New Roman" w:cs="Times New Roman"/>
          <w:sz w:val="24"/>
          <w:szCs w:val="24"/>
        </w:rPr>
        <w:t>.</w:t>
      </w:r>
    </w:p>
    <w:p w14:paraId="5235DDE4" w14:textId="78D84387" w:rsidR="00B64F40" w:rsidRPr="00B64F40" w:rsidRDefault="00B64F40" w:rsidP="00B64F40">
      <w:pPr>
        <w:spacing w:before="120" w:after="120" w:line="240" w:lineRule="auto"/>
        <w:ind w:firstLine="720"/>
        <w:jc w:val="both"/>
        <w:rPr>
          <w:rFonts w:ascii="Times New Roman" w:hAnsi="Times New Roman" w:cs="Times New Roman"/>
          <w:color w:val="000000" w:themeColor="text1"/>
          <w:sz w:val="24"/>
          <w:szCs w:val="24"/>
        </w:rPr>
      </w:pPr>
      <w:r w:rsidRPr="00B64F40">
        <w:rPr>
          <w:rFonts w:ascii="Times New Roman" w:hAnsi="Times New Roman" w:cs="Times New Roman"/>
          <w:sz w:val="24"/>
          <w:szCs w:val="24"/>
        </w:rPr>
        <w:t xml:space="preserve">This study aims to explore the practice of dividing </w:t>
      </w:r>
      <w:r w:rsidRPr="00B64F40">
        <w:rPr>
          <w:rFonts w:ascii="Times New Roman" w:hAnsi="Times New Roman" w:cs="Times New Roman"/>
          <w:i/>
          <w:iCs/>
          <w:sz w:val="24"/>
          <w:szCs w:val="24"/>
        </w:rPr>
        <w:t>harta sepencarian</w:t>
      </w:r>
      <w:r w:rsidRPr="00B64F40">
        <w:rPr>
          <w:rFonts w:ascii="Times New Roman" w:hAnsi="Times New Roman" w:cs="Times New Roman"/>
          <w:sz w:val="24"/>
          <w:szCs w:val="24"/>
        </w:rPr>
        <w:t xml:space="preserve"> (matrimonial property) within the Malay community and indigenous groups in Malaysia, and compare it with similar practices in Indonesia. The primary focus is to understand how local values, such as the Perpatih and Temenggung customs, are influenced by Islamic teachings regarding the rights and responsibilities of spouses in property division during marriage. Unlike legal systems such as English common law or Arab society, which historically placed restrictions on women's property rights, the Malay community grants women equal rights to manage property and participate in the division of assets following divorce. This study highlights how women's rights in the context of matrimonial property division are respected within the framework of local customs and Islamic law in Malaysia, while still maintaining a fair balance of men’s rights.</w:t>
      </w:r>
    </w:p>
    <w:p w14:paraId="2F802286" w14:textId="760D84E8" w:rsidR="00B64F40" w:rsidRPr="00B64F40" w:rsidRDefault="00B64F40" w:rsidP="00B64F40">
      <w:pPr>
        <w:spacing w:before="120" w:after="120" w:line="240" w:lineRule="auto"/>
        <w:ind w:firstLine="720"/>
        <w:jc w:val="both"/>
        <w:rPr>
          <w:rFonts w:ascii="Times New Roman" w:hAnsi="Times New Roman" w:cs="Times New Roman"/>
          <w:color w:val="000000" w:themeColor="text1"/>
          <w:sz w:val="24"/>
          <w:szCs w:val="24"/>
        </w:rPr>
      </w:pPr>
      <w:r w:rsidRPr="00B64F40">
        <w:rPr>
          <w:rFonts w:ascii="Times New Roman" w:hAnsi="Times New Roman" w:cs="Times New Roman"/>
          <w:sz w:val="24"/>
          <w:szCs w:val="24"/>
        </w:rPr>
        <w:t xml:space="preserve">The contribution of this research lies in enriching the discourse on property rights within the Malay community, emphasizing the role of </w:t>
      </w:r>
      <w:r w:rsidRPr="00B64F40">
        <w:rPr>
          <w:rFonts w:ascii="Times New Roman" w:hAnsi="Times New Roman" w:cs="Times New Roman"/>
          <w:i/>
          <w:iCs/>
          <w:sz w:val="24"/>
          <w:szCs w:val="24"/>
        </w:rPr>
        <w:t>local wisdom</w:t>
      </w:r>
      <w:r w:rsidRPr="00B64F40">
        <w:rPr>
          <w:rFonts w:ascii="Times New Roman" w:hAnsi="Times New Roman" w:cs="Times New Roman"/>
          <w:sz w:val="24"/>
          <w:szCs w:val="24"/>
        </w:rPr>
        <w:t xml:space="preserve"> that supports gender equality in managing joint property during marriage. It also seeks to provide deeper insights into how Islamic teachings are integrated with local customs, comparing this approach to legal systems in other countries. As such, the study not only enhances understanding of property division practices in Malaysia but also contributes to potential reforms in legal policies related to asset distribution after divorce, particularly through mediation mechanisms like </w:t>
      </w:r>
      <w:r w:rsidRPr="00B64F40">
        <w:rPr>
          <w:rFonts w:ascii="Times New Roman" w:hAnsi="Times New Roman" w:cs="Times New Roman"/>
          <w:i/>
          <w:iCs/>
          <w:sz w:val="24"/>
          <w:szCs w:val="24"/>
        </w:rPr>
        <w:t>Majlis Sulh</w:t>
      </w:r>
      <w:r w:rsidRPr="00B64F40">
        <w:rPr>
          <w:rFonts w:ascii="Times New Roman" w:hAnsi="Times New Roman" w:cs="Times New Roman"/>
          <w:sz w:val="24"/>
          <w:szCs w:val="24"/>
        </w:rPr>
        <w:t>.</w:t>
      </w:r>
    </w:p>
    <w:p w14:paraId="61B93316" w14:textId="77777777" w:rsidR="00B64F40" w:rsidRPr="00B64F40" w:rsidRDefault="00B64F40" w:rsidP="00B64F40">
      <w:pPr>
        <w:autoSpaceDE w:val="0"/>
        <w:autoSpaceDN w:val="0"/>
        <w:adjustRightInd w:val="0"/>
        <w:spacing w:after="0" w:line="240" w:lineRule="auto"/>
        <w:rPr>
          <w:rFonts w:ascii="Times New Roman" w:hAnsi="Times New Roman" w:cs="Times New Roman"/>
          <w:sz w:val="24"/>
          <w:szCs w:val="24"/>
        </w:rPr>
      </w:pPr>
      <w:r w:rsidRPr="00B64F40">
        <w:rPr>
          <w:rFonts w:ascii="Times New Roman" w:hAnsi="Times New Roman" w:cs="Times New Roman"/>
          <w:sz w:val="24"/>
          <w:szCs w:val="24"/>
        </w:rPr>
        <w:t> </w:t>
      </w:r>
    </w:p>
    <w:p w14:paraId="075E7618" w14:textId="330ADDF4" w:rsidR="00036B14" w:rsidRPr="00B64F40" w:rsidRDefault="00036B14" w:rsidP="00925D9C">
      <w:pPr>
        <w:spacing w:before="120" w:after="120" w:line="240" w:lineRule="auto"/>
        <w:ind w:firstLine="720"/>
        <w:jc w:val="both"/>
        <w:rPr>
          <w:rFonts w:ascii="Times New Roman" w:hAnsi="Times New Roman" w:cs="Times New Roman"/>
          <w:color w:val="000000" w:themeColor="text1"/>
          <w:sz w:val="24"/>
          <w:szCs w:val="24"/>
        </w:rPr>
      </w:pPr>
    </w:p>
    <w:p w14:paraId="1B6D2A75" w14:textId="77777777" w:rsidR="00F66EF1" w:rsidRDefault="00F66EF1" w:rsidP="00925D9C">
      <w:pPr>
        <w:spacing w:before="120" w:after="120" w:line="240" w:lineRule="auto"/>
        <w:ind w:firstLine="720"/>
        <w:jc w:val="both"/>
        <w:rPr>
          <w:rFonts w:asciiTheme="majorBidi" w:hAnsiTheme="majorBidi" w:cstheme="majorBidi"/>
          <w:color w:val="000000" w:themeColor="text1"/>
          <w:sz w:val="24"/>
          <w:szCs w:val="24"/>
        </w:rPr>
      </w:pPr>
    </w:p>
    <w:p w14:paraId="12C3962B" w14:textId="77777777" w:rsidR="001707E8" w:rsidRDefault="001707E8" w:rsidP="00246BE3">
      <w:pPr>
        <w:spacing w:before="120" w:after="120" w:line="240" w:lineRule="auto"/>
        <w:jc w:val="both"/>
        <w:rPr>
          <w:rFonts w:ascii="Times New Roman" w:eastAsia="Times New Roman" w:hAnsi="Times New Roman" w:cs="Times New Roman"/>
          <w:b/>
          <w:color w:val="000000" w:themeColor="text1"/>
          <w:sz w:val="24"/>
          <w:szCs w:val="24"/>
        </w:rPr>
      </w:pPr>
    </w:p>
    <w:p w14:paraId="0437644C" w14:textId="51505B18" w:rsidR="00C82956" w:rsidRPr="00551164" w:rsidRDefault="007F76D2" w:rsidP="00246BE3">
      <w:pPr>
        <w:spacing w:before="120" w:after="120" w:line="240" w:lineRule="auto"/>
        <w:jc w:val="both"/>
        <w:rPr>
          <w:rFonts w:ascii="Times New Roman" w:eastAsia="Times New Roman" w:hAnsi="Times New Roman" w:cs="Times New Roman"/>
          <w:b/>
          <w:color w:val="000000" w:themeColor="text1"/>
          <w:sz w:val="24"/>
          <w:szCs w:val="24"/>
        </w:rPr>
      </w:pPr>
      <w:r w:rsidRPr="00551164">
        <w:rPr>
          <w:rFonts w:ascii="Times New Roman" w:eastAsia="Times New Roman" w:hAnsi="Times New Roman" w:cs="Times New Roman"/>
          <w:b/>
          <w:color w:val="000000" w:themeColor="text1"/>
          <w:sz w:val="24"/>
          <w:szCs w:val="24"/>
        </w:rPr>
        <w:t>Method</w:t>
      </w:r>
    </w:p>
    <w:p w14:paraId="5C0F64F1" w14:textId="14E58C5D" w:rsidR="00C82956" w:rsidRPr="00551164" w:rsidRDefault="007F76D2">
      <w:pPr>
        <w:spacing w:before="120" w:after="120" w:line="240" w:lineRule="auto"/>
        <w:jc w:val="both"/>
        <w:rPr>
          <w:rFonts w:ascii="Times New Roman" w:eastAsia="Times New Roman" w:hAnsi="Times New Roman" w:cs="Times New Roman"/>
          <w:color w:val="000000" w:themeColor="text1"/>
          <w:sz w:val="24"/>
          <w:szCs w:val="24"/>
        </w:rPr>
      </w:pPr>
      <w:r w:rsidRPr="00551164">
        <w:rPr>
          <w:rFonts w:ascii="Times New Roman" w:eastAsia="Times New Roman" w:hAnsi="Times New Roman" w:cs="Times New Roman"/>
          <w:color w:val="000000" w:themeColor="text1"/>
          <w:sz w:val="24"/>
          <w:szCs w:val="24"/>
        </w:rPr>
        <w:t xml:space="preserve">The </w:t>
      </w:r>
      <w:r w:rsidR="00E22AD8">
        <w:rPr>
          <w:rFonts w:ascii="Times New Roman" w:eastAsia="Times New Roman" w:hAnsi="Times New Roman" w:cs="Times New Roman"/>
          <w:color w:val="000000" w:themeColor="text1"/>
          <w:sz w:val="24"/>
          <w:szCs w:val="24"/>
        </w:rPr>
        <w:t xml:space="preserve">research </w:t>
      </w:r>
      <w:r w:rsidR="002F154C">
        <w:rPr>
          <w:rFonts w:ascii="Times New Roman" w:eastAsia="Times New Roman" w:hAnsi="Times New Roman" w:cs="Times New Roman"/>
          <w:color w:val="000000" w:themeColor="text1"/>
          <w:sz w:val="24"/>
          <w:szCs w:val="24"/>
        </w:rPr>
        <w:t>employs normative legal research</w:t>
      </w:r>
      <w:r w:rsidR="00A067E6">
        <w:rPr>
          <w:rStyle w:val="FootnoteReference"/>
          <w:rFonts w:ascii="Times New Roman" w:eastAsia="Times New Roman" w:hAnsi="Times New Roman"/>
          <w:color w:val="000000" w:themeColor="text1"/>
          <w:sz w:val="24"/>
          <w:szCs w:val="24"/>
        </w:rPr>
        <w:footnoteReference w:id="12"/>
      </w:r>
      <w:r w:rsidR="002F154C">
        <w:rPr>
          <w:rFonts w:ascii="Times New Roman" w:eastAsia="Times New Roman" w:hAnsi="Times New Roman" w:cs="Times New Roman"/>
          <w:color w:val="000000" w:themeColor="text1"/>
          <w:sz w:val="24"/>
          <w:szCs w:val="24"/>
        </w:rPr>
        <w:t xml:space="preserve"> to explore the local </w:t>
      </w:r>
      <w:r w:rsidR="00074F41">
        <w:rPr>
          <w:rFonts w:ascii="Times New Roman" w:eastAsia="Times New Roman" w:hAnsi="Times New Roman" w:cs="Times New Roman"/>
          <w:color w:val="000000" w:themeColor="text1"/>
          <w:sz w:val="24"/>
          <w:szCs w:val="24"/>
        </w:rPr>
        <w:t>perspective</w:t>
      </w:r>
      <w:r w:rsidR="002F154C">
        <w:rPr>
          <w:rFonts w:ascii="Times New Roman" w:eastAsia="Times New Roman" w:hAnsi="Times New Roman" w:cs="Times New Roman"/>
          <w:color w:val="000000" w:themeColor="text1"/>
          <w:sz w:val="24"/>
          <w:szCs w:val="24"/>
        </w:rPr>
        <w:t xml:space="preserve"> guiding the division of </w:t>
      </w:r>
      <w:r w:rsidR="002F154C" w:rsidRPr="00736281">
        <w:rPr>
          <w:rFonts w:ascii="Times New Roman" w:eastAsia="Times New Roman" w:hAnsi="Times New Roman" w:cs="Times New Roman"/>
          <w:i/>
          <w:iCs/>
          <w:color w:val="000000" w:themeColor="text1"/>
          <w:sz w:val="24"/>
          <w:szCs w:val="24"/>
        </w:rPr>
        <w:t>harta sepencaharian</w:t>
      </w:r>
      <w:r w:rsidR="002F154C">
        <w:rPr>
          <w:rFonts w:ascii="Times New Roman" w:eastAsia="Times New Roman" w:hAnsi="Times New Roman" w:cs="Times New Roman"/>
          <w:color w:val="000000" w:themeColor="text1"/>
          <w:sz w:val="24"/>
          <w:szCs w:val="24"/>
        </w:rPr>
        <w:t xml:space="preserve"> (</w:t>
      </w:r>
      <w:r w:rsidR="001F4C2E">
        <w:rPr>
          <w:rFonts w:ascii="Times New Roman" w:eastAsia="Times New Roman" w:hAnsi="Times New Roman" w:cs="Times New Roman"/>
          <w:color w:val="000000" w:themeColor="text1"/>
          <w:sz w:val="24"/>
          <w:szCs w:val="24"/>
        </w:rPr>
        <w:t>joint property</w:t>
      </w:r>
      <w:r w:rsidR="002F154C">
        <w:rPr>
          <w:rFonts w:ascii="Times New Roman" w:eastAsia="Times New Roman" w:hAnsi="Times New Roman" w:cs="Times New Roman"/>
          <w:color w:val="000000" w:themeColor="text1"/>
          <w:sz w:val="24"/>
          <w:szCs w:val="24"/>
        </w:rPr>
        <w:t>)</w:t>
      </w:r>
      <w:r w:rsidR="001F4C2E">
        <w:rPr>
          <w:rFonts w:ascii="Times New Roman" w:eastAsia="Times New Roman" w:hAnsi="Times New Roman" w:cs="Times New Roman"/>
          <w:color w:val="000000" w:themeColor="text1"/>
          <w:sz w:val="24"/>
          <w:szCs w:val="24"/>
        </w:rPr>
        <w:t xml:space="preserve"> </w:t>
      </w:r>
      <w:r w:rsidR="00914D8C">
        <w:rPr>
          <w:rFonts w:ascii="Times New Roman" w:eastAsia="Times New Roman" w:hAnsi="Times New Roman" w:cs="Times New Roman"/>
          <w:color w:val="000000" w:themeColor="text1"/>
          <w:sz w:val="24"/>
          <w:szCs w:val="24"/>
        </w:rPr>
        <w:t xml:space="preserve">within the Malay community in Malaysia. The study uses </w:t>
      </w:r>
      <w:r w:rsidR="008D106B">
        <w:rPr>
          <w:rFonts w:ascii="Times New Roman" w:eastAsia="Times New Roman" w:hAnsi="Times New Roman" w:cs="Times New Roman"/>
          <w:color w:val="000000" w:themeColor="text1"/>
          <w:sz w:val="24"/>
          <w:szCs w:val="24"/>
        </w:rPr>
        <w:t xml:space="preserve">statue approach and conceptual approach, </w:t>
      </w:r>
      <w:r w:rsidR="00787CF6">
        <w:rPr>
          <w:rFonts w:ascii="Times New Roman" w:eastAsia="Times New Roman" w:hAnsi="Times New Roman" w:cs="Times New Roman"/>
          <w:color w:val="000000" w:themeColor="text1"/>
          <w:sz w:val="24"/>
          <w:szCs w:val="24"/>
        </w:rPr>
        <w:t xml:space="preserve">the </w:t>
      </w:r>
      <w:r w:rsidR="00074F41">
        <w:rPr>
          <w:rFonts w:ascii="Times New Roman" w:eastAsia="Times New Roman" w:hAnsi="Times New Roman" w:cs="Times New Roman"/>
          <w:color w:val="000000" w:themeColor="text1"/>
          <w:sz w:val="24"/>
          <w:szCs w:val="24"/>
        </w:rPr>
        <w:t>statutory</w:t>
      </w:r>
      <w:r w:rsidR="00787CF6">
        <w:rPr>
          <w:rFonts w:ascii="Times New Roman" w:eastAsia="Times New Roman" w:hAnsi="Times New Roman" w:cs="Times New Roman"/>
          <w:color w:val="000000" w:themeColor="text1"/>
          <w:sz w:val="24"/>
          <w:szCs w:val="24"/>
        </w:rPr>
        <w:t xml:space="preserve"> method looks at things based on rules, principles and the law, while the </w:t>
      </w:r>
      <w:r w:rsidR="00074F41">
        <w:rPr>
          <w:rFonts w:ascii="Times New Roman" w:eastAsia="Times New Roman" w:hAnsi="Times New Roman" w:cs="Times New Roman"/>
          <w:color w:val="000000" w:themeColor="text1"/>
          <w:sz w:val="24"/>
          <w:szCs w:val="24"/>
        </w:rPr>
        <w:t>conceptual</w:t>
      </w:r>
      <w:r w:rsidR="00787CF6">
        <w:rPr>
          <w:rFonts w:ascii="Times New Roman" w:eastAsia="Times New Roman" w:hAnsi="Times New Roman" w:cs="Times New Roman"/>
          <w:color w:val="000000" w:themeColor="text1"/>
          <w:sz w:val="24"/>
          <w:szCs w:val="24"/>
        </w:rPr>
        <w:t xml:space="preserve"> </w:t>
      </w:r>
      <w:r w:rsidR="00074F41">
        <w:rPr>
          <w:rFonts w:ascii="Times New Roman" w:eastAsia="Times New Roman" w:hAnsi="Times New Roman" w:cs="Times New Roman"/>
          <w:color w:val="000000" w:themeColor="text1"/>
          <w:sz w:val="24"/>
          <w:szCs w:val="24"/>
        </w:rPr>
        <w:t>method</w:t>
      </w:r>
      <w:r w:rsidR="00787CF6">
        <w:rPr>
          <w:rFonts w:ascii="Times New Roman" w:eastAsia="Times New Roman" w:hAnsi="Times New Roman" w:cs="Times New Roman"/>
          <w:color w:val="000000" w:themeColor="text1"/>
          <w:sz w:val="24"/>
          <w:szCs w:val="24"/>
        </w:rPr>
        <w:t xml:space="preserve"> is based on Islamic law and general law doctrines to make ideas, legal concepts, and legal principles clear that are important to the problem being studied. There were both direct and secondary sources in the data</w:t>
      </w:r>
      <w:r w:rsidR="00F4697F">
        <w:rPr>
          <w:rFonts w:ascii="Times New Roman" w:eastAsia="Times New Roman" w:hAnsi="Times New Roman" w:cs="Times New Roman"/>
          <w:color w:val="000000" w:themeColor="text1"/>
          <w:sz w:val="24"/>
          <w:szCs w:val="24"/>
        </w:rPr>
        <w:t>. The first data came from fatwa, customary law and the second data from related books, journals and article. Document study also called literature study was used to collect data. This is a way to gather written law materials analysis. This method is also beneficial for establishing a theoretical foundation by examining laws and regulations, books, documents, reports, archives and other research results, both printed and electronic, that pertain to the distribution of joint property for husband and wife in Malaysia</w:t>
      </w:r>
      <w:r w:rsidR="000B4F0E">
        <w:rPr>
          <w:rFonts w:ascii="Times New Roman" w:eastAsia="Times New Roman" w:hAnsi="Times New Roman" w:cs="Times New Roman"/>
          <w:color w:val="000000" w:themeColor="text1"/>
          <w:sz w:val="24"/>
          <w:szCs w:val="24"/>
        </w:rPr>
        <w:t>.</w:t>
      </w:r>
    </w:p>
    <w:p w14:paraId="55A04745" w14:textId="77777777" w:rsidR="00C82956" w:rsidRPr="00551164" w:rsidRDefault="007F76D2">
      <w:pPr>
        <w:spacing w:before="120" w:after="120" w:line="240" w:lineRule="auto"/>
        <w:jc w:val="both"/>
        <w:rPr>
          <w:rFonts w:ascii="Times New Roman" w:eastAsia="Times New Roman" w:hAnsi="Times New Roman" w:cs="Times New Roman"/>
          <w:b/>
          <w:color w:val="000000" w:themeColor="text1"/>
          <w:sz w:val="24"/>
          <w:szCs w:val="24"/>
        </w:rPr>
      </w:pPr>
      <w:r w:rsidRPr="00551164">
        <w:rPr>
          <w:rFonts w:ascii="Times New Roman" w:eastAsia="Times New Roman" w:hAnsi="Times New Roman" w:cs="Times New Roman"/>
          <w:b/>
          <w:color w:val="000000" w:themeColor="text1"/>
          <w:sz w:val="24"/>
          <w:szCs w:val="24"/>
        </w:rPr>
        <w:t>Result and Discussion</w:t>
      </w:r>
    </w:p>
    <w:p w14:paraId="30A828AF" w14:textId="5AC87E01" w:rsidR="003B7FF3" w:rsidRPr="00551164" w:rsidRDefault="003B7FF3" w:rsidP="00504A9A">
      <w:pPr>
        <w:spacing w:after="0" w:line="240" w:lineRule="auto"/>
        <w:ind w:firstLine="720"/>
        <w:jc w:val="both"/>
        <w:rPr>
          <w:rFonts w:asciiTheme="majorBidi" w:hAnsiTheme="majorBidi" w:cstheme="majorBidi"/>
          <w:b/>
          <w:bCs/>
          <w:color w:val="000000" w:themeColor="text1"/>
          <w:sz w:val="24"/>
          <w:szCs w:val="24"/>
        </w:rPr>
      </w:pPr>
      <w:r w:rsidRPr="00551164">
        <w:rPr>
          <w:rFonts w:asciiTheme="majorBidi" w:hAnsiTheme="majorBidi" w:cstheme="majorBidi"/>
          <w:b/>
          <w:bCs/>
          <w:color w:val="000000" w:themeColor="text1"/>
          <w:sz w:val="24"/>
          <w:szCs w:val="24"/>
        </w:rPr>
        <w:t>Socio-Culture and Position of Women in Malay Society</w:t>
      </w:r>
    </w:p>
    <w:p w14:paraId="00EC073A" w14:textId="4F0962D0" w:rsidR="003975B2" w:rsidRDefault="002C3447" w:rsidP="00504A9A">
      <w:pPr>
        <w:spacing w:after="0" w:line="24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Malay society’s identity is shaped by a combination of religious adherence, traditional custom (adat), and historical influence</w:t>
      </w:r>
      <w:r w:rsidR="00CF106B" w:rsidRPr="00551164">
        <w:rPr>
          <w:rStyle w:val="FootnoteReference"/>
          <w:rFonts w:asciiTheme="majorBidi" w:eastAsia="Times New Roman" w:hAnsiTheme="majorBidi"/>
          <w:color w:val="000000" w:themeColor="text1"/>
          <w:sz w:val="24"/>
          <w:szCs w:val="24"/>
          <w:lang w:val="en"/>
        </w:rPr>
        <w:footnoteReference w:id="13"/>
      </w:r>
      <w:r>
        <w:rPr>
          <w:rFonts w:asciiTheme="majorBidi" w:hAnsiTheme="majorBidi" w:cstheme="majorBidi"/>
          <w:color w:val="000000" w:themeColor="text1"/>
          <w:sz w:val="24"/>
          <w:szCs w:val="24"/>
        </w:rPr>
        <w:t>. These cultural pillars dictate perceptions of gender roles, property rights, and dispute resolution mechanisms, particularly in the context of matrimonial property division, Islam functions as a primary influence in the social framework of malay communities</w:t>
      </w:r>
      <w:r w:rsidR="00CF106B" w:rsidRPr="00551164">
        <w:rPr>
          <w:rStyle w:val="FootnoteReference"/>
          <w:rFonts w:asciiTheme="majorBidi" w:hAnsiTheme="majorBidi"/>
          <w:color w:val="000000" w:themeColor="text1"/>
          <w:sz w:val="24"/>
        </w:rPr>
        <w:footnoteReference w:id="14"/>
      </w:r>
      <w:r w:rsidR="00CF106B" w:rsidRPr="00551164">
        <w:rPr>
          <w:rFonts w:asciiTheme="majorBidi" w:hAnsiTheme="majorBidi"/>
          <w:color w:val="000000" w:themeColor="text1"/>
          <w:sz w:val="24"/>
        </w:rPr>
        <w:t>.</w:t>
      </w:r>
      <w:r w:rsidR="00CF106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Simultaneously, adat – a customary legal system – operates in tandem with Islamic tenets, often prioritizing communal harmony and </w:t>
      </w:r>
      <w:r w:rsidR="00C14039">
        <w:rPr>
          <w:rFonts w:asciiTheme="majorBidi" w:hAnsiTheme="majorBidi" w:cstheme="majorBidi"/>
          <w:color w:val="000000" w:themeColor="text1"/>
          <w:sz w:val="24"/>
          <w:szCs w:val="24"/>
        </w:rPr>
        <w:t>familial</w:t>
      </w:r>
      <w:r>
        <w:rPr>
          <w:rFonts w:asciiTheme="majorBidi" w:hAnsiTheme="majorBidi" w:cstheme="majorBidi"/>
          <w:color w:val="000000" w:themeColor="text1"/>
          <w:sz w:val="24"/>
          <w:szCs w:val="24"/>
        </w:rPr>
        <w:t xml:space="preserve"> obligations over rigid legalistic approaches. </w:t>
      </w:r>
    </w:p>
    <w:p w14:paraId="25378EEA" w14:textId="1CE81335" w:rsidR="002C3447" w:rsidRDefault="00592EF7" w:rsidP="00504A9A">
      <w:pPr>
        <w:spacing w:after="0" w:line="24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For example, regions such as Negeri Sembilan practice Adat Perpatih, a matrilineal system granting significant inheritance rights to women. This aligns more closely with conventional Islamic practices. Colonial rule introduces statutory legal system that coexisted</w:t>
      </w:r>
      <w:r w:rsidR="00CF106B" w:rsidRPr="00551164">
        <w:rPr>
          <w:rStyle w:val="FootnoteReference"/>
          <w:rFonts w:asciiTheme="majorBidi" w:hAnsiTheme="majorBidi"/>
          <w:color w:val="000000" w:themeColor="text1"/>
          <w:sz w:val="24"/>
        </w:rPr>
        <w:footnoteReference w:id="15"/>
      </w:r>
      <w:r>
        <w:rPr>
          <w:rFonts w:asciiTheme="majorBidi" w:hAnsiTheme="majorBidi" w:cstheme="majorBidi"/>
          <w:color w:val="000000" w:themeColor="text1"/>
          <w:sz w:val="24"/>
          <w:szCs w:val="24"/>
        </w:rPr>
        <w:t xml:space="preserve">. Over time, </w:t>
      </w:r>
      <w:r w:rsidR="00BB39A1">
        <w:rPr>
          <w:rFonts w:asciiTheme="majorBidi" w:hAnsiTheme="majorBidi" w:cstheme="majorBidi"/>
          <w:color w:val="000000" w:themeColor="text1"/>
          <w:sz w:val="24"/>
          <w:szCs w:val="24"/>
        </w:rPr>
        <w:t>Malaysia’s</w:t>
      </w:r>
      <w:r>
        <w:rPr>
          <w:rFonts w:asciiTheme="majorBidi" w:hAnsiTheme="majorBidi" w:cstheme="majorBidi"/>
          <w:color w:val="000000" w:themeColor="text1"/>
          <w:sz w:val="24"/>
          <w:szCs w:val="24"/>
        </w:rPr>
        <w:t xml:space="preserve"> legal landscape sought to balance this overlapping system, but remnants of patriarchal inter</w:t>
      </w:r>
      <w:r w:rsidR="00C14039">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rPr>
        <w:t xml:space="preserve">retations persist. This historical layering complicates the consistent application of joint property division frameworks. </w:t>
      </w:r>
    </w:p>
    <w:p w14:paraId="68A49ADA" w14:textId="4C6DDC30" w:rsidR="002F081B" w:rsidRPr="000A004F" w:rsidRDefault="002F081B" w:rsidP="000A004F">
      <w:pPr>
        <w:spacing w:after="0" w:line="240" w:lineRule="auto"/>
        <w:ind w:firstLine="720"/>
        <w:jc w:val="both"/>
        <w:rPr>
          <w:rFonts w:asciiTheme="majorBidi" w:hAnsiTheme="majorBidi"/>
          <w:color w:val="000000" w:themeColor="text1"/>
          <w:sz w:val="24"/>
        </w:rPr>
      </w:pPr>
      <w:r>
        <w:rPr>
          <w:rFonts w:asciiTheme="majorBidi" w:hAnsiTheme="majorBidi" w:cstheme="majorBidi"/>
          <w:color w:val="000000" w:themeColor="text1"/>
          <w:sz w:val="24"/>
          <w:szCs w:val="24"/>
        </w:rPr>
        <w:t xml:space="preserve">Despite </w:t>
      </w:r>
      <w:r w:rsidR="00C14039">
        <w:rPr>
          <w:rFonts w:asciiTheme="majorBidi" w:hAnsiTheme="majorBidi" w:cstheme="majorBidi"/>
          <w:color w:val="000000" w:themeColor="text1"/>
          <w:sz w:val="24"/>
          <w:szCs w:val="24"/>
        </w:rPr>
        <w:t>societal</w:t>
      </w:r>
      <w:r>
        <w:rPr>
          <w:rFonts w:asciiTheme="majorBidi" w:hAnsiTheme="majorBidi" w:cstheme="majorBidi"/>
          <w:color w:val="000000" w:themeColor="text1"/>
          <w:sz w:val="24"/>
          <w:szCs w:val="24"/>
        </w:rPr>
        <w:t xml:space="preserve"> progress, women in Malaysia society continue to navigate entrenched gender expectations influenced by religion and tradition</w:t>
      </w:r>
      <w:r w:rsidR="00CF106B" w:rsidRPr="00551164">
        <w:rPr>
          <w:rStyle w:val="FootnoteReference"/>
          <w:rFonts w:asciiTheme="majorBidi" w:hAnsiTheme="majorBidi"/>
          <w:color w:val="000000" w:themeColor="text1"/>
          <w:sz w:val="24"/>
        </w:rPr>
        <w:footnoteReference w:id="16"/>
      </w:r>
      <w:r>
        <w:rPr>
          <w:rFonts w:asciiTheme="majorBidi" w:hAnsiTheme="majorBidi" w:cstheme="majorBidi"/>
          <w:color w:val="000000" w:themeColor="text1"/>
          <w:sz w:val="24"/>
          <w:szCs w:val="24"/>
        </w:rPr>
        <w:t xml:space="preserve">. This </w:t>
      </w:r>
      <w:r w:rsidR="0043424A">
        <w:rPr>
          <w:rFonts w:asciiTheme="majorBidi" w:hAnsiTheme="majorBidi" w:cstheme="majorBidi"/>
          <w:color w:val="000000" w:themeColor="text1"/>
          <w:sz w:val="24"/>
          <w:szCs w:val="24"/>
        </w:rPr>
        <w:t>dual</w:t>
      </w:r>
      <w:r>
        <w:rPr>
          <w:rFonts w:asciiTheme="majorBidi" w:hAnsiTheme="majorBidi" w:cstheme="majorBidi"/>
          <w:color w:val="000000" w:themeColor="text1"/>
          <w:sz w:val="24"/>
          <w:szCs w:val="24"/>
        </w:rPr>
        <w:t xml:space="preserve"> influence </w:t>
      </w:r>
      <w:r>
        <w:rPr>
          <w:rFonts w:asciiTheme="majorBidi" w:hAnsiTheme="majorBidi" w:cstheme="majorBidi"/>
          <w:color w:val="000000" w:themeColor="text1"/>
          <w:sz w:val="24"/>
          <w:szCs w:val="24"/>
        </w:rPr>
        <w:lastRenderedPageBreak/>
        <w:t xml:space="preserve">manifest in both social and legal contexts. </w:t>
      </w:r>
      <w:r w:rsidR="0037358E">
        <w:rPr>
          <w:rFonts w:asciiTheme="majorBidi" w:hAnsiTheme="majorBidi" w:cstheme="majorBidi"/>
          <w:color w:val="000000" w:themeColor="text1"/>
          <w:sz w:val="24"/>
          <w:szCs w:val="24"/>
        </w:rPr>
        <w:t xml:space="preserve">Traditionally, women are </w:t>
      </w:r>
      <w:r w:rsidR="00DF1220">
        <w:rPr>
          <w:rFonts w:asciiTheme="majorBidi" w:hAnsiTheme="majorBidi" w:cstheme="majorBidi"/>
          <w:color w:val="000000" w:themeColor="text1"/>
          <w:sz w:val="24"/>
          <w:szCs w:val="24"/>
        </w:rPr>
        <w:t>perceived</w:t>
      </w:r>
      <w:r w:rsidR="0037358E">
        <w:rPr>
          <w:rFonts w:asciiTheme="majorBidi" w:hAnsiTheme="majorBidi" w:cstheme="majorBidi"/>
          <w:color w:val="000000" w:themeColor="text1"/>
          <w:sz w:val="24"/>
          <w:szCs w:val="24"/>
        </w:rPr>
        <w:t xml:space="preserve"> as custodians of familial well-being and are entrusted with nurturing influence property ownership narratives, </w:t>
      </w:r>
      <w:r w:rsidR="00B45475">
        <w:rPr>
          <w:rFonts w:asciiTheme="majorBidi" w:hAnsiTheme="majorBidi" w:cstheme="majorBidi"/>
          <w:color w:val="000000" w:themeColor="text1"/>
          <w:sz w:val="24"/>
          <w:szCs w:val="24"/>
        </w:rPr>
        <w:t>were</w:t>
      </w:r>
      <w:r w:rsidR="0037358E">
        <w:rPr>
          <w:rFonts w:asciiTheme="majorBidi" w:hAnsiTheme="majorBidi" w:cstheme="majorBidi"/>
          <w:color w:val="000000" w:themeColor="text1"/>
          <w:sz w:val="24"/>
          <w:szCs w:val="24"/>
        </w:rPr>
        <w:t xml:space="preserve"> women’s contributions, </w:t>
      </w:r>
      <w:r w:rsidR="00B15B64">
        <w:rPr>
          <w:rFonts w:asciiTheme="majorBidi" w:hAnsiTheme="majorBidi" w:cstheme="majorBidi"/>
          <w:color w:val="000000" w:themeColor="text1"/>
          <w:sz w:val="24"/>
          <w:szCs w:val="24"/>
        </w:rPr>
        <w:t>espe</w:t>
      </w:r>
      <w:r w:rsidR="005F71BF">
        <w:rPr>
          <w:rFonts w:asciiTheme="majorBidi" w:hAnsiTheme="majorBidi" w:cstheme="majorBidi"/>
          <w:color w:val="000000" w:themeColor="text1"/>
          <w:sz w:val="24"/>
          <w:szCs w:val="24"/>
        </w:rPr>
        <w:t xml:space="preserve">cially within the </w:t>
      </w:r>
      <w:r w:rsidR="00DF1220">
        <w:rPr>
          <w:rFonts w:asciiTheme="majorBidi" w:hAnsiTheme="majorBidi" w:cstheme="majorBidi"/>
          <w:color w:val="000000" w:themeColor="text1"/>
          <w:sz w:val="24"/>
          <w:szCs w:val="24"/>
        </w:rPr>
        <w:t>domestic</w:t>
      </w:r>
      <w:r w:rsidR="005F71BF">
        <w:rPr>
          <w:rFonts w:asciiTheme="majorBidi" w:hAnsiTheme="majorBidi" w:cstheme="majorBidi"/>
          <w:color w:val="000000" w:themeColor="text1"/>
          <w:sz w:val="24"/>
          <w:szCs w:val="24"/>
        </w:rPr>
        <w:t xml:space="preserve"> sphere, </w:t>
      </w:r>
      <w:r w:rsidR="00025639">
        <w:rPr>
          <w:rFonts w:asciiTheme="majorBidi" w:hAnsiTheme="majorBidi" w:cstheme="majorBidi"/>
          <w:color w:val="000000" w:themeColor="text1"/>
          <w:sz w:val="24"/>
          <w:szCs w:val="24"/>
        </w:rPr>
        <w:t xml:space="preserve">are often undervalued or overlooked. </w:t>
      </w:r>
      <w:r w:rsidR="00DE3764">
        <w:rPr>
          <w:rFonts w:asciiTheme="majorBidi" w:hAnsiTheme="majorBidi" w:cstheme="majorBidi"/>
          <w:color w:val="000000" w:themeColor="text1"/>
          <w:sz w:val="24"/>
          <w:szCs w:val="24"/>
        </w:rPr>
        <w:t xml:space="preserve">This </w:t>
      </w:r>
      <w:r w:rsidR="00DF1220">
        <w:rPr>
          <w:rFonts w:asciiTheme="majorBidi" w:hAnsiTheme="majorBidi" w:cstheme="majorBidi"/>
          <w:color w:val="000000" w:themeColor="text1"/>
          <w:sz w:val="24"/>
          <w:szCs w:val="24"/>
        </w:rPr>
        <w:t>traditional</w:t>
      </w:r>
      <w:r w:rsidR="00DE3764">
        <w:rPr>
          <w:rFonts w:asciiTheme="majorBidi" w:hAnsiTheme="majorBidi" w:cstheme="majorBidi"/>
          <w:color w:val="000000" w:themeColor="text1"/>
          <w:sz w:val="24"/>
          <w:szCs w:val="24"/>
        </w:rPr>
        <w:t xml:space="preserve"> undervaluation </w:t>
      </w:r>
      <w:r w:rsidR="00DF1220">
        <w:rPr>
          <w:rFonts w:asciiTheme="majorBidi" w:hAnsiTheme="majorBidi" w:cstheme="majorBidi"/>
          <w:color w:val="000000" w:themeColor="text1"/>
          <w:sz w:val="24"/>
          <w:szCs w:val="24"/>
        </w:rPr>
        <w:t>disproportionately</w:t>
      </w:r>
      <w:r w:rsidR="0065090E">
        <w:rPr>
          <w:rFonts w:asciiTheme="majorBidi" w:hAnsiTheme="majorBidi" w:cstheme="majorBidi"/>
          <w:color w:val="000000" w:themeColor="text1"/>
          <w:sz w:val="24"/>
          <w:szCs w:val="24"/>
        </w:rPr>
        <w:t xml:space="preserve"> affects women </w:t>
      </w:r>
      <w:r w:rsidR="00692047">
        <w:rPr>
          <w:rFonts w:asciiTheme="majorBidi" w:hAnsiTheme="majorBidi" w:cstheme="majorBidi"/>
          <w:color w:val="000000" w:themeColor="text1"/>
          <w:sz w:val="24"/>
          <w:szCs w:val="24"/>
        </w:rPr>
        <w:t xml:space="preserve">during property divisions, ad non - monetary contributions – such as homemaking – are harder to </w:t>
      </w:r>
      <w:r w:rsidR="003E0829">
        <w:rPr>
          <w:rFonts w:asciiTheme="majorBidi" w:hAnsiTheme="majorBidi" w:cstheme="majorBidi"/>
          <w:color w:val="000000" w:themeColor="text1"/>
          <w:sz w:val="24"/>
          <w:szCs w:val="24"/>
        </w:rPr>
        <w:t xml:space="preserve">quantify </w:t>
      </w:r>
      <w:r w:rsidR="008F2438">
        <w:rPr>
          <w:rFonts w:asciiTheme="majorBidi" w:hAnsiTheme="majorBidi" w:cstheme="majorBidi"/>
          <w:color w:val="000000" w:themeColor="text1"/>
          <w:sz w:val="24"/>
          <w:szCs w:val="24"/>
        </w:rPr>
        <w:t>compared to financial inputs</w:t>
      </w:r>
      <w:r w:rsidR="000A004F">
        <w:rPr>
          <w:rStyle w:val="FootnoteReference"/>
          <w:rFonts w:asciiTheme="majorBidi" w:hAnsiTheme="majorBidi"/>
          <w:color w:val="000000" w:themeColor="text1"/>
          <w:sz w:val="24"/>
        </w:rPr>
        <w:footnoteReference w:id="17"/>
      </w:r>
      <w:r w:rsidR="000A004F" w:rsidRPr="00551164">
        <w:rPr>
          <w:rFonts w:asciiTheme="majorBidi" w:hAnsiTheme="majorBidi"/>
          <w:color w:val="000000" w:themeColor="text1"/>
          <w:sz w:val="24"/>
        </w:rPr>
        <w:t>.</w:t>
      </w:r>
      <w:r w:rsidR="008F2438">
        <w:rPr>
          <w:rFonts w:asciiTheme="majorBidi" w:hAnsiTheme="majorBidi" w:cstheme="majorBidi"/>
          <w:color w:val="000000" w:themeColor="text1"/>
          <w:sz w:val="24"/>
          <w:szCs w:val="24"/>
        </w:rPr>
        <w:t xml:space="preserve"> </w:t>
      </w:r>
    </w:p>
    <w:p w14:paraId="669B0488" w14:textId="3CE6CFCF" w:rsidR="00C14039" w:rsidRDefault="00DF1220" w:rsidP="00504A9A">
      <w:pPr>
        <w:spacing w:after="0" w:line="24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While Islamic Family Law acknowledged woman’s rights to matrimonial property these rights are typically contingent on demonstrating contributions to the acquisition or maintenance of assets. Judicial interpretations increasingly recognize non-tangible inputs, such as caregiving and household management. However, inconsistencies in enforcement and societal attitudes often undermine these advancements. </w:t>
      </w:r>
    </w:p>
    <w:p w14:paraId="7DBF140F" w14:textId="6E1D4514" w:rsidR="00DF1220" w:rsidRDefault="00220204" w:rsidP="00504A9A">
      <w:pPr>
        <w:spacing w:after="0" w:line="24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Local wisdom, rooted in adat and communal traditions, offers alternative pathways to resolving dispute over matrimonial property</w:t>
      </w:r>
      <w:r w:rsidR="00C435F2">
        <w:rPr>
          <w:rStyle w:val="FootnoteReference"/>
          <w:rFonts w:asciiTheme="majorBidi" w:hAnsiTheme="majorBidi"/>
          <w:color w:val="000000" w:themeColor="text1"/>
          <w:sz w:val="24"/>
        </w:rPr>
        <w:footnoteReference w:id="18"/>
      </w:r>
      <w:r>
        <w:rPr>
          <w:rFonts w:asciiTheme="majorBidi" w:hAnsiTheme="majorBidi" w:cstheme="majorBidi"/>
          <w:color w:val="000000" w:themeColor="text1"/>
          <w:sz w:val="24"/>
          <w:szCs w:val="24"/>
        </w:rPr>
        <w:t>. Adat emp</w:t>
      </w:r>
      <w:r w:rsidR="00657673">
        <w:rPr>
          <w:rFonts w:asciiTheme="majorBidi" w:hAnsiTheme="majorBidi" w:cstheme="majorBidi"/>
          <w:color w:val="000000" w:themeColor="text1"/>
          <w:sz w:val="24"/>
          <w:szCs w:val="24"/>
        </w:rPr>
        <w:t xml:space="preserve">hasizes collective welfare and fairness, advocating for property </w:t>
      </w:r>
      <w:r w:rsidR="000E7BE3">
        <w:rPr>
          <w:rFonts w:asciiTheme="majorBidi" w:hAnsiTheme="majorBidi" w:cstheme="majorBidi"/>
          <w:color w:val="000000" w:themeColor="text1"/>
          <w:sz w:val="24"/>
          <w:szCs w:val="24"/>
        </w:rPr>
        <w:t>settlements</w:t>
      </w:r>
      <w:r w:rsidR="00657673">
        <w:rPr>
          <w:rFonts w:asciiTheme="majorBidi" w:hAnsiTheme="majorBidi" w:cstheme="majorBidi"/>
          <w:color w:val="000000" w:themeColor="text1"/>
          <w:sz w:val="24"/>
          <w:szCs w:val="24"/>
        </w:rPr>
        <w:t xml:space="preserve"> that minimize disruption to familial stability. For instance, retaining a family home for the</w:t>
      </w:r>
      <w:r w:rsidR="006D6356">
        <w:rPr>
          <w:rFonts w:asciiTheme="majorBidi" w:hAnsiTheme="majorBidi" w:cstheme="majorBidi"/>
          <w:color w:val="000000" w:themeColor="text1"/>
          <w:sz w:val="24"/>
          <w:szCs w:val="24"/>
        </w:rPr>
        <w:t xml:space="preserve"> custodial parents – usually the mother</w:t>
      </w:r>
      <w:r w:rsidR="00C435F2">
        <w:rPr>
          <w:rStyle w:val="FootnoteReference"/>
          <w:rFonts w:asciiTheme="majorBidi" w:hAnsiTheme="majorBidi"/>
          <w:color w:val="000000" w:themeColor="text1"/>
          <w:sz w:val="24"/>
        </w:rPr>
        <w:footnoteReference w:id="19"/>
      </w:r>
      <w:r w:rsidR="006D6356">
        <w:rPr>
          <w:rFonts w:asciiTheme="majorBidi" w:hAnsiTheme="majorBidi" w:cstheme="majorBidi"/>
          <w:color w:val="000000" w:themeColor="text1"/>
          <w:sz w:val="24"/>
          <w:szCs w:val="24"/>
        </w:rPr>
        <w:t xml:space="preserve"> – reflects these values, ensuring continuity for children affected by divorce</w:t>
      </w:r>
      <w:r w:rsidR="00331642">
        <w:rPr>
          <w:rStyle w:val="FootnoteReference"/>
          <w:rFonts w:asciiTheme="majorBidi" w:hAnsiTheme="majorBidi"/>
          <w:color w:val="000000" w:themeColor="text1"/>
          <w:sz w:val="24"/>
        </w:rPr>
        <w:footnoteReference w:id="20"/>
      </w:r>
      <w:r w:rsidR="006D6356">
        <w:rPr>
          <w:rFonts w:asciiTheme="majorBidi" w:hAnsiTheme="majorBidi" w:cstheme="majorBidi"/>
          <w:color w:val="000000" w:themeColor="text1"/>
          <w:sz w:val="24"/>
          <w:szCs w:val="24"/>
        </w:rPr>
        <w:t xml:space="preserve">. Mediation led by community elders of family representatives plays a significant role in dispute resolution. These mediators draw upon their understanding </w:t>
      </w:r>
      <w:r w:rsidR="007C277A">
        <w:rPr>
          <w:rFonts w:asciiTheme="majorBidi" w:hAnsiTheme="majorBidi" w:cstheme="majorBidi"/>
          <w:color w:val="000000" w:themeColor="text1"/>
          <w:sz w:val="24"/>
          <w:szCs w:val="24"/>
        </w:rPr>
        <w:t xml:space="preserve">of adat and Islamic ethics to propose solutions that prioritize fairness and compassion, often resolving conflicts </w:t>
      </w:r>
      <w:r w:rsidR="00435714">
        <w:rPr>
          <w:rFonts w:asciiTheme="majorBidi" w:hAnsiTheme="majorBidi" w:cstheme="majorBidi"/>
          <w:color w:val="000000" w:themeColor="text1"/>
          <w:sz w:val="24"/>
          <w:szCs w:val="24"/>
        </w:rPr>
        <w:t>outside</w:t>
      </w:r>
      <w:r w:rsidR="007C277A">
        <w:rPr>
          <w:rFonts w:asciiTheme="majorBidi" w:hAnsiTheme="majorBidi" w:cstheme="majorBidi"/>
          <w:color w:val="000000" w:themeColor="text1"/>
          <w:sz w:val="24"/>
          <w:szCs w:val="24"/>
        </w:rPr>
        <w:t xml:space="preserve"> formal judicial processes</w:t>
      </w:r>
      <w:r w:rsidR="007E6CF9">
        <w:rPr>
          <w:rStyle w:val="FootnoteReference"/>
          <w:rFonts w:asciiTheme="majorBidi" w:hAnsiTheme="majorBidi"/>
          <w:color w:val="000000" w:themeColor="text1"/>
          <w:sz w:val="24"/>
        </w:rPr>
        <w:footnoteReference w:id="21"/>
      </w:r>
      <w:r w:rsidR="007C277A">
        <w:rPr>
          <w:rFonts w:asciiTheme="majorBidi" w:hAnsiTheme="majorBidi" w:cstheme="majorBidi"/>
          <w:color w:val="000000" w:themeColor="text1"/>
          <w:sz w:val="24"/>
          <w:szCs w:val="24"/>
        </w:rPr>
        <w:t xml:space="preserve">. </w:t>
      </w:r>
      <w:r w:rsidR="00A424A5">
        <w:rPr>
          <w:rFonts w:asciiTheme="majorBidi" w:hAnsiTheme="majorBidi" w:cstheme="majorBidi"/>
          <w:color w:val="000000" w:themeColor="text1"/>
          <w:sz w:val="24"/>
          <w:szCs w:val="24"/>
        </w:rPr>
        <w:t xml:space="preserve">Regional variations in adat highlight the diversity of local wisdom. In Negeri Sembilan, matrilineal </w:t>
      </w:r>
      <w:r w:rsidR="00410856">
        <w:rPr>
          <w:rFonts w:asciiTheme="majorBidi" w:hAnsiTheme="majorBidi" w:cstheme="majorBidi"/>
          <w:color w:val="000000" w:themeColor="text1"/>
          <w:sz w:val="24"/>
          <w:szCs w:val="24"/>
        </w:rPr>
        <w:t xml:space="preserve">inheritance under Adat Perpatih empowers women’s property claims. In contrast, patriarchal norms dominate other states, limiting women’s access to joint property. This variation underscores the need for nuanced, context-sensitive approaches. </w:t>
      </w:r>
    </w:p>
    <w:p w14:paraId="6AA10200" w14:textId="1C434992" w:rsidR="00435714" w:rsidRDefault="00435714" w:rsidP="00504A9A">
      <w:pPr>
        <w:spacing w:after="0" w:line="24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Indonesia, like Malaysia, is influenced by a blend of Islamic teachings, adat and modern legal structures. However, Indonesia’s socio-cultural and legal </w:t>
      </w:r>
      <w:r w:rsidR="00AE118B">
        <w:rPr>
          <w:rFonts w:asciiTheme="majorBidi" w:hAnsiTheme="majorBidi" w:cstheme="majorBidi"/>
          <w:color w:val="000000" w:themeColor="text1"/>
          <w:sz w:val="24"/>
          <w:szCs w:val="24"/>
        </w:rPr>
        <w:t>approaches exhibit unique destitutions in the treatment of women and property division. The Indonesia adat system in highly diverse, reflecting the country’s multi-ethnic composition. In regions like West Sumatera, where the Minangkabau community practice matrilineal adat, women play a central role in inheriting ancestral property. This practice underscores their importance as custodians of prevalent</w:t>
      </w:r>
      <w:r w:rsidR="00CE1468">
        <w:rPr>
          <w:rFonts w:asciiTheme="majorBidi" w:hAnsiTheme="majorBidi" w:cstheme="majorBidi"/>
          <w:color w:val="000000" w:themeColor="text1"/>
          <w:sz w:val="24"/>
          <w:szCs w:val="24"/>
        </w:rPr>
        <w:t xml:space="preserve"> in other regions, property ownership and decision – making authority are predominantly reserved for men. This dichotomy highlights the variability in women’s socio – economic status across Indonesia. </w:t>
      </w:r>
    </w:p>
    <w:p w14:paraId="5C6A1CA9" w14:textId="76F4456F" w:rsidR="00DF65C2" w:rsidRDefault="005C2300" w:rsidP="00504A9A">
      <w:pPr>
        <w:spacing w:after="0" w:line="24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Indonesia operates under a pluralistic legal framework </w:t>
      </w:r>
      <w:r w:rsidR="001B0AA4">
        <w:rPr>
          <w:rFonts w:asciiTheme="majorBidi" w:hAnsiTheme="majorBidi" w:cstheme="majorBidi"/>
          <w:color w:val="000000" w:themeColor="text1"/>
          <w:sz w:val="24"/>
          <w:szCs w:val="24"/>
        </w:rPr>
        <w:t>comprising Islamic Law, adat law, and statutory civil law</w:t>
      </w:r>
      <w:r w:rsidR="00C966FF">
        <w:rPr>
          <w:rStyle w:val="FootnoteReference"/>
          <w:rFonts w:asciiTheme="majorBidi" w:hAnsiTheme="majorBidi"/>
          <w:color w:val="1F1F1F"/>
          <w:sz w:val="24"/>
        </w:rPr>
        <w:footnoteReference w:id="22"/>
      </w:r>
      <w:r w:rsidR="001B0AA4">
        <w:rPr>
          <w:rFonts w:asciiTheme="majorBidi" w:hAnsiTheme="majorBidi" w:cstheme="majorBidi"/>
          <w:color w:val="000000" w:themeColor="text1"/>
          <w:sz w:val="24"/>
          <w:szCs w:val="24"/>
        </w:rPr>
        <w:t xml:space="preserve">. For Muslim communities, Islamic law governs </w:t>
      </w:r>
      <w:r w:rsidR="001B0AA4">
        <w:rPr>
          <w:rFonts w:asciiTheme="majorBidi" w:hAnsiTheme="majorBidi" w:cstheme="majorBidi"/>
          <w:color w:val="000000" w:themeColor="text1"/>
          <w:sz w:val="24"/>
          <w:szCs w:val="24"/>
        </w:rPr>
        <w:lastRenderedPageBreak/>
        <w:t>matrimonial property, emphasizing equi</w:t>
      </w:r>
      <w:r w:rsidR="00BD4417">
        <w:rPr>
          <w:rFonts w:asciiTheme="majorBidi" w:hAnsiTheme="majorBidi" w:cstheme="majorBidi"/>
          <w:color w:val="000000" w:themeColor="text1"/>
          <w:sz w:val="24"/>
          <w:szCs w:val="24"/>
        </w:rPr>
        <w:t xml:space="preserve">table distribution based on contributions. However, in many rural areas, adat law holds greater sway, often taking precedence over statutory regulations. This reliance on adat can either empower or </w:t>
      </w:r>
      <w:r w:rsidR="00B21CD0">
        <w:rPr>
          <w:rFonts w:asciiTheme="majorBidi" w:hAnsiTheme="majorBidi" w:cstheme="majorBidi"/>
          <w:color w:val="000000" w:themeColor="text1"/>
          <w:sz w:val="24"/>
          <w:szCs w:val="24"/>
        </w:rPr>
        <w:t>marginalize</w:t>
      </w:r>
      <w:r w:rsidR="00BD4417">
        <w:rPr>
          <w:rFonts w:asciiTheme="majorBidi" w:hAnsiTheme="majorBidi" w:cstheme="majorBidi"/>
          <w:color w:val="000000" w:themeColor="text1"/>
          <w:sz w:val="24"/>
          <w:szCs w:val="24"/>
        </w:rPr>
        <w:t xml:space="preserve"> women, depending on regional practices and cultural </w:t>
      </w:r>
      <w:r w:rsidR="00C34FB4">
        <w:rPr>
          <w:rFonts w:asciiTheme="majorBidi" w:hAnsiTheme="majorBidi" w:cstheme="majorBidi"/>
          <w:color w:val="000000" w:themeColor="text1"/>
          <w:sz w:val="24"/>
          <w:szCs w:val="24"/>
        </w:rPr>
        <w:t>norms</w:t>
      </w:r>
      <w:r w:rsidR="00BD4417">
        <w:rPr>
          <w:rFonts w:asciiTheme="majorBidi" w:hAnsiTheme="majorBidi" w:cstheme="majorBidi"/>
          <w:color w:val="000000" w:themeColor="text1"/>
          <w:sz w:val="24"/>
          <w:szCs w:val="24"/>
        </w:rPr>
        <w:t xml:space="preserve">. Women’s roles in Indonesian society are deeply influenced by their adat community’s traditions. </w:t>
      </w:r>
      <w:r w:rsidR="002E49B7">
        <w:rPr>
          <w:rFonts w:asciiTheme="majorBidi" w:hAnsiTheme="majorBidi" w:cstheme="majorBidi"/>
          <w:color w:val="000000" w:themeColor="text1"/>
          <w:sz w:val="24"/>
          <w:szCs w:val="24"/>
        </w:rPr>
        <w:t>In matrilineal societies, women enjoy considerable autonomy and influence, particularly in economic matters</w:t>
      </w:r>
      <w:r w:rsidR="007E6CF9">
        <w:rPr>
          <w:rStyle w:val="FootnoteReference"/>
          <w:rFonts w:asciiTheme="majorBidi" w:hAnsiTheme="majorBidi"/>
          <w:color w:val="1F1F1F"/>
          <w:sz w:val="24"/>
        </w:rPr>
        <w:footnoteReference w:id="23"/>
      </w:r>
      <w:r w:rsidR="002E49B7">
        <w:rPr>
          <w:rFonts w:asciiTheme="majorBidi" w:hAnsiTheme="majorBidi" w:cstheme="majorBidi"/>
          <w:color w:val="000000" w:themeColor="text1"/>
          <w:sz w:val="24"/>
          <w:szCs w:val="24"/>
        </w:rPr>
        <w:t xml:space="preserve">. In contract, women in patrilineal communities often face limitations on their property rights and participation in decision-making. Despite these disparities, modernization and economic pressures have encouraged greater female participation in education and the workforce, mirroring trends seen in Malaysia. </w:t>
      </w:r>
    </w:p>
    <w:p w14:paraId="4ACAFAD7" w14:textId="785A88B7" w:rsidR="0053555F" w:rsidRDefault="00E37F91" w:rsidP="00504A9A">
      <w:pPr>
        <w:spacing w:after="0" w:line="24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Indonesia faces challenges similar to those in Malaysia, including patriarchal biases, insufficient recognition of women’s domestic contributions, and </w:t>
      </w:r>
      <w:r w:rsidR="00C34FB4">
        <w:rPr>
          <w:rFonts w:asciiTheme="majorBidi" w:hAnsiTheme="majorBidi" w:cstheme="majorBidi"/>
          <w:color w:val="000000" w:themeColor="text1"/>
          <w:sz w:val="24"/>
          <w:szCs w:val="24"/>
        </w:rPr>
        <w:t>inconsistencies</w:t>
      </w:r>
      <w:r>
        <w:rPr>
          <w:rFonts w:asciiTheme="majorBidi" w:hAnsiTheme="majorBidi" w:cstheme="majorBidi"/>
          <w:color w:val="000000" w:themeColor="text1"/>
          <w:sz w:val="24"/>
          <w:szCs w:val="24"/>
        </w:rPr>
        <w:t xml:space="preserve"> in legal interpretations</w:t>
      </w:r>
      <w:r w:rsidR="00895327">
        <w:rPr>
          <w:rStyle w:val="FootnoteReference"/>
          <w:rFonts w:asciiTheme="majorBidi" w:hAnsiTheme="majorBidi"/>
          <w:color w:val="1F1F1F"/>
          <w:sz w:val="24"/>
        </w:rPr>
        <w:footnoteReference w:id="24"/>
      </w:r>
      <w:r>
        <w:rPr>
          <w:rFonts w:asciiTheme="majorBidi" w:hAnsiTheme="majorBidi" w:cstheme="majorBidi"/>
          <w:color w:val="000000" w:themeColor="text1"/>
          <w:sz w:val="24"/>
          <w:szCs w:val="24"/>
        </w:rPr>
        <w:t xml:space="preserve">. </w:t>
      </w:r>
      <w:r w:rsidR="008458DE">
        <w:rPr>
          <w:rFonts w:asciiTheme="majorBidi" w:hAnsiTheme="majorBidi" w:cstheme="majorBidi"/>
          <w:color w:val="000000" w:themeColor="text1"/>
          <w:sz w:val="24"/>
          <w:szCs w:val="24"/>
        </w:rPr>
        <w:t xml:space="preserve">However, grassroots initiatives and women’s advocacy groups have emerged as powerful agents of change, promoting gender equity and awareness of women’s rights. These efforts aim to harmonize adat, Islamic, and statutory laws to create more inclusive legal outcomes for women. </w:t>
      </w:r>
    </w:p>
    <w:p w14:paraId="6F463D19" w14:textId="3AEB223D" w:rsidR="009C4907" w:rsidRPr="00C966FF" w:rsidRDefault="00134178" w:rsidP="00C966FF">
      <w:pPr>
        <w:spacing w:after="0" w:line="240" w:lineRule="auto"/>
        <w:ind w:firstLine="567"/>
        <w:jc w:val="both"/>
        <w:rPr>
          <w:rFonts w:asciiTheme="majorBidi" w:hAnsiTheme="majorBidi"/>
          <w:color w:val="1F1F1F"/>
          <w:sz w:val="24"/>
        </w:rPr>
      </w:pPr>
      <w:r>
        <w:rPr>
          <w:rFonts w:asciiTheme="majorBidi" w:hAnsiTheme="majorBidi" w:cstheme="majorBidi"/>
          <w:color w:val="000000" w:themeColor="text1"/>
          <w:sz w:val="24"/>
          <w:szCs w:val="24"/>
        </w:rPr>
        <w:t xml:space="preserve">While local wisdom enriches the legal </w:t>
      </w:r>
      <w:r w:rsidR="00171260">
        <w:rPr>
          <w:rFonts w:asciiTheme="majorBidi" w:hAnsiTheme="majorBidi" w:cstheme="majorBidi"/>
          <w:color w:val="000000" w:themeColor="text1"/>
          <w:sz w:val="24"/>
          <w:szCs w:val="24"/>
        </w:rPr>
        <w:t>discourse</w:t>
      </w:r>
      <w:r>
        <w:rPr>
          <w:rFonts w:asciiTheme="majorBidi" w:hAnsiTheme="majorBidi" w:cstheme="majorBidi"/>
          <w:color w:val="000000" w:themeColor="text1"/>
          <w:sz w:val="24"/>
          <w:szCs w:val="24"/>
        </w:rPr>
        <w:t xml:space="preserve">, its integration with formal systems presents both obstacles and </w:t>
      </w:r>
      <w:r w:rsidR="00171260">
        <w:rPr>
          <w:rFonts w:asciiTheme="majorBidi" w:hAnsiTheme="majorBidi" w:cstheme="majorBidi"/>
          <w:color w:val="000000" w:themeColor="text1"/>
          <w:sz w:val="24"/>
          <w:szCs w:val="24"/>
        </w:rPr>
        <w:t>opportunities</w:t>
      </w:r>
      <w:r>
        <w:rPr>
          <w:rFonts w:asciiTheme="majorBidi" w:hAnsiTheme="majorBidi" w:cstheme="majorBidi"/>
          <w:color w:val="000000" w:themeColor="text1"/>
          <w:sz w:val="24"/>
          <w:szCs w:val="24"/>
        </w:rPr>
        <w:t>. Ambiguity in legal systems, gender inequities</w:t>
      </w:r>
      <w:r w:rsidR="00171260">
        <w:rPr>
          <w:rFonts w:asciiTheme="majorBidi" w:hAnsiTheme="majorBidi" w:cstheme="majorBidi"/>
          <w:color w:val="000000" w:themeColor="text1"/>
          <w:sz w:val="24"/>
          <w:szCs w:val="24"/>
        </w:rPr>
        <w:t xml:space="preserve">, and documentation gaps continue to challenge equitable outcomes. Yet. Efforts to harmonize adat, Islamic law, and statutory regulations, combined </w:t>
      </w:r>
      <w:r w:rsidR="00470913">
        <w:rPr>
          <w:rFonts w:asciiTheme="majorBidi" w:hAnsiTheme="majorBidi" w:cstheme="majorBidi"/>
          <w:color w:val="000000" w:themeColor="text1"/>
          <w:sz w:val="24"/>
          <w:szCs w:val="24"/>
        </w:rPr>
        <w:t>with</w:t>
      </w:r>
      <w:r w:rsidR="00171260">
        <w:rPr>
          <w:rFonts w:asciiTheme="majorBidi" w:hAnsiTheme="majorBidi" w:cstheme="majorBidi"/>
          <w:color w:val="000000" w:themeColor="text1"/>
          <w:sz w:val="24"/>
          <w:szCs w:val="24"/>
        </w:rPr>
        <w:t xml:space="preserve"> </w:t>
      </w:r>
      <w:r w:rsidR="00470913">
        <w:rPr>
          <w:rFonts w:asciiTheme="majorBidi" w:hAnsiTheme="majorBidi" w:cstheme="majorBidi"/>
          <w:color w:val="000000" w:themeColor="text1"/>
          <w:sz w:val="24"/>
          <w:szCs w:val="24"/>
        </w:rPr>
        <w:t>advocacy</w:t>
      </w:r>
      <w:r w:rsidR="00171260">
        <w:rPr>
          <w:rFonts w:asciiTheme="majorBidi" w:hAnsiTheme="majorBidi" w:cstheme="majorBidi"/>
          <w:color w:val="000000" w:themeColor="text1"/>
          <w:sz w:val="24"/>
          <w:szCs w:val="24"/>
        </w:rPr>
        <w:t xml:space="preserve"> for women’s rights and judicial flexibility, offer promising pathways for reform. Raising awar</w:t>
      </w:r>
      <w:r w:rsidR="00626956">
        <w:rPr>
          <w:rFonts w:asciiTheme="majorBidi" w:hAnsiTheme="majorBidi" w:cstheme="majorBidi"/>
          <w:color w:val="000000" w:themeColor="text1"/>
          <w:sz w:val="24"/>
          <w:szCs w:val="24"/>
        </w:rPr>
        <w:t>eness about women’s rights and promoting documentation of contributions can empower women in property disputes</w:t>
      </w:r>
      <w:r w:rsidR="00FF545E">
        <w:rPr>
          <w:rStyle w:val="FootnoteReference"/>
          <w:rFonts w:asciiTheme="majorBidi" w:hAnsiTheme="majorBidi"/>
          <w:color w:val="1F1F1F"/>
          <w:sz w:val="24"/>
        </w:rPr>
        <w:footnoteReference w:id="25"/>
      </w:r>
      <w:r w:rsidR="00626956">
        <w:rPr>
          <w:rFonts w:asciiTheme="majorBidi" w:hAnsiTheme="majorBidi" w:cstheme="majorBidi"/>
          <w:color w:val="000000" w:themeColor="text1"/>
          <w:sz w:val="24"/>
          <w:szCs w:val="24"/>
        </w:rPr>
        <w:t xml:space="preserve">. Court can adapt broader interpretations of “contribution” to include non-financial inputs, fostering gender-equitable outcomes. To advance equity in property division and amplify the role of local wisdom, fairness-driven adat practices should be codified into statutory laws to ensure consistent application. Public awareness campaigns can educate communities on women’s property rights and the importance of recognizing non-monetary contributions. </w:t>
      </w:r>
      <w:r w:rsidR="00470913">
        <w:rPr>
          <w:rFonts w:asciiTheme="majorBidi" w:hAnsiTheme="majorBidi" w:cstheme="majorBidi"/>
          <w:color w:val="000000" w:themeColor="text1"/>
          <w:sz w:val="24"/>
          <w:szCs w:val="24"/>
        </w:rPr>
        <w:t>institutionalized</w:t>
      </w:r>
      <w:r w:rsidR="00E670E5">
        <w:rPr>
          <w:rFonts w:asciiTheme="majorBidi" w:hAnsiTheme="majorBidi" w:cstheme="majorBidi"/>
          <w:color w:val="000000" w:themeColor="text1"/>
          <w:sz w:val="24"/>
          <w:szCs w:val="24"/>
        </w:rPr>
        <w:t xml:space="preserve"> mediation </w:t>
      </w:r>
      <w:r w:rsidR="00D25FE6">
        <w:rPr>
          <w:rFonts w:asciiTheme="majorBidi" w:hAnsiTheme="majorBidi" w:cstheme="majorBidi"/>
          <w:color w:val="000000" w:themeColor="text1"/>
          <w:sz w:val="24"/>
          <w:szCs w:val="24"/>
        </w:rPr>
        <w:t>frameworks</w:t>
      </w:r>
      <w:r w:rsidR="00E670E5">
        <w:rPr>
          <w:rFonts w:asciiTheme="majorBidi" w:hAnsiTheme="majorBidi" w:cstheme="majorBidi"/>
          <w:color w:val="000000" w:themeColor="text1"/>
          <w:sz w:val="24"/>
          <w:szCs w:val="24"/>
        </w:rPr>
        <w:t xml:space="preserve"> integrating adat and Islamic principles can support equitable </w:t>
      </w:r>
      <w:r w:rsidR="00D25FE6">
        <w:rPr>
          <w:rFonts w:asciiTheme="majorBidi" w:hAnsiTheme="majorBidi" w:cstheme="majorBidi"/>
          <w:color w:val="000000" w:themeColor="text1"/>
          <w:sz w:val="24"/>
          <w:szCs w:val="24"/>
        </w:rPr>
        <w:t>dispute</w:t>
      </w:r>
      <w:r w:rsidR="00E670E5">
        <w:rPr>
          <w:rFonts w:asciiTheme="majorBidi" w:hAnsiTheme="majorBidi" w:cstheme="majorBidi"/>
          <w:color w:val="000000" w:themeColor="text1"/>
          <w:sz w:val="24"/>
          <w:szCs w:val="24"/>
        </w:rPr>
        <w:t xml:space="preserve"> resolution</w:t>
      </w:r>
      <w:r w:rsidR="00C966FF">
        <w:rPr>
          <w:rStyle w:val="FootnoteReference"/>
          <w:rFonts w:asciiTheme="majorBidi" w:hAnsiTheme="majorBidi"/>
          <w:color w:val="1F1F1F"/>
          <w:sz w:val="24"/>
        </w:rPr>
        <w:footnoteReference w:id="26"/>
      </w:r>
      <w:r w:rsidR="00E670E5">
        <w:rPr>
          <w:rFonts w:asciiTheme="majorBidi" w:hAnsiTheme="majorBidi" w:cstheme="majorBidi"/>
          <w:color w:val="000000" w:themeColor="text1"/>
          <w:sz w:val="24"/>
          <w:szCs w:val="24"/>
        </w:rPr>
        <w:t>.</w:t>
      </w:r>
      <w:r w:rsidR="00C966FF">
        <w:rPr>
          <w:rFonts w:asciiTheme="majorBidi" w:hAnsiTheme="majorBidi" w:cstheme="majorBidi"/>
          <w:color w:val="000000" w:themeColor="text1"/>
          <w:sz w:val="24"/>
          <w:szCs w:val="24"/>
        </w:rPr>
        <w:t xml:space="preserve"> </w:t>
      </w:r>
      <w:r w:rsidR="00E670E5">
        <w:rPr>
          <w:rFonts w:asciiTheme="majorBidi" w:hAnsiTheme="majorBidi" w:cstheme="majorBidi"/>
          <w:color w:val="000000" w:themeColor="text1"/>
          <w:sz w:val="24"/>
          <w:szCs w:val="24"/>
        </w:rPr>
        <w:t>Additionally, judicial training and comprehensive research into adat practices are critical for informed legal and policy development</w:t>
      </w:r>
      <w:r w:rsidR="00FF545E">
        <w:rPr>
          <w:rStyle w:val="FootnoteReference"/>
          <w:rFonts w:asciiTheme="majorBidi" w:hAnsiTheme="majorBidi"/>
          <w:color w:val="1F1F1F"/>
          <w:sz w:val="24"/>
        </w:rPr>
        <w:footnoteReference w:id="27"/>
      </w:r>
      <w:r w:rsidR="00E670E5">
        <w:rPr>
          <w:rFonts w:asciiTheme="majorBidi" w:hAnsiTheme="majorBidi" w:cstheme="majorBidi"/>
          <w:color w:val="000000" w:themeColor="text1"/>
          <w:sz w:val="24"/>
          <w:szCs w:val="24"/>
        </w:rPr>
        <w:t xml:space="preserve">. </w:t>
      </w:r>
    </w:p>
    <w:p w14:paraId="6C6D53DB" w14:textId="37935995" w:rsidR="00ED750F" w:rsidRPr="00FF545E" w:rsidRDefault="00D25FE6" w:rsidP="00FF545E">
      <w:pPr>
        <w:spacing w:after="0" w:line="240" w:lineRule="auto"/>
        <w:ind w:firstLine="567"/>
        <w:jc w:val="both"/>
        <w:rPr>
          <w:rFonts w:asciiTheme="majorBidi" w:hAnsiTheme="majorBidi"/>
          <w:color w:val="1F1F1F"/>
          <w:sz w:val="24"/>
        </w:rPr>
      </w:pPr>
      <w:r>
        <w:rPr>
          <w:rFonts w:asciiTheme="majorBidi" w:hAnsiTheme="majorBidi" w:cstheme="majorBidi"/>
          <w:color w:val="000000" w:themeColor="text1"/>
          <w:sz w:val="24"/>
          <w:szCs w:val="24"/>
        </w:rPr>
        <w:t>The division of joint property in Malay society reflects a confluence of local wisdom, Islamic teachings, and statutory regulations</w:t>
      </w:r>
      <w:r w:rsidR="00FF545E">
        <w:rPr>
          <w:rStyle w:val="FootnoteReference"/>
          <w:rFonts w:asciiTheme="majorBidi" w:hAnsiTheme="majorBidi"/>
          <w:color w:val="1F1F1F"/>
          <w:sz w:val="24"/>
        </w:rPr>
        <w:footnoteReference w:id="28"/>
      </w:r>
      <w:r>
        <w:rPr>
          <w:rFonts w:asciiTheme="majorBidi" w:hAnsiTheme="majorBidi" w:cstheme="majorBidi"/>
          <w:color w:val="000000" w:themeColor="text1"/>
          <w:sz w:val="24"/>
          <w:szCs w:val="24"/>
        </w:rPr>
        <w:t xml:space="preserve">. While progress has been made in </w:t>
      </w:r>
      <w:r>
        <w:rPr>
          <w:rFonts w:asciiTheme="majorBidi" w:hAnsiTheme="majorBidi" w:cstheme="majorBidi"/>
          <w:color w:val="000000" w:themeColor="text1"/>
          <w:sz w:val="24"/>
          <w:szCs w:val="24"/>
        </w:rPr>
        <w:lastRenderedPageBreak/>
        <w:t>recognizing women’s contributions, significant challenges remain. Local wisdom, with its emphasis on fairness and communal harmony, offers a valuable complement to formal legal systems</w:t>
      </w:r>
      <w:r w:rsidR="00FF545E">
        <w:rPr>
          <w:rStyle w:val="FootnoteReference"/>
          <w:rFonts w:asciiTheme="majorBidi" w:hAnsiTheme="majorBidi"/>
          <w:color w:val="1F1F1F"/>
          <w:sz w:val="24"/>
        </w:rPr>
        <w:footnoteReference w:id="29"/>
      </w:r>
      <w:r>
        <w:rPr>
          <w:rFonts w:asciiTheme="majorBidi" w:hAnsiTheme="majorBidi" w:cstheme="majorBidi"/>
          <w:color w:val="000000" w:themeColor="text1"/>
          <w:sz w:val="24"/>
          <w:szCs w:val="24"/>
        </w:rPr>
        <w:t>. By harmonizing these approaches and addressing systemic gender biases, Malaysia and Indonesia can establish more inclusive and equitable frameworks for matrimonial property divi</w:t>
      </w:r>
      <w:r w:rsidR="00ED750F">
        <w:rPr>
          <w:rFonts w:asciiTheme="majorBidi" w:hAnsiTheme="majorBidi" w:cstheme="majorBidi"/>
          <w:color w:val="000000" w:themeColor="text1"/>
          <w:sz w:val="24"/>
          <w:szCs w:val="24"/>
        </w:rPr>
        <w:t>s</w:t>
      </w:r>
      <w:r>
        <w:rPr>
          <w:rFonts w:asciiTheme="majorBidi" w:hAnsiTheme="majorBidi" w:cstheme="majorBidi"/>
          <w:color w:val="000000" w:themeColor="text1"/>
          <w:sz w:val="24"/>
          <w:szCs w:val="24"/>
        </w:rPr>
        <w:t>ion.</w:t>
      </w:r>
    </w:p>
    <w:p w14:paraId="263105A9" w14:textId="77777777" w:rsidR="00755431" w:rsidRDefault="00755431" w:rsidP="00631580">
      <w:pPr>
        <w:spacing w:after="0" w:line="240" w:lineRule="auto"/>
        <w:jc w:val="both"/>
        <w:rPr>
          <w:rFonts w:asciiTheme="majorBidi" w:hAnsiTheme="majorBidi"/>
          <w:b/>
          <w:color w:val="1F1F1F"/>
          <w:sz w:val="24"/>
        </w:rPr>
      </w:pPr>
    </w:p>
    <w:p w14:paraId="10694EAD" w14:textId="76D654B0" w:rsidR="000D5F3C" w:rsidRPr="00FE6FD4" w:rsidRDefault="00543F0B" w:rsidP="00FE6FD4">
      <w:pPr>
        <w:spacing w:after="0" w:line="240" w:lineRule="auto"/>
        <w:ind w:firstLine="567"/>
        <w:jc w:val="both"/>
        <w:rPr>
          <w:rFonts w:asciiTheme="majorBidi" w:hAnsiTheme="majorBidi"/>
          <w:b/>
          <w:color w:val="1F1F1F"/>
          <w:sz w:val="24"/>
        </w:rPr>
      </w:pPr>
      <w:r w:rsidRPr="00CA5C94">
        <w:rPr>
          <w:rFonts w:asciiTheme="majorBidi" w:hAnsiTheme="majorBidi"/>
          <w:b/>
          <w:color w:val="1F1F1F"/>
          <w:sz w:val="24"/>
        </w:rPr>
        <w:t xml:space="preserve">The Practice of Dividing Property in Malay </w:t>
      </w:r>
      <w:commentRangeStart w:id="0"/>
      <w:r w:rsidRPr="00CA5C94">
        <w:rPr>
          <w:rFonts w:asciiTheme="majorBidi" w:hAnsiTheme="majorBidi"/>
          <w:b/>
          <w:color w:val="1F1F1F"/>
          <w:sz w:val="24"/>
        </w:rPr>
        <w:t>Customs</w:t>
      </w:r>
      <w:commentRangeEnd w:id="0"/>
      <w:r w:rsidR="002A5800">
        <w:rPr>
          <w:rStyle w:val="CommentReference"/>
        </w:rPr>
        <w:commentReference w:id="0"/>
      </w:r>
    </w:p>
    <w:p w14:paraId="0309FF4D" w14:textId="118F92CC" w:rsidR="00543F0B" w:rsidRDefault="00543F0B" w:rsidP="00543F0B">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In the traditional society in the Malay world, customs have dominated the deep relationship between fellow human beings and the surrounding environment; including the natural world, the social world</w:t>
      </w:r>
      <w:r>
        <w:rPr>
          <w:rFonts w:asciiTheme="majorBidi" w:hAnsiTheme="majorBidi"/>
          <w:color w:val="1F1F1F"/>
          <w:sz w:val="24"/>
        </w:rPr>
        <w:t>,</w:t>
      </w:r>
      <w:r w:rsidRPr="00CA5C94">
        <w:rPr>
          <w:rFonts w:asciiTheme="majorBidi" w:hAnsiTheme="majorBidi"/>
          <w:color w:val="1F1F1F"/>
          <w:sz w:val="24"/>
        </w:rPr>
        <w:t xml:space="preserve"> and the supernatural world</w:t>
      </w:r>
      <w:r w:rsidR="004C7D72">
        <w:rPr>
          <w:rStyle w:val="FootnoteReference"/>
          <w:rFonts w:asciiTheme="majorBidi" w:hAnsiTheme="majorBidi"/>
          <w:color w:val="1F1F1F"/>
          <w:sz w:val="24"/>
        </w:rPr>
        <w:footnoteReference w:id="30"/>
      </w:r>
      <w:r w:rsidRPr="00CA5C94">
        <w:rPr>
          <w:rFonts w:asciiTheme="majorBidi" w:hAnsiTheme="majorBidi"/>
          <w:color w:val="1F1F1F"/>
          <w:sz w:val="24"/>
        </w:rPr>
        <w:t>. This kind of relationship is considered customary. Custom appears as a basic structure of the whole life and shows the personality characteristics of a society. Therefore, custom has a sacred story or myth, a brave and superior character of origin, and gives meaning to every event and the flow of human life. Accordingly, every violation, diversion or disregard of their custom will receive a reward or punishment. It is an identity that serves to integrate the whole society and small groups of society.</w:t>
      </w:r>
    </w:p>
    <w:p w14:paraId="3FE8C1CE" w14:textId="0BBEE5EA" w:rsidR="00543F0B" w:rsidRDefault="00543F0B" w:rsidP="00543F0B">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In this framework, custom also becomes a sub-culture as the community differentiates the custom of the people of Kelantan, Melaka, Perak, Johor and so on</w:t>
      </w:r>
      <w:r w:rsidR="00A4385C">
        <w:rPr>
          <w:rFonts w:asciiTheme="majorBidi" w:hAnsiTheme="majorBidi"/>
          <w:color w:val="1F1F1F"/>
          <w:sz w:val="24"/>
        </w:rPr>
        <w:t xml:space="preserve">. </w:t>
      </w:r>
      <w:r w:rsidRPr="00CA5C94">
        <w:rPr>
          <w:rFonts w:asciiTheme="majorBidi" w:hAnsiTheme="majorBidi"/>
          <w:color w:val="1F1F1F"/>
          <w:sz w:val="24"/>
        </w:rPr>
        <w:t>Custom has a function and is also normative (punishment). Both occur within the framework of human-to-human relations, that is, social relations with the natural world and with the metaphysical or symbolic world (the supernatural). Custom has the dimension of habit or nature. This dimension is very difficult to distinguish in daily life practice. This is because custom is seen individually and in family and community groups. The concept of adat in the entire Malay realm is very broad, covering aspects of life such as belief, social relations, law and nature</w:t>
      </w:r>
      <w:r w:rsidR="00A4385C">
        <w:rPr>
          <w:rStyle w:val="FootnoteReference"/>
          <w:rFonts w:asciiTheme="majorBidi" w:hAnsiTheme="majorBidi"/>
          <w:color w:val="1F1F1F"/>
          <w:sz w:val="24"/>
        </w:rPr>
        <w:footnoteReference w:id="31"/>
      </w:r>
      <w:r w:rsidR="00A4385C">
        <w:rPr>
          <w:rFonts w:asciiTheme="majorBidi" w:hAnsiTheme="majorBidi"/>
          <w:color w:val="1F1F1F"/>
          <w:sz w:val="24"/>
        </w:rPr>
        <w:t xml:space="preserve">. </w:t>
      </w:r>
      <w:r w:rsidRPr="00CA5C94">
        <w:rPr>
          <w:rFonts w:asciiTheme="majorBidi" w:hAnsiTheme="majorBidi"/>
          <w:color w:val="1F1F1F"/>
          <w:sz w:val="24"/>
        </w:rPr>
        <w:t xml:space="preserve">When we discuss the customs of the Malay community, there are two customs that greatly influence the Malay community, namely the Temenggung Customs and the Perpatih Customs. Both of these customary laws have </w:t>
      </w:r>
      <w:r w:rsidR="005D37A5" w:rsidRPr="00CA5C94">
        <w:rPr>
          <w:rFonts w:asciiTheme="majorBidi" w:hAnsiTheme="majorBidi"/>
          <w:color w:val="1F1F1F"/>
          <w:sz w:val="24"/>
        </w:rPr>
        <w:t>recogni</w:t>
      </w:r>
      <w:r w:rsidR="005D37A5">
        <w:rPr>
          <w:rFonts w:asciiTheme="majorBidi" w:hAnsiTheme="majorBidi"/>
          <w:color w:val="1F1F1F"/>
          <w:sz w:val="24"/>
        </w:rPr>
        <w:t>z</w:t>
      </w:r>
      <w:r w:rsidR="005D37A5" w:rsidRPr="00CA5C94">
        <w:rPr>
          <w:rFonts w:asciiTheme="majorBidi" w:hAnsiTheme="majorBidi"/>
          <w:color w:val="1F1F1F"/>
          <w:sz w:val="24"/>
        </w:rPr>
        <w:t>ed</w:t>
      </w:r>
      <w:r w:rsidRPr="00CA5C94">
        <w:rPr>
          <w:rFonts w:asciiTheme="majorBidi" w:hAnsiTheme="majorBidi"/>
          <w:color w:val="1F1F1F"/>
          <w:sz w:val="24"/>
        </w:rPr>
        <w:t xml:space="preserve"> the practice of matrimonial property including giving women the right to obtain the right to matrimonial property from their marriage based on the contributions they have made throughout the marriage</w:t>
      </w:r>
      <w:r w:rsidR="00335CF3">
        <w:rPr>
          <w:rStyle w:val="FootnoteReference"/>
          <w:rFonts w:asciiTheme="majorBidi" w:hAnsiTheme="majorBidi"/>
          <w:color w:val="1F1F1F"/>
          <w:sz w:val="24"/>
        </w:rPr>
        <w:footnoteReference w:id="32"/>
      </w:r>
      <w:r w:rsidRPr="00CA5C94">
        <w:rPr>
          <w:rFonts w:asciiTheme="majorBidi" w:hAnsiTheme="majorBidi"/>
          <w:color w:val="1F1F1F"/>
          <w:sz w:val="24"/>
        </w:rPr>
        <w:t>.</w:t>
      </w:r>
    </w:p>
    <w:p w14:paraId="1E4EF5C4" w14:textId="785F97C2" w:rsidR="008858F7" w:rsidRDefault="00543F0B"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As we have discussed</w:t>
      </w:r>
      <w:r>
        <w:rPr>
          <w:rFonts w:asciiTheme="majorBidi" w:eastAsia="Times New Roman" w:hAnsiTheme="majorBidi" w:cstheme="majorBidi"/>
          <w:color w:val="1F1F1F"/>
          <w:sz w:val="24"/>
          <w:szCs w:val="24"/>
        </w:rPr>
        <w:t>,</w:t>
      </w:r>
      <w:r w:rsidRPr="00CA5C94">
        <w:rPr>
          <w:rFonts w:asciiTheme="majorBidi" w:hAnsiTheme="majorBidi"/>
          <w:color w:val="1F1F1F"/>
          <w:sz w:val="24"/>
        </w:rPr>
        <w:t xml:space="preserve"> Malay women play an active role in the economic sector. For their duties and roles outside the home to help the husband improve the economy and to get this property</w:t>
      </w:r>
      <w:r w:rsidR="00355FE3">
        <w:rPr>
          <w:rStyle w:val="FootnoteReference"/>
          <w:rFonts w:asciiTheme="majorBidi" w:hAnsiTheme="majorBidi"/>
          <w:color w:val="1F1F1F"/>
          <w:sz w:val="24"/>
        </w:rPr>
        <w:footnoteReference w:id="33"/>
      </w:r>
      <w:r w:rsidRPr="00CA5C94">
        <w:rPr>
          <w:rFonts w:asciiTheme="majorBidi" w:hAnsiTheme="majorBidi"/>
          <w:color w:val="1F1F1F"/>
          <w:sz w:val="24"/>
        </w:rPr>
        <w:t xml:space="preserve">, </w:t>
      </w:r>
      <w:bookmarkStart w:id="1" w:name="OLE_LINK1"/>
      <w:r w:rsidRPr="00CA5C94">
        <w:rPr>
          <w:rFonts w:asciiTheme="majorBidi" w:hAnsiTheme="majorBidi"/>
          <w:color w:val="1F1F1F"/>
          <w:sz w:val="24"/>
        </w:rPr>
        <w:t xml:space="preserve">Malay custom has provided for them to get a share of the </w:t>
      </w:r>
      <w:r w:rsidRPr="008604C8">
        <w:rPr>
          <w:rFonts w:asciiTheme="majorBidi" w:hAnsiTheme="majorBidi"/>
          <w:i/>
          <w:iCs/>
          <w:color w:val="1F1F1F"/>
          <w:sz w:val="24"/>
        </w:rPr>
        <w:t>harta sepencaria</w:t>
      </w:r>
      <w:bookmarkEnd w:id="1"/>
      <w:r w:rsidR="008604C8">
        <w:rPr>
          <w:rFonts w:asciiTheme="majorBidi" w:hAnsiTheme="majorBidi"/>
          <w:i/>
          <w:iCs/>
          <w:color w:val="1F1F1F"/>
          <w:sz w:val="24"/>
        </w:rPr>
        <w:t>n</w:t>
      </w:r>
      <w:r w:rsidRPr="00CA5C94">
        <w:rPr>
          <w:rFonts w:asciiTheme="majorBidi" w:hAnsiTheme="majorBidi"/>
          <w:color w:val="1F1F1F"/>
          <w:sz w:val="24"/>
        </w:rPr>
        <w:t xml:space="preserve"> This custom was further strengthened by a declaration </w:t>
      </w:r>
      <w:r w:rsidRPr="00F055A3">
        <w:rPr>
          <w:rFonts w:asciiTheme="majorBidi" w:eastAsia="Times New Roman" w:hAnsiTheme="majorBidi" w:cstheme="majorBidi"/>
          <w:color w:val="1F1F1F"/>
          <w:sz w:val="24"/>
          <w:szCs w:val="24"/>
        </w:rPr>
        <w:t>from the Perak State Government Council dated 18 January 1907</w:t>
      </w:r>
      <w:r>
        <w:rPr>
          <w:rFonts w:asciiTheme="majorBidi" w:eastAsia="Times New Roman" w:hAnsiTheme="majorBidi" w:cstheme="majorBidi"/>
          <w:color w:val="1F1F1F"/>
          <w:sz w:val="24"/>
          <w:szCs w:val="24"/>
        </w:rPr>
        <w:t xml:space="preserve"> concerning</w:t>
      </w:r>
      <w:r w:rsidRPr="00CA5C94">
        <w:rPr>
          <w:rFonts w:asciiTheme="majorBidi" w:hAnsiTheme="majorBidi"/>
          <w:color w:val="1F1F1F"/>
          <w:sz w:val="24"/>
        </w:rPr>
        <w:t xml:space="preserve"> the division of property after </w:t>
      </w:r>
      <w:r w:rsidRPr="00CA5C94">
        <w:rPr>
          <w:rFonts w:asciiTheme="majorBidi" w:hAnsiTheme="majorBidi"/>
          <w:color w:val="1F1F1F"/>
          <w:sz w:val="24"/>
        </w:rPr>
        <w:lastRenderedPageBreak/>
        <w:t>divorce. The Council declared and recorded</w:t>
      </w:r>
      <w:r w:rsidR="003B1B73">
        <w:rPr>
          <w:rStyle w:val="FootnoteReference"/>
          <w:rFonts w:asciiTheme="majorBidi" w:hAnsiTheme="majorBidi"/>
          <w:color w:val="1F1F1F"/>
          <w:sz w:val="24"/>
        </w:rPr>
        <w:footnoteReference w:id="34"/>
      </w:r>
      <w:r w:rsidRPr="00CA5C94">
        <w:rPr>
          <w:rFonts w:asciiTheme="majorBidi" w:hAnsiTheme="majorBidi"/>
          <w:color w:val="1F1F1F"/>
          <w:sz w:val="24"/>
        </w:rPr>
        <w:t>: "</w:t>
      </w:r>
      <w:r w:rsidRPr="00A862AE">
        <w:rPr>
          <w:rFonts w:asciiTheme="majorBidi" w:hAnsiTheme="majorBidi"/>
          <w:i/>
          <w:iCs/>
          <w:color w:val="1F1F1F"/>
          <w:sz w:val="24"/>
        </w:rPr>
        <w:t>That the custom of the Malays in Perak in terms of the division of property after divorce, where the property is obtained by the parties or by one of them during the marriage is two parts for the man and one part for the woman and the gifts between them cannot be revoked either during the marriage or after the divorce</w:t>
      </w:r>
      <w:r w:rsidRPr="00CA5C94">
        <w:rPr>
          <w:rFonts w:asciiTheme="majorBidi" w:hAnsiTheme="majorBidi"/>
          <w:color w:val="1F1F1F"/>
          <w:sz w:val="24"/>
        </w:rPr>
        <w:t>"</w:t>
      </w:r>
      <w:r w:rsidR="00984EE5">
        <w:rPr>
          <w:rFonts w:asciiTheme="majorBidi" w:hAnsiTheme="majorBidi"/>
          <w:color w:val="1F1F1F"/>
          <w:sz w:val="24"/>
        </w:rPr>
        <w:t>.</w:t>
      </w:r>
      <w:r w:rsidRPr="00CA5C94">
        <w:rPr>
          <w:rFonts w:asciiTheme="majorBidi" w:hAnsiTheme="majorBidi"/>
          <w:color w:val="1F1F1F"/>
          <w:sz w:val="24"/>
        </w:rPr>
        <w:t xml:space="preserve"> This declaration shows </w:t>
      </w:r>
      <w:r>
        <w:rPr>
          <w:rFonts w:asciiTheme="majorBidi" w:eastAsia="Times New Roman" w:hAnsiTheme="majorBidi" w:cstheme="majorBidi"/>
          <w:color w:val="1F1F1F"/>
          <w:sz w:val="24"/>
          <w:szCs w:val="24"/>
        </w:rPr>
        <w:t>the</w:t>
      </w:r>
      <w:r w:rsidRPr="00CA5C94">
        <w:rPr>
          <w:rFonts w:asciiTheme="majorBidi" w:hAnsiTheme="majorBidi"/>
          <w:color w:val="1F1F1F"/>
          <w:sz w:val="24"/>
        </w:rPr>
        <w:t xml:space="preserve"> presence</w:t>
      </w:r>
      <w:r w:rsidRPr="00CA5C94">
        <w:rPr>
          <w:rFonts w:asciiTheme="majorBidi" w:eastAsia="Times New Roman" w:hAnsiTheme="majorBidi" w:cstheme="majorBidi"/>
          <w:color w:val="1F1F1F"/>
          <w:sz w:val="24"/>
          <w:szCs w:val="24"/>
        </w:rPr>
        <w:t xml:space="preserve"> </w:t>
      </w:r>
      <w:r>
        <w:rPr>
          <w:rFonts w:asciiTheme="majorBidi" w:eastAsia="Times New Roman" w:hAnsiTheme="majorBidi" w:cstheme="majorBidi"/>
          <w:color w:val="1F1F1F"/>
          <w:sz w:val="24"/>
          <w:szCs w:val="24"/>
        </w:rPr>
        <w:t>of</w:t>
      </w:r>
      <w:r w:rsidRPr="00CA5C94">
        <w:rPr>
          <w:rFonts w:asciiTheme="majorBidi" w:hAnsiTheme="majorBidi"/>
          <w:color w:val="1F1F1F"/>
          <w:sz w:val="24"/>
        </w:rPr>
        <w:t xml:space="preserve"> customary law that is used in the division of property acquired during the marriage period of a divorced couple.</w:t>
      </w:r>
    </w:p>
    <w:p w14:paraId="427441F2" w14:textId="421F27DF"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Even the 1/3 division set by the Perak State Council may occur because of the existence of customary tolerance and the general principle of Islamic inheritance where a man's share is two shares of a </w:t>
      </w:r>
      <w:r w:rsidR="00890FDD" w:rsidRPr="00CA5C94">
        <w:rPr>
          <w:rFonts w:asciiTheme="majorBidi" w:hAnsiTheme="majorBidi"/>
          <w:color w:val="1F1F1F"/>
          <w:sz w:val="24"/>
        </w:rPr>
        <w:t>women</w:t>
      </w:r>
      <w:r w:rsidR="00890FDD">
        <w:rPr>
          <w:rStyle w:val="FootnoteReference"/>
          <w:rFonts w:asciiTheme="majorBidi" w:hAnsiTheme="majorBidi"/>
          <w:color w:val="1F1F1F"/>
          <w:sz w:val="24"/>
        </w:rPr>
        <w:footnoteReference w:id="35"/>
      </w:r>
      <w:r w:rsidRPr="00CA5C94">
        <w:rPr>
          <w:rFonts w:asciiTheme="majorBidi" w:hAnsiTheme="majorBidi"/>
          <w:color w:val="1F1F1F"/>
          <w:sz w:val="24"/>
        </w:rPr>
        <w:t>. It can also be stated that the importance of men getting a larger share as parallel or imitated by local custom, cannot be interpreted as a statement of preference for men. This is because it is common wisdom that men have greater responsibility towards the family, especially towards the children, even if a divorce has occurred between the couple</w:t>
      </w:r>
      <w:r w:rsidR="00890FDD">
        <w:rPr>
          <w:rStyle w:val="FootnoteReference"/>
          <w:rFonts w:asciiTheme="majorBidi" w:hAnsiTheme="majorBidi"/>
          <w:color w:val="1F1F1F"/>
          <w:sz w:val="24"/>
        </w:rPr>
        <w:footnoteReference w:id="36"/>
      </w:r>
      <w:r w:rsidRPr="00CA5C94">
        <w:rPr>
          <w:rFonts w:asciiTheme="majorBidi" w:hAnsiTheme="majorBidi"/>
          <w:color w:val="1F1F1F"/>
          <w:sz w:val="24"/>
        </w:rPr>
        <w:t>.</w:t>
      </w:r>
      <w:r>
        <w:rPr>
          <w:rFonts w:asciiTheme="majorBidi" w:hAnsiTheme="majorBidi"/>
          <w:color w:val="1F1F1F"/>
          <w:sz w:val="24"/>
        </w:rPr>
        <w:t xml:space="preserve"> </w:t>
      </w:r>
    </w:p>
    <w:p w14:paraId="4426142F" w14:textId="490DEBDF"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The responsibility of men whether in Islam or local custom has established that they are obliged to support their children until the children reach an age where they can be independent or have married for daughters. This responsibility is a continuing responsibility despite the occurrence of divorce in the couple's household. This means that the responsibility to provide for the children is not interrupted even though the marriage relationship between a man and a woman has ende</w:t>
      </w:r>
      <w:r w:rsidR="00137792">
        <w:rPr>
          <w:rFonts w:asciiTheme="majorBidi" w:hAnsiTheme="majorBidi"/>
          <w:color w:val="1F1F1F"/>
          <w:sz w:val="24"/>
        </w:rPr>
        <w:t>d</w:t>
      </w:r>
      <w:r w:rsidRPr="00CA5C94">
        <w:rPr>
          <w:rFonts w:asciiTheme="majorBidi" w:hAnsiTheme="majorBidi"/>
          <w:color w:val="1F1F1F"/>
          <w:sz w:val="24"/>
        </w:rPr>
        <w:t>.</w:t>
      </w:r>
    </w:p>
    <w:p w14:paraId="421C4E2D" w14:textId="77777777"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The concept of </w:t>
      </w:r>
      <w:r w:rsidRPr="008604C8">
        <w:rPr>
          <w:rFonts w:asciiTheme="majorBidi" w:hAnsiTheme="majorBidi"/>
          <w:i/>
          <w:iCs/>
          <w:color w:val="1F1F1F"/>
          <w:sz w:val="24"/>
        </w:rPr>
        <w:t>harta sepencarian</w:t>
      </w:r>
      <w:r w:rsidRPr="00CA5C94">
        <w:rPr>
          <w:rFonts w:asciiTheme="majorBidi" w:hAnsiTheme="majorBidi"/>
          <w:color w:val="1F1F1F"/>
          <w:sz w:val="24"/>
        </w:rPr>
        <w:t xml:space="preserve"> based on customary law was reaffirmed by the Court in the case of Roberts v. Umi Kalthom [1966] 1 MLJ 163 where Raja Azlan Shah H stated that:</w:t>
      </w:r>
      <w:r>
        <w:rPr>
          <w:rFonts w:asciiTheme="majorBidi" w:hAnsiTheme="majorBidi"/>
          <w:color w:val="1F1F1F"/>
          <w:sz w:val="24"/>
        </w:rPr>
        <w:t xml:space="preserve"> </w:t>
      </w:r>
      <w:r w:rsidRPr="00CA5C94">
        <w:rPr>
          <w:rFonts w:asciiTheme="majorBidi" w:hAnsiTheme="majorBidi"/>
          <w:color w:val="1F1F1F"/>
          <w:sz w:val="24"/>
        </w:rPr>
        <w:t xml:space="preserve">"One principle that can be found from those cases which have decided that </w:t>
      </w:r>
      <w:r w:rsidRPr="008604C8">
        <w:rPr>
          <w:rFonts w:asciiTheme="majorBidi" w:hAnsiTheme="majorBidi"/>
          <w:i/>
          <w:iCs/>
          <w:color w:val="1F1F1F"/>
          <w:sz w:val="24"/>
        </w:rPr>
        <w:t>harta sepencarian</w:t>
      </w:r>
      <w:r w:rsidRPr="00CA5C94">
        <w:rPr>
          <w:rFonts w:asciiTheme="majorBidi" w:hAnsiTheme="majorBidi"/>
          <w:color w:val="1F1F1F"/>
          <w:sz w:val="24"/>
        </w:rPr>
        <w:t xml:space="preserve"> is a Malay custom and is used only in cases where the divorced husband/wife claims from the wife/husband during her lifetime; that rule of law is local law to which the Court must give judicial recognition and it is the duty of the Court to declare it, see Ramah v. Laton (1927) FMSLR 116. In view of such strong authority, I think that it has been clearly established that when property obtained after a marriage from their joint resources or their joint efforts, a presumption is created that the property is </w:t>
      </w:r>
      <w:r w:rsidRPr="008604C8">
        <w:rPr>
          <w:rFonts w:asciiTheme="majorBidi" w:hAnsiTheme="majorBidi"/>
          <w:i/>
          <w:iCs/>
          <w:color w:val="1F1F1F"/>
          <w:sz w:val="24"/>
        </w:rPr>
        <w:t>harta sepencarian</w:t>
      </w:r>
      <w:r w:rsidRPr="00CA5C94">
        <w:rPr>
          <w:rFonts w:asciiTheme="majorBidi" w:hAnsiTheme="majorBidi"/>
          <w:color w:val="1F1F1F"/>
          <w:sz w:val="24"/>
        </w:rPr>
        <w:t>..."</w:t>
      </w:r>
    </w:p>
    <w:p w14:paraId="0CFA343C" w14:textId="36AFF0D1"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This case was later reaffirmed in the case of Boto' bte Taha v Jaafar [1985] 2 MLJ 98. In his judgment, Tun Salleh Abas who was the Chief Justice of Malaya at the time stated that:</w:t>
      </w:r>
      <w:r>
        <w:rPr>
          <w:rFonts w:asciiTheme="majorBidi" w:hAnsiTheme="majorBidi"/>
          <w:color w:val="1F1F1F"/>
          <w:sz w:val="24"/>
        </w:rPr>
        <w:t xml:space="preserve"> </w:t>
      </w:r>
      <w:r w:rsidRPr="00CA5C94">
        <w:rPr>
          <w:rFonts w:asciiTheme="majorBidi" w:hAnsiTheme="majorBidi"/>
          <w:color w:val="1F1F1F"/>
          <w:sz w:val="24"/>
        </w:rPr>
        <w:t xml:space="preserve">"Marriage property does not really depend on Islamic jurisprudence, it even depends on the custom followed by the Malays. It is </w:t>
      </w:r>
      <w:r w:rsidR="00C13AE6">
        <w:rPr>
          <w:rFonts w:asciiTheme="majorBidi" w:eastAsia="Times New Roman" w:hAnsiTheme="majorBidi" w:cstheme="majorBidi"/>
          <w:color w:val="1F1F1F"/>
          <w:sz w:val="24"/>
          <w:szCs w:val="24"/>
          <w:lang w:val="en"/>
        </w:rPr>
        <w:t>practiced</w:t>
      </w:r>
      <w:r w:rsidRPr="00CA5C94">
        <w:rPr>
          <w:rFonts w:asciiTheme="majorBidi" w:hAnsiTheme="majorBidi"/>
          <w:color w:val="1F1F1F"/>
          <w:sz w:val="24"/>
        </w:rPr>
        <w:t xml:space="preserve"> in Indonesia and the properties included under it are referred to as sharikah (Laton v. Ramah)...."</w:t>
      </w:r>
    </w:p>
    <w:p w14:paraId="6E8AE49A" w14:textId="4AB12F4C"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The matrimonial property cases are heard in the Civil Court since there is no separation of powers as after the amendment of article 121 1(A) of the Federal Constitution as it exists today. All the cases and facts mentioned above have shown the concept of </w:t>
      </w:r>
      <w:r w:rsidRPr="008604C8">
        <w:rPr>
          <w:rFonts w:asciiTheme="majorBidi" w:hAnsiTheme="majorBidi"/>
          <w:i/>
          <w:iCs/>
          <w:color w:val="1F1F1F"/>
          <w:sz w:val="24"/>
        </w:rPr>
        <w:t>harta sepencarian</w:t>
      </w:r>
      <w:r w:rsidRPr="00CA5C94">
        <w:rPr>
          <w:rFonts w:asciiTheme="majorBidi" w:hAnsiTheme="majorBidi"/>
          <w:color w:val="1F1F1F"/>
          <w:sz w:val="24"/>
        </w:rPr>
        <w:t xml:space="preserve"> which originates from Malay custom which does not conflict with Syarak law and has been </w:t>
      </w:r>
      <w:r w:rsidR="00C13AE6" w:rsidRPr="00CA5C94">
        <w:rPr>
          <w:rFonts w:asciiTheme="majorBidi" w:hAnsiTheme="majorBidi"/>
          <w:color w:val="1F1F1F"/>
          <w:sz w:val="24"/>
        </w:rPr>
        <w:t>recogni</w:t>
      </w:r>
      <w:r w:rsidR="00C13AE6">
        <w:rPr>
          <w:rFonts w:asciiTheme="majorBidi" w:hAnsiTheme="majorBidi"/>
          <w:color w:val="1F1F1F"/>
          <w:sz w:val="24"/>
        </w:rPr>
        <w:t>z</w:t>
      </w:r>
      <w:r w:rsidR="00C13AE6" w:rsidRPr="00CA5C94">
        <w:rPr>
          <w:rFonts w:asciiTheme="majorBidi" w:hAnsiTheme="majorBidi"/>
          <w:color w:val="1F1F1F"/>
          <w:sz w:val="24"/>
        </w:rPr>
        <w:t>ed</w:t>
      </w:r>
      <w:r w:rsidRPr="00CA5C94">
        <w:rPr>
          <w:rFonts w:asciiTheme="majorBidi" w:hAnsiTheme="majorBidi"/>
          <w:color w:val="1F1F1F"/>
          <w:sz w:val="24"/>
        </w:rPr>
        <w:t xml:space="preserve"> by Islamic law which exists in Malaysia today.</w:t>
      </w:r>
    </w:p>
    <w:p w14:paraId="2D91FF7B" w14:textId="5B6A902C" w:rsidR="008858F7" w:rsidRDefault="008858F7" w:rsidP="008858F7">
      <w:pPr>
        <w:spacing w:after="0" w:line="240" w:lineRule="auto"/>
        <w:ind w:firstLine="567"/>
        <w:jc w:val="both"/>
        <w:rPr>
          <w:rFonts w:asciiTheme="majorBidi" w:hAnsiTheme="majorBidi"/>
          <w:color w:val="1F1F1F"/>
          <w:sz w:val="24"/>
        </w:rPr>
      </w:pPr>
      <w:r>
        <w:rPr>
          <w:rFonts w:asciiTheme="majorBidi" w:eastAsia="Times New Roman" w:hAnsiTheme="majorBidi" w:cstheme="majorBidi"/>
          <w:color w:val="1F1F1F"/>
          <w:sz w:val="24"/>
          <w:szCs w:val="24"/>
        </w:rPr>
        <w:lastRenderedPageBreak/>
        <w:t xml:space="preserve">It </w:t>
      </w:r>
      <w:r w:rsidRPr="00CA5C94">
        <w:rPr>
          <w:rFonts w:asciiTheme="majorBidi" w:hAnsiTheme="majorBidi"/>
          <w:color w:val="1F1F1F"/>
          <w:sz w:val="24"/>
        </w:rPr>
        <w:t>is clear is that this custom</w:t>
      </w:r>
      <w:r>
        <w:rPr>
          <w:rFonts w:asciiTheme="majorBidi" w:eastAsia="Times New Roman" w:hAnsiTheme="majorBidi" w:cstheme="majorBidi"/>
          <w:color w:val="1F1F1F"/>
          <w:sz w:val="24"/>
          <w:szCs w:val="24"/>
        </w:rPr>
        <w:t>,</w:t>
      </w:r>
      <w:r w:rsidRPr="00CA5C94">
        <w:rPr>
          <w:rFonts w:asciiTheme="majorBidi" w:hAnsiTheme="majorBidi"/>
          <w:color w:val="1F1F1F"/>
          <w:sz w:val="24"/>
        </w:rPr>
        <w:t xml:space="preserve"> </w:t>
      </w:r>
      <w:r>
        <w:rPr>
          <w:rFonts w:asciiTheme="majorBidi" w:eastAsia="Times New Roman" w:hAnsiTheme="majorBidi" w:cstheme="majorBidi"/>
          <w:color w:val="1F1F1F"/>
          <w:sz w:val="24"/>
          <w:szCs w:val="24"/>
        </w:rPr>
        <w:t xml:space="preserve">which </w:t>
      </w:r>
      <w:r w:rsidRPr="00CA5C94">
        <w:rPr>
          <w:rFonts w:asciiTheme="majorBidi" w:hAnsiTheme="majorBidi"/>
          <w:color w:val="1F1F1F"/>
          <w:sz w:val="24"/>
        </w:rPr>
        <w:t xml:space="preserve">does not conflict with Islamic law, </w:t>
      </w:r>
      <w:r>
        <w:rPr>
          <w:rFonts w:asciiTheme="majorBidi" w:eastAsia="Times New Roman" w:hAnsiTheme="majorBidi" w:cstheme="majorBidi"/>
          <w:color w:val="1F1F1F"/>
          <w:sz w:val="24"/>
          <w:szCs w:val="24"/>
        </w:rPr>
        <w:t>ensures</w:t>
      </w:r>
      <w:r w:rsidRPr="00CA5C94">
        <w:rPr>
          <w:rFonts w:asciiTheme="majorBidi" w:hAnsiTheme="majorBidi"/>
          <w:color w:val="1F1F1F"/>
          <w:sz w:val="24"/>
        </w:rPr>
        <w:t xml:space="preserve"> justice</w:t>
      </w:r>
      <w:r>
        <w:rPr>
          <w:rFonts w:asciiTheme="majorBidi" w:hAnsiTheme="majorBidi"/>
          <w:color w:val="1F1F1F"/>
          <w:sz w:val="24"/>
        </w:rPr>
        <w:t>,</w:t>
      </w:r>
      <w:r w:rsidRPr="00CA5C94">
        <w:rPr>
          <w:rFonts w:asciiTheme="majorBidi" w:hAnsiTheme="majorBidi"/>
          <w:color w:val="1F1F1F"/>
          <w:sz w:val="24"/>
        </w:rPr>
        <w:t xml:space="preserve"> and guarantee of ownership of </w:t>
      </w:r>
      <w:r w:rsidRPr="008604C8">
        <w:rPr>
          <w:rFonts w:asciiTheme="majorBidi" w:hAnsiTheme="majorBidi"/>
          <w:i/>
          <w:iCs/>
          <w:color w:val="1F1F1F"/>
          <w:sz w:val="24"/>
        </w:rPr>
        <w:t>harta sepencarian</w:t>
      </w:r>
      <w:r w:rsidRPr="00CA5C94">
        <w:rPr>
          <w:rFonts w:asciiTheme="majorBidi" w:hAnsiTheme="majorBidi"/>
          <w:color w:val="1F1F1F"/>
          <w:sz w:val="24"/>
        </w:rPr>
        <w:t xml:space="preserve"> to both parties, whether husband or wife. In fact, for the Bugis Malay tribe, marriage in the family not only guarantees </w:t>
      </w:r>
      <w:r w:rsidR="00C13AE6" w:rsidRPr="00CA5C94">
        <w:rPr>
          <w:rFonts w:asciiTheme="majorBidi" w:hAnsiTheme="majorBidi"/>
          <w:color w:val="1F1F1F"/>
          <w:sz w:val="24"/>
        </w:rPr>
        <w:t>hono</w:t>
      </w:r>
      <w:r w:rsidR="00C13AE6">
        <w:rPr>
          <w:rFonts w:asciiTheme="majorBidi" w:hAnsiTheme="majorBidi"/>
          <w:color w:val="1F1F1F"/>
          <w:sz w:val="24"/>
        </w:rPr>
        <w:t>r</w:t>
      </w:r>
      <w:r w:rsidRPr="00CA5C94">
        <w:rPr>
          <w:rFonts w:asciiTheme="majorBidi" w:hAnsiTheme="majorBidi"/>
          <w:color w:val="1F1F1F"/>
          <w:sz w:val="24"/>
        </w:rPr>
        <w:t xml:space="preserve">, </w:t>
      </w:r>
      <w:r>
        <w:rPr>
          <w:rFonts w:asciiTheme="majorBidi" w:eastAsia="Times New Roman" w:hAnsiTheme="majorBidi" w:cstheme="majorBidi"/>
          <w:color w:val="1F1F1F"/>
          <w:sz w:val="24"/>
          <w:szCs w:val="24"/>
        </w:rPr>
        <w:t>but also makes</w:t>
      </w:r>
      <w:r w:rsidRPr="00CA5C94">
        <w:rPr>
          <w:rFonts w:asciiTheme="majorBidi" w:eastAsia="Times New Roman" w:hAnsiTheme="majorBidi" w:cstheme="majorBidi"/>
          <w:color w:val="1F1F1F"/>
          <w:sz w:val="24"/>
          <w:szCs w:val="24"/>
        </w:rPr>
        <w:t xml:space="preserve"> </w:t>
      </w:r>
      <w:r w:rsidRPr="00CA5C94">
        <w:rPr>
          <w:rFonts w:asciiTheme="majorBidi" w:hAnsiTheme="majorBidi"/>
          <w:color w:val="1F1F1F"/>
          <w:sz w:val="24"/>
        </w:rPr>
        <w:t>the boundaries between potential brides easier to control and be observed by both parties. A one-time cousin marriage (</w:t>
      </w:r>
      <w:r w:rsidRPr="008072E3">
        <w:rPr>
          <w:rFonts w:asciiTheme="majorBidi" w:hAnsiTheme="majorBidi"/>
          <w:i/>
          <w:iCs/>
          <w:color w:val="1F1F1F"/>
          <w:sz w:val="24"/>
        </w:rPr>
        <w:t>sappo siseng</w:t>
      </w:r>
      <w:r w:rsidRPr="00CA5C94">
        <w:rPr>
          <w:rFonts w:asciiTheme="majorBidi" w:hAnsiTheme="majorBidi"/>
          <w:color w:val="1F1F1F"/>
          <w:sz w:val="24"/>
        </w:rPr>
        <w:t>) is considered the best marriage because it can preserve hereditary titles and guarantee the inheritance of property given among family members only</w:t>
      </w:r>
      <w:r w:rsidR="00647D98">
        <w:rPr>
          <w:rStyle w:val="FootnoteReference"/>
          <w:rFonts w:asciiTheme="majorBidi" w:hAnsiTheme="majorBidi"/>
          <w:color w:val="1F1F1F"/>
          <w:sz w:val="24"/>
        </w:rPr>
        <w:footnoteReference w:id="37"/>
      </w:r>
      <w:r w:rsidRPr="00CA5C94">
        <w:rPr>
          <w:rFonts w:asciiTheme="majorBidi" w:hAnsiTheme="majorBidi"/>
          <w:color w:val="1F1F1F"/>
          <w:sz w:val="24"/>
        </w:rPr>
        <w:t xml:space="preserve">. </w:t>
      </w:r>
      <w:r>
        <w:rPr>
          <w:rFonts w:asciiTheme="majorBidi" w:eastAsia="Times New Roman" w:hAnsiTheme="majorBidi" w:cstheme="majorBidi"/>
          <w:color w:val="1F1F1F"/>
          <w:sz w:val="24"/>
          <w:szCs w:val="24"/>
        </w:rPr>
        <w:t>Long-</w:t>
      </w:r>
      <w:r w:rsidR="00C13AE6">
        <w:rPr>
          <w:rFonts w:asciiTheme="majorBidi" w:eastAsia="Times New Roman" w:hAnsiTheme="majorBidi" w:cstheme="majorBidi"/>
          <w:color w:val="1F1F1F"/>
          <w:sz w:val="24"/>
          <w:szCs w:val="24"/>
        </w:rPr>
        <w:t>practiced</w:t>
      </w:r>
      <w:r>
        <w:rPr>
          <w:rFonts w:asciiTheme="majorBidi" w:eastAsia="Times New Roman" w:hAnsiTheme="majorBidi" w:cstheme="majorBidi"/>
          <w:color w:val="1F1F1F"/>
          <w:sz w:val="24"/>
          <w:szCs w:val="24"/>
        </w:rPr>
        <w:t xml:space="preserve"> Malay customs</w:t>
      </w:r>
      <w:r w:rsidRPr="00CA5C94">
        <w:rPr>
          <w:rFonts w:asciiTheme="majorBidi" w:eastAsia="Times New Roman" w:hAnsiTheme="majorBidi" w:cstheme="majorBidi"/>
          <w:color w:val="1F1F1F"/>
          <w:sz w:val="24"/>
          <w:szCs w:val="24"/>
        </w:rPr>
        <w:t xml:space="preserve"> ha</w:t>
      </w:r>
      <w:r>
        <w:rPr>
          <w:rFonts w:asciiTheme="majorBidi" w:eastAsia="Times New Roman" w:hAnsiTheme="majorBidi" w:cstheme="majorBidi"/>
          <w:color w:val="1F1F1F"/>
          <w:sz w:val="24"/>
          <w:szCs w:val="24"/>
        </w:rPr>
        <w:t>ve</w:t>
      </w:r>
      <w:r w:rsidRPr="00CA5C94">
        <w:rPr>
          <w:rFonts w:asciiTheme="majorBidi" w:hAnsiTheme="majorBidi"/>
          <w:color w:val="1F1F1F"/>
          <w:sz w:val="24"/>
        </w:rPr>
        <w:t xml:space="preserve"> elevated the dignity of women, especially those </w:t>
      </w:r>
      <w:r>
        <w:rPr>
          <w:rFonts w:asciiTheme="majorBidi" w:eastAsia="Times New Roman" w:hAnsiTheme="majorBidi" w:cstheme="majorBidi"/>
          <w:color w:val="1F1F1F"/>
          <w:sz w:val="24"/>
          <w:szCs w:val="24"/>
        </w:rPr>
        <w:t>denied property rights</w:t>
      </w:r>
      <w:r w:rsidRPr="00CA5C94">
        <w:rPr>
          <w:rFonts w:asciiTheme="majorBidi" w:hAnsiTheme="majorBidi"/>
          <w:color w:val="1F1F1F"/>
          <w:sz w:val="24"/>
        </w:rPr>
        <w:t xml:space="preserve"> under English common law, as well as the custom of the ignorant Arab community that dominated the social system of the community at the beginning of Islam. This concept </w:t>
      </w:r>
      <w:r>
        <w:rPr>
          <w:rFonts w:asciiTheme="majorBidi" w:eastAsia="Times New Roman" w:hAnsiTheme="majorBidi" w:cstheme="majorBidi"/>
          <w:color w:val="1F1F1F"/>
          <w:sz w:val="24"/>
          <w:szCs w:val="24"/>
        </w:rPr>
        <w:t>aligns</w:t>
      </w:r>
      <w:r w:rsidRPr="00CA5C94">
        <w:rPr>
          <w:rFonts w:asciiTheme="majorBidi" w:hAnsiTheme="majorBidi"/>
          <w:color w:val="1F1F1F"/>
          <w:sz w:val="24"/>
        </w:rPr>
        <w:t xml:space="preserve"> with Islamic teachings that </w:t>
      </w:r>
      <w:r>
        <w:rPr>
          <w:rFonts w:asciiTheme="majorBidi" w:eastAsia="Times New Roman" w:hAnsiTheme="majorBidi" w:cstheme="majorBidi"/>
          <w:color w:val="1F1F1F"/>
          <w:sz w:val="24"/>
          <w:szCs w:val="24"/>
        </w:rPr>
        <w:t>do not</w:t>
      </w:r>
      <w:r w:rsidRPr="00CA5C94">
        <w:rPr>
          <w:rFonts w:asciiTheme="majorBidi" w:hAnsiTheme="majorBidi"/>
          <w:color w:val="1F1F1F"/>
          <w:sz w:val="24"/>
        </w:rPr>
        <w:t xml:space="preserve"> differentiate between people in the ownership of property, the right to usurp, as well as seeing people on the same level regardless of gender, descent</w:t>
      </w:r>
      <w:r>
        <w:rPr>
          <w:rFonts w:asciiTheme="majorBidi" w:hAnsiTheme="majorBidi" w:cstheme="majorBidi"/>
          <w:color w:val="1F1F1F"/>
          <w:sz w:val="24"/>
          <w:szCs w:val="24"/>
        </w:rPr>
        <w:t>,</w:t>
      </w:r>
      <w:r w:rsidRPr="00CA5C94">
        <w:rPr>
          <w:rFonts w:asciiTheme="majorBidi" w:hAnsiTheme="majorBidi"/>
          <w:color w:val="1F1F1F"/>
          <w:sz w:val="24"/>
        </w:rPr>
        <w:t xml:space="preserve"> and skin colo</w:t>
      </w:r>
      <w:r>
        <w:rPr>
          <w:rFonts w:asciiTheme="majorBidi" w:hAnsiTheme="majorBidi"/>
          <w:color w:val="1F1F1F"/>
          <w:sz w:val="24"/>
        </w:rPr>
        <w:t>u</w:t>
      </w:r>
      <w:r w:rsidRPr="00CA5C94">
        <w:rPr>
          <w:rFonts w:asciiTheme="majorBidi" w:hAnsiTheme="majorBidi"/>
          <w:color w:val="1F1F1F"/>
          <w:sz w:val="24"/>
        </w:rPr>
        <w:t xml:space="preserve">r. Islam indeed rejects any gender discrimination </w:t>
      </w:r>
      <w:r>
        <w:rPr>
          <w:rFonts w:asciiTheme="majorBidi" w:hAnsiTheme="majorBidi" w:cstheme="majorBidi"/>
          <w:color w:val="1F1F1F"/>
          <w:sz w:val="24"/>
          <w:szCs w:val="24"/>
        </w:rPr>
        <w:t>as</w:t>
      </w:r>
      <w:r w:rsidRPr="00CA5C94">
        <w:rPr>
          <w:rFonts w:asciiTheme="majorBidi" w:hAnsiTheme="majorBidi"/>
          <w:color w:val="1F1F1F"/>
          <w:sz w:val="24"/>
        </w:rPr>
        <w:t xml:space="preserve"> Allah SWT created humans according to their respective roles, whether male or female</w:t>
      </w:r>
      <w:r w:rsidR="004277A7">
        <w:rPr>
          <w:rStyle w:val="FootnoteReference"/>
          <w:rFonts w:asciiTheme="majorBidi" w:hAnsiTheme="majorBidi"/>
          <w:color w:val="1F1F1F"/>
          <w:sz w:val="24"/>
        </w:rPr>
        <w:footnoteReference w:id="38"/>
      </w:r>
      <w:r w:rsidRPr="00CA5C94">
        <w:rPr>
          <w:rFonts w:asciiTheme="majorBidi" w:hAnsiTheme="majorBidi"/>
          <w:color w:val="1F1F1F"/>
          <w:sz w:val="24"/>
        </w:rPr>
        <w:t>. This situation is also in line with the scenario of Malaysian women who have the same rights as men in owning and managing their property</w:t>
      </w:r>
      <w:r w:rsidR="004277A7">
        <w:rPr>
          <w:rFonts w:asciiTheme="majorBidi" w:hAnsiTheme="majorBidi"/>
          <w:color w:val="1F1F1F"/>
          <w:sz w:val="24"/>
        </w:rPr>
        <w:t xml:space="preserve">. </w:t>
      </w:r>
      <w:r w:rsidRPr="00CA5C94">
        <w:rPr>
          <w:rFonts w:asciiTheme="majorBidi" w:hAnsiTheme="majorBidi"/>
          <w:color w:val="1F1F1F"/>
          <w:sz w:val="24"/>
        </w:rPr>
        <w:t xml:space="preserve">This situation remains unchanged even after </w:t>
      </w:r>
      <w:r>
        <w:rPr>
          <w:rFonts w:asciiTheme="majorBidi" w:hAnsiTheme="majorBidi" w:cstheme="majorBidi"/>
          <w:color w:val="1F1F1F"/>
          <w:sz w:val="24"/>
          <w:szCs w:val="24"/>
        </w:rPr>
        <w:t>establishing</w:t>
      </w:r>
      <w:r w:rsidRPr="00CA5C94">
        <w:rPr>
          <w:rFonts w:asciiTheme="majorBidi" w:hAnsiTheme="majorBidi"/>
          <w:color w:val="1F1F1F"/>
          <w:sz w:val="24"/>
        </w:rPr>
        <w:t xml:space="preserve"> a household.</w:t>
      </w:r>
    </w:p>
    <w:p w14:paraId="67667B26" w14:textId="77777777" w:rsidR="008858F7" w:rsidRDefault="008858F7" w:rsidP="008858F7">
      <w:pPr>
        <w:spacing w:after="0" w:line="240" w:lineRule="auto"/>
        <w:ind w:firstLine="567"/>
        <w:jc w:val="both"/>
        <w:rPr>
          <w:rFonts w:asciiTheme="majorBidi" w:hAnsiTheme="majorBidi"/>
          <w:color w:val="1F1F1F"/>
          <w:sz w:val="24"/>
        </w:rPr>
      </w:pPr>
    </w:p>
    <w:p w14:paraId="32DB8798" w14:textId="77777777"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Harta sepencarian in Perpatih Custom</w:t>
      </w:r>
    </w:p>
    <w:p w14:paraId="7962D962" w14:textId="7978C784"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Perpatih custom is a traditional practice originating from Pagar Ruyung, Minangkabau, Sumatra. The </w:t>
      </w:r>
      <w:r>
        <w:rPr>
          <w:rFonts w:asciiTheme="majorBidi" w:hAnsiTheme="majorBidi"/>
          <w:color w:val="1F1F1F"/>
          <w:sz w:val="24"/>
        </w:rPr>
        <w:t>P</w:t>
      </w:r>
      <w:r w:rsidRPr="00CA5C94">
        <w:rPr>
          <w:rFonts w:asciiTheme="majorBidi" w:hAnsiTheme="majorBidi"/>
          <w:color w:val="1F1F1F"/>
          <w:sz w:val="24"/>
        </w:rPr>
        <w:t xml:space="preserve">erpatih custom is a social system </w:t>
      </w:r>
      <w:r>
        <w:rPr>
          <w:rFonts w:asciiTheme="majorBidi" w:eastAsia="Times New Roman" w:hAnsiTheme="majorBidi" w:cstheme="majorBidi"/>
          <w:color w:val="1F1F1F"/>
          <w:sz w:val="24"/>
          <w:szCs w:val="24"/>
          <w:lang w:val="en"/>
        </w:rPr>
        <w:t>practised</w:t>
      </w:r>
      <w:r w:rsidRPr="00CA5C94">
        <w:rPr>
          <w:rFonts w:asciiTheme="majorBidi" w:hAnsiTheme="majorBidi"/>
          <w:color w:val="1F1F1F"/>
          <w:sz w:val="24"/>
        </w:rPr>
        <w:t xml:space="preserve"> by the Malay population in six districts of Negeri Sembilan namely Jelebu, Jempol, Kuala Pilah, Rembau, Seremban and Tampin as well as the Naning community in the north of Melaka</w:t>
      </w:r>
      <w:r w:rsidR="00DC1662">
        <w:rPr>
          <w:rStyle w:val="FootnoteReference"/>
          <w:rFonts w:asciiTheme="majorBidi" w:hAnsiTheme="majorBidi"/>
          <w:color w:val="1F1F1F"/>
          <w:sz w:val="24"/>
        </w:rPr>
        <w:footnoteReference w:id="39"/>
      </w:r>
      <w:r w:rsidRPr="00CA5C94">
        <w:rPr>
          <w:rFonts w:asciiTheme="majorBidi" w:hAnsiTheme="majorBidi"/>
          <w:color w:val="1F1F1F"/>
          <w:sz w:val="24"/>
        </w:rPr>
        <w:t xml:space="preserve"> This custom has developed and is still </w:t>
      </w:r>
      <w:r>
        <w:rPr>
          <w:rFonts w:asciiTheme="majorBidi" w:eastAsia="Times New Roman" w:hAnsiTheme="majorBidi" w:cstheme="majorBidi"/>
          <w:color w:val="1F1F1F"/>
          <w:sz w:val="24"/>
          <w:szCs w:val="24"/>
          <w:lang w:val="en"/>
        </w:rPr>
        <w:t>practised</w:t>
      </w:r>
      <w:r w:rsidRPr="00CA5C94">
        <w:rPr>
          <w:rFonts w:asciiTheme="majorBidi" w:hAnsiTheme="majorBidi"/>
          <w:color w:val="1F1F1F"/>
          <w:sz w:val="24"/>
        </w:rPr>
        <w:t xml:space="preserve"> until today, even Negeri Sembilan has the Enactment of Customary Tenure in 1909 which is based on Perpatih Customary practices and laws. Although the Enactment has undergone amendment after amendment, the influence of the Perpatih Custom in the enactment is still there, including in the matter of customary inheritance land ownership. From the property aspect, the division of property types in the Perpatih community has been clearly stated. There are four concepts of property in the Perpatih Custom, namely inheritance property, harta sepencarian, carrier property and acquired property</w:t>
      </w:r>
      <w:r w:rsidR="00C352FC">
        <w:rPr>
          <w:rStyle w:val="FootnoteReference"/>
          <w:rFonts w:asciiTheme="majorBidi" w:hAnsiTheme="majorBidi"/>
          <w:color w:val="1F1F1F"/>
          <w:sz w:val="24"/>
        </w:rPr>
        <w:footnoteReference w:id="40"/>
      </w:r>
      <w:r w:rsidR="00B14DF9">
        <w:rPr>
          <w:rFonts w:asciiTheme="majorBidi" w:hAnsiTheme="majorBidi"/>
          <w:color w:val="1F1F1F"/>
          <w:sz w:val="24"/>
        </w:rPr>
        <w:t>.</w:t>
      </w:r>
      <w:r w:rsidRPr="00CA5C94">
        <w:rPr>
          <w:rFonts w:asciiTheme="majorBidi" w:hAnsiTheme="majorBidi"/>
          <w:color w:val="1F1F1F"/>
          <w:sz w:val="24"/>
        </w:rPr>
        <w:t xml:space="preserve"> These four types of property will certainly affect the division of property when there is a divorce, whether it is a live divorce or a death divorce. </w:t>
      </w:r>
    </w:p>
    <w:p w14:paraId="6E88541C" w14:textId="07D66FE7"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In Perpatih custom, inheritance is defined as </w:t>
      </w:r>
      <w:r w:rsidRPr="00332F7B">
        <w:rPr>
          <w:rFonts w:asciiTheme="majorBidi" w:eastAsia="Times New Roman" w:hAnsiTheme="majorBidi" w:cstheme="majorBidi"/>
          <w:color w:val="1F1F1F"/>
          <w:sz w:val="24"/>
          <w:szCs w:val="24"/>
        </w:rPr>
        <w:t>possessions</w:t>
      </w:r>
      <w:r w:rsidRPr="00CA5C94">
        <w:rPr>
          <w:rFonts w:asciiTheme="majorBidi" w:eastAsia="Times New Roman" w:hAnsiTheme="majorBidi" w:cstheme="majorBidi"/>
          <w:color w:val="1F1F1F"/>
          <w:sz w:val="24"/>
          <w:szCs w:val="24"/>
        </w:rPr>
        <w:t xml:space="preserve"> </w:t>
      </w:r>
      <w:r>
        <w:rPr>
          <w:rFonts w:asciiTheme="majorBidi" w:eastAsia="Times New Roman" w:hAnsiTheme="majorBidi" w:cstheme="majorBidi"/>
          <w:color w:val="1F1F1F"/>
          <w:sz w:val="24"/>
          <w:szCs w:val="24"/>
        </w:rPr>
        <w:t>such as</w:t>
      </w:r>
      <w:r w:rsidRPr="00CA5C94">
        <w:rPr>
          <w:rFonts w:asciiTheme="majorBidi" w:hAnsiTheme="majorBidi"/>
          <w:color w:val="1F1F1F"/>
          <w:sz w:val="24"/>
        </w:rPr>
        <w:t xml:space="preserve"> </w:t>
      </w:r>
      <w:r w:rsidRPr="00CA5C94">
        <w:rPr>
          <w:rFonts w:asciiTheme="majorBidi" w:eastAsia="Times New Roman" w:hAnsiTheme="majorBidi" w:cstheme="majorBidi"/>
          <w:color w:val="1F1F1F"/>
          <w:sz w:val="24"/>
          <w:szCs w:val="24"/>
        </w:rPr>
        <w:t>house</w:t>
      </w:r>
      <w:r>
        <w:rPr>
          <w:rFonts w:asciiTheme="majorBidi" w:eastAsia="Times New Roman" w:hAnsiTheme="majorBidi" w:cstheme="majorBidi"/>
          <w:color w:val="1F1F1F"/>
          <w:sz w:val="24"/>
          <w:szCs w:val="24"/>
        </w:rPr>
        <w:t>s</w:t>
      </w:r>
      <w:r w:rsidRPr="00CA5C94">
        <w:rPr>
          <w:rFonts w:asciiTheme="majorBidi" w:hAnsiTheme="majorBidi"/>
          <w:color w:val="1F1F1F"/>
          <w:sz w:val="24"/>
        </w:rPr>
        <w:t xml:space="preserve">, land or jewelry </w:t>
      </w:r>
      <w:r>
        <w:rPr>
          <w:rFonts w:asciiTheme="majorBidi" w:eastAsia="Times New Roman" w:hAnsiTheme="majorBidi" w:cstheme="majorBidi"/>
          <w:color w:val="1F1F1F"/>
          <w:sz w:val="24"/>
          <w:szCs w:val="24"/>
        </w:rPr>
        <w:t xml:space="preserve">that are </w:t>
      </w:r>
      <w:r w:rsidRPr="00CA5C94">
        <w:rPr>
          <w:rFonts w:asciiTheme="majorBidi" w:hAnsiTheme="majorBidi"/>
          <w:color w:val="1F1F1F"/>
          <w:sz w:val="24"/>
        </w:rPr>
        <w:t xml:space="preserve">received </w:t>
      </w:r>
      <w:r>
        <w:rPr>
          <w:rFonts w:asciiTheme="majorBidi" w:eastAsia="Times New Roman" w:hAnsiTheme="majorBidi" w:cstheme="majorBidi"/>
          <w:color w:val="1F1F1F"/>
          <w:sz w:val="24"/>
          <w:szCs w:val="24"/>
        </w:rPr>
        <w:t>from</w:t>
      </w:r>
      <w:r w:rsidRPr="00CA5C94">
        <w:rPr>
          <w:rFonts w:asciiTheme="majorBidi" w:eastAsia="Times New Roman" w:hAnsiTheme="majorBidi" w:cstheme="majorBidi"/>
          <w:color w:val="1F1F1F"/>
          <w:sz w:val="24"/>
          <w:szCs w:val="24"/>
        </w:rPr>
        <w:t xml:space="preserve"> </w:t>
      </w:r>
      <w:r w:rsidRPr="00CA5C94">
        <w:rPr>
          <w:rFonts w:asciiTheme="majorBidi" w:hAnsiTheme="majorBidi"/>
          <w:color w:val="1F1F1F"/>
          <w:sz w:val="24"/>
        </w:rPr>
        <w:t>parents, ancestors</w:t>
      </w:r>
      <w:r>
        <w:rPr>
          <w:rFonts w:asciiTheme="majorBidi" w:hAnsiTheme="majorBidi"/>
          <w:color w:val="1F1F1F"/>
          <w:sz w:val="24"/>
        </w:rPr>
        <w:t>,</w:t>
      </w:r>
      <w:r w:rsidRPr="00CA5C94">
        <w:rPr>
          <w:rFonts w:asciiTheme="majorBidi" w:hAnsiTheme="majorBidi"/>
          <w:color w:val="1F1F1F"/>
          <w:sz w:val="24"/>
        </w:rPr>
        <w:t xml:space="preserve"> or previous generations</w:t>
      </w:r>
      <w:r>
        <w:rPr>
          <w:rFonts w:asciiTheme="majorBidi" w:eastAsia="Times New Roman" w:hAnsiTheme="majorBidi" w:cstheme="majorBidi"/>
          <w:color w:val="1F1F1F"/>
          <w:sz w:val="24"/>
          <w:szCs w:val="24"/>
        </w:rPr>
        <w:t>.</w:t>
      </w:r>
      <w:r w:rsidRPr="00CA5C94">
        <w:rPr>
          <w:rFonts w:asciiTheme="majorBidi" w:hAnsiTheme="majorBidi"/>
          <w:color w:val="1F1F1F"/>
          <w:sz w:val="24"/>
        </w:rPr>
        <w:t xml:space="preserve"> </w:t>
      </w:r>
      <w:r>
        <w:rPr>
          <w:rFonts w:asciiTheme="majorBidi" w:eastAsia="Times New Roman" w:hAnsiTheme="majorBidi" w:cstheme="majorBidi"/>
          <w:color w:val="1F1F1F"/>
          <w:sz w:val="24"/>
          <w:szCs w:val="24"/>
        </w:rPr>
        <w:t>Upon</w:t>
      </w:r>
      <w:r w:rsidRPr="00CA5C94">
        <w:rPr>
          <w:rFonts w:asciiTheme="majorBidi" w:hAnsiTheme="majorBidi"/>
          <w:color w:val="1F1F1F"/>
          <w:sz w:val="24"/>
        </w:rPr>
        <w:t xml:space="preserve"> death, </w:t>
      </w:r>
      <w:r w:rsidRPr="00CA5C94">
        <w:rPr>
          <w:rFonts w:asciiTheme="majorBidi" w:hAnsiTheme="majorBidi"/>
          <w:color w:val="1F1F1F"/>
          <w:sz w:val="24"/>
        </w:rPr>
        <w:lastRenderedPageBreak/>
        <w:t>inherited property</w:t>
      </w:r>
      <w:r>
        <w:rPr>
          <w:rFonts w:asciiTheme="majorBidi" w:eastAsia="Times New Roman" w:hAnsiTheme="majorBidi" w:cstheme="majorBidi"/>
          <w:color w:val="1F1F1F"/>
          <w:sz w:val="24"/>
          <w:szCs w:val="24"/>
        </w:rPr>
        <w:t>,</w:t>
      </w:r>
      <w:r w:rsidRPr="00CA5C94">
        <w:rPr>
          <w:rFonts w:asciiTheme="majorBidi" w:hAnsiTheme="majorBidi"/>
          <w:color w:val="1F1F1F"/>
          <w:sz w:val="24"/>
        </w:rPr>
        <w:t xml:space="preserve"> such as customary land</w:t>
      </w:r>
      <w:r>
        <w:rPr>
          <w:rFonts w:asciiTheme="majorBidi" w:eastAsia="Times New Roman" w:hAnsiTheme="majorBidi" w:cstheme="majorBidi"/>
          <w:color w:val="1F1F1F"/>
          <w:sz w:val="24"/>
          <w:szCs w:val="24"/>
        </w:rPr>
        <w:t>,</w:t>
      </w:r>
      <w:r w:rsidRPr="00CA5C94">
        <w:rPr>
          <w:rFonts w:asciiTheme="majorBidi" w:hAnsiTheme="majorBidi"/>
          <w:color w:val="1F1F1F"/>
          <w:sz w:val="24"/>
        </w:rPr>
        <w:t xml:space="preserve"> will be passed directly to the daughter. Neither the husband nor the son has the right to own </w:t>
      </w:r>
      <w:r>
        <w:rPr>
          <w:rFonts w:asciiTheme="majorBidi" w:eastAsia="Times New Roman" w:hAnsiTheme="majorBidi" w:cstheme="majorBidi"/>
          <w:color w:val="1F1F1F"/>
          <w:sz w:val="24"/>
          <w:szCs w:val="24"/>
        </w:rPr>
        <w:t>or</w:t>
      </w:r>
      <w:r w:rsidRPr="00CA5C94">
        <w:rPr>
          <w:rFonts w:asciiTheme="majorBidi" w:hAnsiTheme="majorBidi"/>
          <w:color w:val="1F1F1F"/>
          <w:sz w:val="24"/>
        </w:rPr>
        <w:t xml:space="preserve"> inherit the inheritance. </w:t>
      </w:r>
      <w:r>
        <w:rPr>
          <w:rFonts w:asciiTheme="majorBidi" w:eastAsia="Times New Roman" w:hAnsiTheme="majorBidi" w:cstheme="majorBidi"/>
          <w:color w:val="1F1F1F"/>
          <w:sz w:val="24"/>
          <w:szCs w:val="24"/>
        </w:rPr>
        <w:t>If</w:t>
      </w:r>
      <w:r w:rsidRPr="00CA5C94">
        <w:rPr>
          <w:rFonts w:asciiTheme="majorBidi" w:hAnsiTheme="majorBidi"/>
          <w:color w:val="1F1F1F"/>
          <w:sz w:val="24"/>
        </w:rPr>
        <w:t xml:space="preserve"> a mother does not have a daughter, her property will be passed on to her younger sister</w:t>
      </w:r>
      <w:r>
        <w:rPr>
          <w:rFonts w:asciiTheme="majorBidi" w:eastAsia="Times New Roman" w:hAnsiTheme="majorBidi" w:cstheme="majorBidi"/>
          <w:color w:val="1F1F1F"/>
          <w:sz w:val="24"/>
          <w:szCs w:val="24"/>
        </w:rPr>
        <w:t xml:space="preserve">, </w:t>
      </w:r>
      <w:r w:rsidRPr="00CA5C94">
        <w:rPr>
          <w:rFonts w:asciiTheme="majorBidi" w:hAnsiTheme="majorBidi"/>
          <w:color w:val="1F1F1F"/>
          <w:sz w:val="24"/>
        </w:rPr>
        <w:t>the daughter of her younger sister</w:t>
      </w:r>
      <w:r>
        <w:rPr>
          <w:rFonts w:asciiTheme="majorBidi" w:eastAsia="Times New Roman" w:hAnsiTheme="majorBidi" w:cstheme="majorBidi"/>
          <w:color w:val="1F1F1F"/>
          <w:sz w:val="24"/>
          <w:szCs w:val="24"/>
        </w:rPr>
        <w:t>,</w:t>
      </w:r>
      <w:r w:rsidRPr="00CA5C94">
        <w:rPr>
          <w:rFonts w:asciiTheme="majorBidi" w:hAnsiTheme="majorBidi"/>
          <w:color w:val="1F1F1F"/>
          <w:sz w:val="24"/>
        </w:rPr>
        <w:t xml:space="preserve"> granddaughter</w:t>
      </w:r>
      <w:r>
        <w:rPr>
          <w:rFonts w:asciiTheme="majorBidi" w:eastAsia="Times New Roman" w:hAnsiTheme="majorBidi" w:cstheme="majorBidi"/>
          <w:color w:val="1F1F1F"/>
          <w:sz w:val="24"/>
          <w:szCs w:val="24"/>
        </w:rPr>
        <w:t>,</w:t>
      </w:r>
      <w:r w:rsidRPr="00CA5C94">
        <w:rPr>
          <w:rFonts w:asciiTheme="majorBidi" w:hAnsiTheme="majorBidi"/>
          <w:color w:val="1F1F1F"/>
          <w:sz w:val="24"/>
        </w:rPr>
        <w:t xml:space="preserve"> or </w:t>
      </w:r>
      <w:r>
        <w:rPr>
          <w:rFonts w:asciiTheme="majorBidi" w:eastAsia="Times New Roman" w:hAnsiTheme="majorBidi" w:cstheme="majorBidi"/>
          <w:color w:val="1F1F1F"/>
          <w:sz w:val="24"/>
          <w:szCs w:val="24"/>
        </w:rPr>
        <w:t>another female relative</w:t>
      </w:r>
      <w:r w:rsidRPr="00CA5C94">
        <w:rPr>
          <w:rFonts w:asciiTheme="majorBidi" w:hAnsiTheme="majorBidi"/>
          <w:color w:val="1F1F1F"/>
          <w:sz w:val="24"/>
        </w:rPr>
        <w:t xml:space="preserve">. The division of customary land inheritance must ensure that the women are from the same tribe. The property of parents or ancestors </w:t>
      </w:r>
      <w:r>
        <w:rPr>
          <w:rFonts w:asciiTheme="majorBidi" w:hAnsiTheme="majorBidi" w:cstheme="majorBidi"/>
          <w:color w:val="1F1F1F"/>
          <w:sz w:val="24"/>
          <w:szCs w:val="24"/>
        </w:rPr>
        <w:t>is</w:t>
      </w:r>
      <w:r w:rsidRPr="00CA5C94">
        <w:rPr>
          <w:rFonts w:asciiTheme="majorBidi" w:hAnsiTheme="majorBidi"/>
          <w:color w:val="1F1F1F"/>
          <w:sz w:val="24"/>
        </w:rPr>
        <w:t xml:space="preserve"> inherited when </w:t>
      </w:r>
      <w:r>
        <w:rPr>
          <w:rFonts w:asciiTheme="majorBidi" w:hAnsiTheme="majorBidi" w:cstheme="majorBidi"/>
          <w:color w:val="1F1F1F"/>
          <w:sz w:val="24"/>
          <w:szCs w:val="24"/>
        </w:rPr>
        <w:t>it is</w:t>
      </w:r>
      <w:r w:rsidRPr="00CA5C94">
        <w:rPr>
          <w:rFonts w:asciiTheme="majorBidi" w:hAnsiTheme="majorBidi" w:cstheme="majorBidi"/>
          <w:color w:val="1F1F1F"/>
          <w:sz w:val="24"/>
          <w:szCs w:val="24"/>
        </w:rPr>
        <w:t xml:space="preserve"> </w:t>
      </w:r>
      <w:r w:rsidRPr="00CA5C94">
        <w:rPr>
          <w:rFonts w:asciiTheme="majorBidi" w:hAnsiTheme="majorBidi"/>
          <w:color w:val="1F1F1F"/>
          <w:sz w:val="24"/>
        </w:rPr>
        <w:t xml:space="preserve">passed down to the next generation. This concept </w:t>
      </w:r>
      <w:r>
        <w:rPr>
          <w:rFonts w:asciiTheme="majorBidi" w:hAnsiTheme="majorBidi" w:cstheme="majorBidi"/>
          <w:color w:val="1F1F1F"/>
          <w:sz w:val="24"/>
          <w:szCs w:val="24"/>
        </w:rPr>
        <w:t>appears</w:t>
      </w:r>
      <w:r w:rsidRPr="00CA5C94">
        <w:rPr>
          <w:rFonts w:asciiTheme="majorBidi" w:hAnsiTheme="majorBidi" w:cstheme="majorBidi"/>
          <w:color w:val="1F1F1F"/>
          <w:sz w:val="24"/>
          <w:szCs w:val="24"/>
        </w:rPr>
        <w:t xml:space="preserve"> </w:t>
      </w:r>
      <w:r w:rsidRPr="00CA5C94">
        <w:rPr>
          <w:rFonts w:asciiTheme="majorBidi" w:hAnsiTheme="majorBidi"/>
          <w:color w:val="1F1F1F"/>
          <w:sz w:val="24"/>
        </w:rPr>
        <w:t xml:space="preserve">similar to what is </w:t>
      </w:r>
      <w:r>
        <w:rPr>
          <w:rFonts w:asciiTheme="majorBidi" w:hAnsiTheme="majorBidi" w:cstheme="majorBidi"/>
          <w:color w:val="1F1F1F"/>
          <w:sz w:val="24"/>
          <w:szCs w:val="24"/>
          <w:lang w:val="en"/>
        </w:rPr>
        <w:t>practiced</w:t>
      </w:r>
      <w:r w:rsidRPr="0030441B">
        <w:rPr>
          <w:rFonts w:asciiTheme="majorBidi" w:hAnsiTheme="majorBidi" w:cstheme="majorBidi"/>
          <w:color w:val="1F1F1F"/>
          <w:sz w:val="24"/>
          <w:szCs w:val="24"/>
          <w:lang w:val="en"/>
        </w:rPr>
        <w:t xml:space="preserve"> </w:t>
      </w:r>
      <w:r>
        <w:rPr>
          <w:rFonts w:asciiTheme="majorBidi" w:hAnsiTheme="majorBidi"/>
          <w:color w:val="1F1F1F"/>
          <w:sz w:val="24"/>
        </w:rPr>
        <w:t xml:space="preserve">by </w:t>
      </w:r>
      <w:r w:rsidRPr="00CA5C94">
        <w:rPr>
          <w:rFonts w:asciiTheme="majorBidi" w:hAnsiTheme="majorBidi"/>
          <w:color w:val="1F1F1F"/>
          <w:sz w:val="24"/>
        </w:rPr>
        <w:t xml:space="preserve">the Temenggung custom but </w:t>
      </w:r>
      <w:r w:rsidRPr="00E45EF3">
        <w:rPr>
          <w:rFonts w:asciiTheme="majorBidi" w:hAnsiTheme="majorBidi" w:cstheme="majorBidi"/>
          <w:color w:val="1F1F1F"/>
          <w:sz w:val="24"/>
          <w:szCs w:val="24"/>
        </w:rPr>
        <w:t xml:space="preserve">differs in that the Perpatih custom </w:t>
      </w:r>
      <w:r w:rsidR="00C13AE6" w:rsidRPr="00E45EF3">
        <w:rPr>
          <w:rFonts w:asciiTheme="majorBidi" w:hAnsiTheme="majorBidi" w:cstheme="majorBidi"/>
          <w:color w:val="1F1F1F"/>
          <w:sz w:val="24"/>
          <w:szCs w:val="24"/>
        </w:rPr>
        <w:t>prioriti</w:t>
      </w:r>
      <w:r w:rsidR="00C13AE6">
        <w:rPr>
          <w:rFonts w:asciiTheme="majorBidi" w:hAnsiTheme="majorBidi" w:cstheme="majorBidi"/>
          <w:color w:val="1F1F1F"/>
          <w:sz w:val="24"/>
          <w:szCs w:val="24"/>
        </w:rPr>
        <w:t>z</w:t>
      </w:r>
      <w:r w:rsidR="00C13AE6" w:rsidRPr="00E45EF3">
        <w:rPr>
          <w:rFonts w:asciiTheme="majorBidi" w:hAnsiTheme="majorBidi" w:cstheme="majorBidi"/>
          <w:color w:val="1F1F1F"/>
          <w:sz w:val="24"/>
          <w:szCs w:val="24"/>
        </w:rPr>
        <w:t>es</w:t>
      </w:r>
      <w:r w:rsidRPr="00E45EF3">
        <w:rPr>
          <w:rFonts w:asciiTheme="majorBidi" w:hAnsiTheme="majorBidi" w:cstheme="majorBidi"/>
          <w:color w:val="1F1F1F"/>
          <w:sz w:val="24"/>
          <w:szCs w:val="24"/>
        </w:rPr>
        <w:t xml:space="preserve"> daughters in the inheritance system</w:t>
      </w:r>
      <w:r w:rsidRPr="00CA5C94">
        <w:rPr>
          <w:rFonts w:asciiTheme="majorBidi" w:hAnsiTheme="majorBidi"/>
          <w:color w:val="1F1F1F"/>
          <w:sz w:val="24"/>
        </w:rPr>
        <w:t xml:space="preserve">. Since this writing does not focus on inheritance, </w:t>
      </w:r>
      <w:r w:rsidRPr="00BA234E">
        <w:rPr>
          <w:rFonts w:asciiTheme="majorBidi" w:hAnsiTheme="majorBidi" w:cstheme="majorBidi"/>
          <w:color w:val="1F1F1F"/>
          <w:sz w:val="24"/>
          <w:szCs w:val="24"/>
        </w:rPr>
        <w:t>this difference will not be detailed</w:t>
      </w:r>
      <w:r w:rsidR="004F797C">
        <w:rPr>
          <w:rStyle w:val="FootnoteReference"/>
          <w:rFonts w:asciiTheme="majorBidi" w:hAnsiTheme="majorBidi"/>
          <w:color w:val="1F1F1F"/>
          <w:sz w:val="24"/>
          <w:szCs w:val="24"/>
        </w:rPr>
        <w:footnoteReference w:id="41"/>
      </w:r>
      <w:r w:rsidRPr="00CA5C94">
        <w:rPr>
          <w:rFonts w:asciiTheme="majorBidi" w:hAnsiTheme="majorBidi"/>
          <w:color w:val="1F1F1F"/>
          <w:sz w:val="24"/>
        </w:rPr>
        <w:t>.</w:t>
      </w:r>
    </w:p>
    <w:p w14:paraId="0460051D" w14:textId="7BB7BBCC"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The second property in Adat Perpatih is the property of the bearer</w:t>
      </w:r>
      <w:r w:rsidR="00CE0628">
        <w:rPr>
          <w:rStyle w:val="FootnoteReference"/>
          <w:rFonts w:asciiTheme="majorBidi" w:hAnsiTheme="majorBidi"/>
          <w:color w:val="1F1F1F"/>
          <w:sz w:val="24"/>
        </w:rPr>
        <w:footnoteReference w:id="42"/>
      </w:r>
      <w:r w:rsidRPr="00CA5C94">
        <w:rPr>
          <w:rFonts w:asciiTheme="majorBidi" w:hAnsiTheme="majorBidi"/>
          <w:color w:val="1F1F1F"/>
          <w:sz w:val="24"/>
        </w:rPr>
        <w:t>. Bearer property is property owned by a man that was acquired either when he was still single</w:t>
      </w:r>
      <w:r>
        <w:rPr>
          <w:rFonts w:asciiTheme="majorBidi" w:hAnsiTheme="majorBidi"/>
          <w:color w:val="1F1F1F"/>
          <w:sz w:val="24"/>
        </w:rPr>
        <w:t>,</w:t>
      </w:r>
      <w:r w:rsidRPr="00CA5C94">
        <w:rPr>
          <w:rFonts w:asciiTheme="majorBidi" w:hAnsiTheme="majorBidi"/>
          <w:color w:val="1F1F1F"/>
          <w:sz w:val="24"/>
        </w:rPr>
        <w:t xml:space="preserve"> or property given by his mother. This property has absolutely nothing to do with the efforts of the wife and was acquired before the marriage. In other words, carrier property is the original property owned by the husband without any intervention from the wife. If there is a divorce between the husband and the wife, then the property must be returned to the tribe (male side only), especially if the husband dies. This means that the wife is not entitled to get the property even though the property belonged to her husband when the husband was still alive</w:t>
      </w:r>
      <w:r w:rsidR="00CE0628">
        <w:rPr>
          <w:rFonts w:asciiTheme="majorBidi" w:hAnsiTheme="majorBidi"/>
          <w:color w:val="1F1F1F"/>
          <w:sz w:val="24"/>
        </w:rPr>
        <w:t>.</w:t>
      </w:r>
    </w:p>
    <w:p w14:paraId="45108747" w14:textId="637C3D42" w:rsidR="008858F7" w:rsidRDefault="008858F7" w:rsidP="008858F7">
      <w:pPr>
        <w:spacing w:after="0" w:line="240" w:lineRule="auto"/>
        <w:ind w:firstLine="567"/>
        <w:jc w:val="both"/>
        <w:rPr>
          <w:rFonts w:asciiTheme="majorBidi" w:eastAsia="Times New Roman" w:hAnsiTheme="majorBidi" w:cstheme="majorBidi"/>
          <w:color w:val="1F1F1F"/>
          <w:sz w:val="24"/>
          <w:szCs w:val="24"/>
        </w:rPr>
      </w:pPr>
      <w:r w:rsidRPr="00CA5C94">
        <w:rPr>
          <w:rFonts w:asciiTheme="majorBidi" w:hAnsiTheme="majorBidi"/>
          <w:color w:val="1F1F1F"/>
          <w:sz w:val="24"/>
        </w:rPr>
        <w:t xml:space="preserve">Acquired property is the property owned by a woman before her marriage to her husband. He acquired this property either as a gift or through his own efforts before the marriage. Just as the property of the bearer belongs to the husband, the acquired property is the property that belongs to the wife absolutely without any interference from the husband. The husband can only work on the property but not own the property because the ownership of the property still belongs to the wife. In the case of this kind of property, if there is a divorce against the couple, then the husband is not entitled to get the property </w:t>
      </w:r>
      <w:r w:rsidRPr="0030441B">
        <w:rPr>
          <w:rFonts w:asciiTheme="majorBidi" w:eastAsia="Times New Roman" w:hAnsiTheme="majorBidi" w:cstheme="majorBidi"/>
          <w:color w:val="1F1F1F"/>
          <w:sz w:val="24"/>
          <w:szCs w:val="24"/>
        </w:rPr>
        <w:t>the said</w:t>
      </w:r>
      <w:r w:rsidR="004F797C">
        <w:rPr>
          <w:rStyle w:val="FootnoteReference"/>
          <w:rFonts w:asciiTheme="majorBidi" w:eastAsia="Times New Roman" w:hAnsiTheme="majorBidi"/>
          <w:color w:val="1F1F1F"/>
          <w:sz w:val="24"/>
          <w:szCs w:val="24"/>
        </w:rPr>
        <w:footnoteReference w:id="43"/>
      </w:r>
      <w:r w:rsidRPr="0030441B">
        <w:rPr>
          <w:rFonts w:asciiTheme="majorBidi" w:eastAsia="Times New Roman" w:hAnsiTheme="majorBidi" w:cstheme="majorBidi"/>
          <w:color w:val="1F1F1F"/>
          <w:sz w:val="24"/>
          <w:szCs w:val="24"/>
        </w:rPr>
        <w:t>.</w:t>
      </w:r>
    </w:p>
    <w:p w14:paraId="0A24A30F" w14:textId="08811C69" w:rsidR="008858F7" w:rsidRDefault="008858F7" w:rsidP="008858F7">
      <w:pPr>
        <w:spacing w:after="0" w:line="240" w:lineRule="auto"/>
        <w:ind w:firstLine="567"/>
        <w:jc w:val="both"/>
        <w:rPr>
          <w:rFonts w:asciiTheme="majorBidi" w:hAnsiTheme="majorBidi"/>
          <w:color w:val="1F1F1F"/>
          <w:sz w:val="24"/>
        </w:rPr>
      </w:pPr>
      <w:r w:rsidRPr="0030441B">
        <w:rPr>
          <w:rFonts w:asciiTheme="majorBidi" w:eastAsia="Times New Roman" w:hAnsiTheme="majorBidi" w:cstheme="majorBidi"/>
          <w:color w:val="1F1F1F"/>
          <w:sz w:val="24"/>
          <w:szCs w:val="24"/>
        </w:rPr>
        <w:t>Instead</w:t>
      </w:r>
      <w:r>
        <w:rPr>
          <w:rFonts w:asciiTheme="majorBidi" w:eastAsia="Times New Roman" w:hAnsiTheme="majorBidi" w:cstheme="majorBidi"/>
          <w:color w:val="1F1F1F"/>
          <w:sz w:val="24"/>
          <w:szCs w:val="24"/>
        </w:rPr>
        <w:t>,</w:t>
      </w:r>
      <w:r w:rsidRPr="0030441B">
        <w:rPr>
          <w:rFonts w:asciiTheme="majorBidi" w:eastAsia="Times New Roman" w:hAnsiTheme="majorBidi" w:cstheme="majorBidi"/>
          <w:color w:val="1F1F1F"/>
          <w:sz w:val="24"/>
          <w:szCs w:val="24"/>
        </w:rPr>
        <w:t xml:space="preserve"> the property will be given to the daughter of the couple. If the couple does not have offspring, then the property must be handed over to the female family member or tribe. On the other hand, search property is the property acquired jointly by the couple throughout the duration of their marriage. The concept of search property in </w:t>
      </w:r>
      <w:r>
        <w:rPr>
          <w:rFonts w:asciiTheme="majorBidi" w:eastAsia="Times New Roman" w:hAnsiTheme="majorBidi" w:cstheme="majorBidi"/>
          <w:color w:val="1F1F1F"/>
          <w:sz w:val="24"/>
          <w:szCs w:val="24"/>
        </w:rPr>
        <w:t>P</w:t>
      </w:r>
      <w:r w:rsidRPr="0030441B">
        <w:rPr>
          <w:rFonts w:asciiTheme="majorBidi" w:eastAsia="Times New Roman" w:hAnsiTheme="majorBidi" w:cstheme="majorBidi"/>
          <w:color w:val="1F1F1F"/>
          <w:sz w:val="24"/>
          <w:szCs w:val="24"/>
        </w:rPr>
        <w:t xml:space="preserve">erpatih custom is the same as the concept of </w:t>
      </w:r>
      <w:r w:rsidRPr="008604C8">
        <w:rPr>
          <w:rFonts w:asciiTheme="majorBidi" w:eastAsia="Times New Roman" w:hAnsiTheme="majorBidi" w:cstheme="majorBidi"/>
          <w:i/>
          <w:iCs/>
          <w:color w:val="1F1F1F"/>
          <w:sz w:val="24"/>
          <w:szCs w:val="24"/>
        </w:rPr>
        <w:t>harta sepencarian</w:t>
      </w:r>
      <w:r w:rsidRPr="0030441B">
        <w:rPr>
          <w:rFonts w:asciiTheme="majorBidi" w:eastAsia="Times New Roman" w:hAnsiTheme="majorBidi" w:cstheme="majorBidi"/>
          <w:color w:val="1F1F1F"/>
          <w:sz w:val="24"/>
          <w:szCs w:val="24"/>
        </w:rPr>
        <w:t xml:space="preserve"> in Temenggung </w:t>
      </w:r>
      <w:r>
        <w:rPr>
          <w:rFonts w:asciiTheme="majorBidi" w:eastAsia="Times New Roman" w:hAnsiTheme="majorBidi" w:cstheme="majorBidi"/>
          <w:color w:val="1F1F1F"/>
          <w:sz w:val="24"/>
          <w:szCs w:val="24"/>
        </w:rPr>
        <w:t>c</w:t>
      </w:r>
      <w:r w:rsidRPr="0030441B">
        <w:rPr>
          <w:rFonts w:asciiTheme="majorBidi" w:eastAsia="Times New Roman" w:hAnsiTheme="majorBidi" w:cstheme="majorBidi"/>
          <w:color w:val="1F1F1F"/>
          <w:sz w:val="24"/>
          <w:szCs w:val="24"/>
        </w:rPr>
        <w:t xml:space="preserve">ustom which is </w:t>
      </w:r>
      <w:r w:rsidR="00C13AE6">
        <w:rPr>
          <w:rFonts w:asciiTheme="majorBidi" w:eastAsia="Times New Roman" w:hAnsiTheme="majorBidi" w:cstheme="majorBidi"/>
          <w:color w:val="1F1F1F"/>
          <w:sz w:val="24"/>
          <w:szCs w:val="24"/>
        </w:rPr>
        <w:t>practiced</w:t>
      </w:r>
      <w:r w:rsidRPr="0030441B">
        <w:rPr>
          <w:rFonts w:asciiTheme="majorBidi" w:eastAsia="Times New Roman" w:hAnsiTheme="majorBidi" w:cstheme="majorBidi"/>
          <w:color w:val="1F1F1F"/>
          <w:sz w:val="24"/>
          <w:szCs w:val="24"/>
        </w:rPr>
        <w:t xml:space="preserve"> in most of the states in Malaysia. Since this property is obtained from a joint effort between husband and wife, this property must be divided equally if there is a divorce between the two parties. If the divorce occurs due to death, then the surviving party will divide the property with the children. </w:t>
      </w:r>
    </w:p>
    <w:p w14:paraId="42027A37" w14:textId="77777777" w:rsidR="008858F7" w:rsidRDefault="008858F7" w:rsidP="008858F7">
      <w:pPr>
        <w:spacing w:after="0" w:line="240" w:lineRule="auto"/>
        <w:ind w:firstLine="567"/>
        <w:jc w:val="both"/>
        <w:rPr>
          <w:rFonts w:asciiTheme="majorBidi" w:hAnsiTheme="majorBidi"/>
          <w:color w:val="1F1F1F"/>
          <w:sz w:val="24"/>
        </w:rPr>
      </w:pPr>
      <w:r w:rsidRPr="0030441B">
        <w:rPr>
          <w:rFonts w:asciiTheme="majorBidi" w:eastAsia="Times New Roman" w:hAnsiTheme="majorBidi" w:cstheme="majorBidi"/>
          <w:i/>
          <w:iCs/>
          <w:color w:val="1F1F1F"/>
          <w:sz w:val="24"/>
          <w:szCs w:val="24"/>
        </w:rPr>
        <w:t>Pembawa kembali,</w:t>
      </w:r>
    </w:p>
    <w:p w14:paraId="72C92E07" w14:textId="77777777" w:rsidR="008858F7" w:rsidRDefault="008858F7" w:rsidP="008858F7">
      <w:pPr>
        <w:spacing w:after="0" w:line="240" w:lineRule="auto"/>
        <w:ind w:firstLine="567"/>
        <w:jc w:val="both"/>
        <w:rPr>
          <w:rFonts w:asciiTheme="majorBidi" w:hAnsiTheme="majorBidi"/>
          <w:color w:val="1F1F1F"/>
          <w:sz w:val="24"/>
        </w:rPr>
      </w:pPr>
      <w:r w:rsidRPr="0030441B">
        <w:rPr>
          <w:rFonts w:asciiTheme="majorBidi" w:eastAsia="Times New Roman" w:hAnsiTheme="majorBidi" w:cstheme="majorBidi"/>
          <w:i/>
          <w:iCs/>
          <w:color w:val="1F1F1F"/>
          <w:sz w:val="24"/>
          <w:szCs w:val="24"/>
        </w:rPr>
        <w:t xml:space="preserve">Dapatan tinggal, </w:t>
      </w:r>
    </w:p>
    <w:p w14:paraId="7B46E05D" w14:textId="77777777" w:rsidR="008858F7" w:rsidRDefault="008858F7" w:rsidP="008858F7">
      <w:pPr>
        <w:spacing w:after="0" w:line="240" w:lineRule="auto"/>
        <w:ind w:firstLine="567"/>
        <w:jc w:val="both"/>
        <w:rPr>
          <w:rFonts w:asciiTheme="majorBidi" w:hAnsiTheme="majorBidi"/>
          <w:color w:val="1F1F1F"/>
          <w:sz w:val="24"/>
        </w:rPr>
      </w:pPr>
      <w:r w:rsidRPr="0030441B">
        <w:rPr>
          <w:rFonts w:asciiTheme="majorBidi" w:eastAsia="Times New Roman" w:hAnsiTheme="majorBidi" w:cstheme="majorBidi"/>
          <w:i/>
          <w:iCs/>
          <w:color w:val="1F1F1F"/>
          <w:sz w:val="24"/>
          <w:szCs w:val="24"/>
        </w:rPr>
        <w:t>Carian bahagi,</w:t>
      </w:r>
    </w:p>
    <w:p w14:paraId="1484DE25" w14:textId="77777777" w:rsidR="008858F7" w:rsidRDefault="008858F7" w:rsidP="008858F7">
      <w:pPr>
        <w:spacing w:after="0" w:line="240" w:lineRule="auto"/>
        <w:ind w:firstLine="567"/>
        <w:jc w:val="both"/>
        <w:rPr>
          <w:rFonts w:asciiTheme="majorBidi" w:hAnsiTheme="majorBidi"/>
          <w:color w:val="1F1F1F"/>
          <w:sz w:val="24"/>
        </w:rPr>
      </w:pPr>
      <w:r w:rsidRPr="0030441B">
        <w:rPr>
          <w:rFonts w:asciiTheme="majorBidi" w:eastAsia="Times New Roman" w:hAnsiTheme="majorBidi" w:cstheme="majorBidi"/>
          <w:i/>
          <w:iCs/>
          <w:color w:val="1F1F1F"/>
          <w:sz w:val="24"/>
          <w:szCs w:val="24"/>
        </w:rPr>
        <w:t>Mati laki tinggal ke bini,</w:t>
      </w:r>
    </w:p>
    <w:p w14:paraId="3239311B" w14:textId="77777777" w:rsidR="008858F7" w:rsidRDefault="008858F7" w:rsidP="008858F7">
      <w:pPr>
        <w:spacing w:after="0" w:line="240" w:lineRule="auto"/>
        <w:ind w:firstLine="567"/>
        <w:jc w:val="both"/>
        <w:rPr>
          <w:rFonts w:asciiTheme="majorBidi" w:hAnsiTheme="majorBidi"/>
          <w:color w:val="1F1F1F"/>
          <w:sz w:val="24"/>
        </w:rPr>
      </w:pPr>
      <w:r w:rsidRPr="0030441B">
        <w:rPr>
          <w:rFonts w:asciiTheme="majorBidi" w:eastAsia="Times New Roman" w:hAnsiTheme="majorBidi" w:cstheme="majorBidi"/>
          <w:i/>
          <w:iCs/>
          <w:color w:val="1F1F1F"/>
          <w:sz w:val="24"/>
          <w:szCs w:val="24"/>
        </w:rPr>
        <w:t>Mati bini tinggal ke laki.</w:t>
      </w:r>
    </w:p>
    <w:p w14:paraId="7A72B68F" w14:textId="62463EAE" w:rsidR="008858F7" w:rsidRDefault="008858F7" w:rsidP="008858F7">
      <w:pPr>
        <w:spacing w:after="0" w:line="240" w:lineRule="auto"/>
        <w:ind w:firstLine="567"/>
        <w:jc w:val="both"/>
        <w:rPr>
          <w:rFonts w:asciiTheme="majorBidi" w:hAnsiTheme="majorBidi"/>
          <w:color w:val="1F1F1F"/>
          <w:sz w:val="24"/>
        </w:rPr>
      </w:pPr>
      <w:r w:rsidRPr="0030441B">
        <w:rPr>
          <w:rFonts w:asciiTheme="majorBidi" w:eastAsia="Times New Roman" w:hAnsiTheme="majorBidi" w:cstheme="majorBidi"/>
          <w:color w:val="1F1F1F"/>
          <w:sz w:val="24"/>
          <w:szCs w:val="24"/>
        </w:rPr>
        <w:t xml:space="preserve">In today's situation in the state of Sembilan, matrimonial property cases brought to the Syariah Court involve property that is </w:t>
      </w:r>
      <w:r w:rsidR="00D433CB" w:rsidRPr="0030441B">
        <w:rPr>
          <w:rFonts w:asciiTheme="majorBidi" w:eastAsia="Times New Roman" w:hAnsiTheme="majorBidi" w:cstheme="majorBidi"/>
          <w:color w:val="1F1F1F"/>
          <w:sz w:val="24"/>
          <w:szCs w:val="24"/>
        </w:rPr>
        <w:t>categori</w:t>
      </w:r>
      <w:r w:rsidR="00D433CB">
        <w:rPr>
          <w:rFonts w:asciiTheme="majorBidi" w:eastAsia="Times New Roman" w:hAnsiTheme="majorBidi" w:cstheme="majorBidi"/>
          <w:color w:val="1F1F1F"/>
          <w:sz w:val="24"/>
          <w:szCs w:val="24"/>
        </w:rPr>
        <w:t>z</w:t>
      </w:r>
      <w:r w:rsidR="00D433CB" w:rsidRPr="0030441B">
        <w:rPr>
          <w:rFonts w:asciiTheme="majorBidi" w:eastAsia="Times New Roman" w:hAnsiTheme="majorBidi" w:cstheme="majorBidi"/>
          <w:color w:val="1F1F1F"/>
          <w:sz w:val="24"/>
          <w:szCs w:val="24"/>
        </w:rPr>
        <w:t>ed</w:t>
      </w:r>
      <w:r w:rsidRPr="0030441B">
        <w:rPr>
          <w:rFonts w:asciiTheme="majorBidi" w:eastAsia="Times New Roman" w:hAnsiTheme="majorBidi" w:cstheme="majorBidi"/>
          <w:color w:val="1F1F1F"/>
          <w:sz w:val="24"/>
          <w:szCs w:val="24"/>
        </w:rPr>
        <w:t xml:space="preserve"> as matrimonial property only. This </w:t>
      </w:r>
      <w:r w:rsidRPr="0030441B">
        <w:rPr>
          <w:rFonts w:asciiTheme="majorBidi" w:eastAsia="Times New Roman" w:hAnsiTheme="majorBidi" w:cstheme="majorBidi"/>
          <w:color w:val="1F1F1F"/>
          <w:sz w:val="24"/>
          <w:szCs w:val="24"/>
        </w:rPr>
        <w:lastRenderedPageBreak/>
        <w:t xml:space="preserve">means that any property acquired by a married couple in tempeh marriage will only be tried in the Syariah Court through the Enactment of Family Law enforced in this state. </w:t>
      </w:r>
    </w:p>
    <w:p w14:paraId="30467221" w14:textId="77777777" w:rsidR="008858F7" w:rsidRDefault="008858F7" w:rsidP="008858F7">
      <w:pPr>
        <w:spacing w:after="0" w:line="240" w:lineRule="auto"/>
        <w:ind w:firstLine="567"/>
        <w:jc w:val="both"/>
        <w:rPr>
          <w:rFonts w:asciiTheme="majorBidi" w:hAnsiTheme="majorBidi"/>
          <w:color w:val="1F1F1F"/>
          <w:sz w:val="24"/>
        </w:rPr>
      </w:pPr>
    </w:p>
    <w:p w14:paraId="7A4C7F7B" w14:textId="77777777" w:rsidR="008858F7" w:rsidRDefault="008858F7" w:rsidP="008858F7">
      <w:pPr>
        <w:spacing w:after="0" w:line="240" w:lineRule="auto"/>
        <w:ind w:firstLine="567"/>
        <w:jc w:val="both"/>
        <w:rPr>
          <w:rFonts w:asciiTheme="majorBidi" w:hAnsiTheme="majorBidi"/>
          <w:color w:val="1F1F1F"/>
          <w:sz w:val="24"/>
        </w:rPr>
      </w:pPr>
      <w:r w:rsidRPr="0030441B">
        <w:rPr>
          <w:rFonts w:asciiTheme="majorBidi" w:eastAsia="Times New Roman" w:hAnsiTheme="majorBidi" w:cstheme="majorBidi"/>
          <w:b/>
          <w:bCs/>
          <w:color w:val="1F1F1F"/>
          <w:sz w:val="24"/>
          <w:szCs w:val="24"/>
        </w:rPr>
        <w:t xml:space="preserve">Local Wisdom in Sharing Property Division </w:t>
      </w:r>
    </w:p>
    <w:p w14:paraId="0A2579BE" w14:textId="73A3B20A" w:rsidR="00054DCA" w:rsidRDefault="008858F7" w:rsidP="00054DCA">
      <w:pPr>
        <w:spacing w:after="0" w:line="240" w:lineRule="auto"/>
        <w:ind w:firstLine="567"/>
        <w:jc w:val="both"/>
        <w:rPr>
          <w:rFonts w:asciiTheme="majorBidi" w:hAnsiTheme="majorBidi"/>
          <w:color w:val="1F1F1F"/>
          <w:sz w:val="24"/>
        </w:rPr>
      </w:pPr>
      <w:r w:rsidRPr="0030441B">
        <w:rPr>
          <w:rFonts w:asciiTheme="majorBidi" w:eastAsia="Times New Roman" w:hAnsiTheme="majorBidi" w:cstheme="majorBidi"/>
          <w:color w:val="1F1F1F"/>
          <w:sz w:val="24"/>
          <w:szCs w:val="24"/>
        </w:rPr>
        <w:t xml:space="preserve">The practice of dividing </w:t>
      </w:r>
      <w:r w:rsidRPr="008604C8">
        <w:rPr>
          <w:rFonts w:asciiTheme="majorBidi" w:eastAsia="Times New Roman" w:hAnsiTheme="majorBidi" w:cstheme="majorBidi"/>
          <w:i/>
          <w:iCs/>
          <w:color w:val="1F1F1F"/>
          <w:sz w:val="24"/>
          <w:szCs w:val="24"/>
        </w:rPr>
        <w:t>harta sepencarian</w:t>
      </w:r>
      <w:r w:rsidRPr="0030441B">
        <w:rPr>
          <w:rFonts w:asciiTheme="majorBidi" w:eastAsia="Times New Roman" w:hAnsiTheme="majorBidi" w:cstheme="majorBidi"/>
          <w:color w:val="1F1F1F"/>
          <w:sz w:val="24"/>
          <w:szCs w:val="24"/>
        </w:rPr>
        <w:t xml:space="preserve"> </w:t>
      </w:r>
      <w:r w:rsidR="00C13AE6">
        <w:rPr>
          <w:rFonts w:asciiTheme="majorBidi" w:eastAsia="Times New Roman" w:hAnsiTheme="majorBidi" w:cstheme="majorBidi"/>
          <w:color w:val="1F1F1F"/>
          <w:sz w:val="24"/>
          <w:szCs w:val="24"/>
        </w:rPr>
        <w:t>practiced</w:t>
      </w:r>
      <w:r w:rsidRPr="0030441B">
        <w:rPr>
          <w:rFonts w:asciiTheme="majorBidi" w:eastAsia="Times New Roman" w:hAnsiTheme="majorBidi" w:cstheme="majorBidi"/>
          <w:color w:val="1F1F1F"/>
          <w:sz w:val="24"/>
          <w:szCs w:val="24"/>
        </w:rPr>
        <w:t xml:space="preserve"> in Malaysia </w:t>
      </w:r>
      <w:r w:rsidRPr="000463C0">
        <w:rPr>
          <w:rFonts w:asciiTheme="majorBidi" w:eastAsia="Times New Roman" w:hAnsiTheme="majorBidi" w:cstheme="majorBidi"/>
          <w:color w:val="1F1F1F"/>
          <w:sz w:val="24"/>
          <w:szCs w:val="24"/>
        </w:rPr>
        <w:t>exhibits a unique approach</w:t>
      </w:r>
      <w:r>
        <w:rPr>
          <w:rFonts w:asciiTheme="majorBidi" w:eastAsia="Times New Roman" w:hAnsiTheme="majorBidi" w:cstheme="majorBidi"/>
          <w:color w:val="1F1F1F"/>
          <w:sz w:val="24"/>
          <w:szCs w:val="24"/>
        </w:rPr>
        <w:t xml:space="preserve"> </w:t>
      </w:r>
      <w:r w:rsidRPr="0030441B">
        <w:rPr>
          <w:rFonts w:asciiTheme="majorBidi" w:eastAsia="Times New Roman" w:hAnsiTheme="majorBidi" w:cstheme="majorBidi"/>
          <w:color w:val="1F1F1F"/>
          <w:sz w:val="24"/>
          <w:szCs w:val="24"/>
        </w:rPr>
        <w:t xml:space="preserve">compared to the practice of dividing property in other countries. </w:t>
      </w:r>
      <w:r>
        <w:rPr>
          <w:rFonts w:asciiTheme="majorBidi" w:eastAsia="Times New Roman" w:hAnsiTheme="majorBidi" w:cstheme="majorBidi"/>
          <w:color w:val="1F1F1F"/>
          <w:sz w:val="24"/>
          <w:szCs w:val="24"/>
        </w:rPr>
        <w:t xml:space="preserve">Moreover, </w:t>
      </w:r>
      <w:r w:rsidRPr="0030441B">
        <w:rPr>
          <w:rFonts w:asciiTheme="majorBidi" w:eastAsia="Times New Roman" w:hAnsiTheme="majorBidi" w:cstheme="majorBidi"/>
          <w:color w:val="1F1F1F"/>
          <w:sz w:val="24"/>
          <w:szCs w:val="24"/>
        </w:rPr>
        <w:t xml:space="preserve">the distribution system based on the contribution rate is </w:t>
      </w:r>
      <w:r>
        <w:rPr>
          <w:rFonts w:asciiTheme="majorBidi" w:eastAsia="Times New Roman" w:hAnsiTheme="majorBidi" w:cstheme="majorBidi"/>
          <w:color w:val="1F1F1F"/>
          <w:sz w:val="24"/>
          <w:szCs w:val="24"/>
        </w:rPr>
        <w:t>particularly</w:t>
      </w:r>
      <w:r w:rsidRPr="0030441B">
        <w:rPr>
          <w:rFonts w:asciiTheme="majorBidi" w:eastAsia="Times New Roman" w:hAnsiTheme="majorBidi" w:cstheme="majorBidi"/>
          <w:color w:val="1F1F1F"/>
          <w:sz w:val="24"/>
          <w:szCs w:val="24"/>
        </w:rPr>
        <w:t xml:space="preserve"> interesting to study </w:t>
      </w:r>
      <w:r>
        <w:rPr>
          <w:rFonts w:asciiTheme="majorBidi" w:eastAsia="Times New Roman" w:hAnsiTheme="majorBidi" w:cstheme="majorBidi"/>
          <w:color w:val="1F1F1F"/>
          <w:sz w:val="24"/>
          <w:szCs w:val="24"/>
        </w:rPr>
        <w:t xml:space="preserve">as it </w:t>
      </w:r>
      <w:r w:rsidR="00C13AE6" w:rsidRPr="00754E22">
        <w:rPr>
          <w:rFonts w:asciiTheme="majorBidi" w:eastAsia="Times New Roman" w:hAnsiTheme="majorBidi" w:cstheme="majorBidi"/>
          <w:color w:val="1F1F1F"/>
          <w:sz w:val="24"/>
          <w:szCs w:val="24"/>
        </w:rPr>
        <w:t>emphasi</w:t>
      </w:r>
      <w:r w:rsidR="00C13AE6">
        <w:rPr>
          <w:rFonts w:asciiTheme="majorBidi" w:eastAsia="Times New Roman" w:hAnsiTheme="majorBidi" w:cstheme="majorBidi"/>
          <w:color w:val="1F1F1F"/>
          <w:sz w:val="24"/>
          <w:szCs w:val="24"/>
        </w:rPr>
        <w:t>z</w:t>
      </w:r>
      <w:r w:rsidR="00C13AE6" w:rsidRPr="00754E22">
        <w:rPr>
          <w:rFonts w:asciiTheme="majorBidi" w:eastAsia="Times New Roman" w:hAnsiTheme="majorBidi" w:cstheme="majorBidi"/>
          <w:color w:val="1F1F1F"/>
          <w:sz w:val="24"/>
          <w:szCs w:val="24"/>
        </w:rPr>
        <w:t>e</w:t>
      </w:r>
      <w:r w:rsidR="00C13AE6">
        <w:rPr>
          <w:rFonts w:asciiTheme="majorBidi" w:eastAsia="Times New Roman" w:hAnsiTheme="majorBidi" w:cstheme="majorBidi"/>
          <w:color w:val="1F1F1F"/>
          <w:sz w:val="24"/>
          <w:szCs w:val="24"/>
        </w:rPr>
        <w:t>s</w:t>
      </w:r>
      <w:r w:rsidRPr="0030441B">
        <w:rPr>
          <w:rFonts w:asciiTheme="majorBidi" w:eastAsia="Times New Roman" w:hAnsiTheme="majorBidi" w:cstheme="majorBidi"/>
          <w:color w:val="1F1F1F"/>
          <w:sz w:val="24"/>
          <w:szCs w:val="24"/>
        </w:rPr>
        <w:t xml:space="preserve"> the principle of justice in the distribution of property. This </w:t>
      </w:r>
      <w:r>
        <w:rPr>
          <w:rFonts w:asciiTheme="majorBidi" w:eastAsia="Times New Roman" w:hAnsiTheme="majorBidi" w:cstheme="majorBidi"/>
          <w:color w:val="1F1F1F"/>
          <w:sz w:val="24"/>
          <w:szCs w:val="24"/>
        </w:rPr>
        <w:t>aligns</w:t>
      </w:r>
      <w:r w:rsidRPr="0030441B">
        <w:rPr>
          <w:rFonts w:asciiTheme="majorBidi" w:eastAsia="Times New Roman" w:hAnsiTheme="majorBidi" w:cstheme="majorBidi"/>
          <w:color w:val="1F1F1F"/>
          <w:sz w:val="24"/>
          <w:szCs w:val="24"/>
        </w:rPr>
        <w:t xml:space="preserve"> with the concept taught by the Quran in verse 32 of Surah An-Nisa': "..</w:t>
      </w:r>
      <w:r w:rsidRPr="00FE6FD4">
        <w:rPr>
          <w:rFonts w:asciiTheme="majorBidi" w:eastAsia="Times New Roman" w:hAnsiTheme="majorBidi" w:cstheme="majorBidi"/>
          <w:i/>
          <w:iCs/>
          <w:color w:val="1F1F1F"/>
          <w:sz w:val="24"/>
          <w:szCs w:val="24"/>
        </w:rPr>
        <w:t xml:space="preserve">for men there is a result of what they work for and for a woman there is a result of what </w:t>
      </w:r>
      <w:r w:rsidRPr="00FE6FD4">
        <w:rPr>
          <w:rFonts w:asciiTheme="majorBidi" w:hAnsiTheme="majorBidi"/>
          <w:i/>
          <w:iCs/>
          <w:color w:val="1F1F1F"/>
          <w:sz w:val="24"/>
        </w:rPr>
        <w:t>they work</w:t>
      </w:r>
      <w:r w:rsidRPr="00CA5C94">
        <w:rPr>
          <w:rFonts w:asciiTheme="majorBidi" w:hAnsiTheme="majorBidi"/>
          <w:color w:val="1F1F1F"/>
          <w:sz w:val="24"/>
        </w:rPr>
        <w:t xml:space="preserve">". Therefore, there is no oppressed party in Malay society, either the wife or the husband. In other words, the practice of dividing </w:t>
      </w:r>
      <w:r w:rsidRPr="008604C8">
        <w:rPr>
          <w:rFonts w:asciiTheme="majorBidi" w:hAnsiTheme="majorBidi"/>
          <w:i/>
          <w:iCs/>
          <w:color w:val="1F1F1F"/>
          <w:sz w:val="24"/>
        </w:rPr>
        <w:t>harta sepencarian</w:t>
      </w:r>
      <w:r w:rsidRPr="00CA5C94">
        <w:rPr>
          <w:rFonts w:asciiTheme="majorBidi" w:hAnsiTheme="majorBidi"/>
          <w:color w:val="1F1F1F"/>
          <w:sz w:val="24"/>
        </w:rPr>
        <w:t xml:space="preserve"> </w:t>
      </w:r>
      <w:r>
        <w:rPr>
          <w:rFonts w:asciiTheme="majorBidi" w:hAnsiTheme="majorBidi" w:cstheme="majorBidi"/>
          <w:color w:val="1F1F1F"/>
          <w:sz w:val="24"/>
          <w:szCs w:val="24"/>
          <w:lang w:val="en"/>
        </w:rPr>
        <w:t>practiced</w:t>
      </w:r>
      <w:r w:rsidRPr="00CA5C94">
        <w:rPr>
          <w:rFonts w:asciiTheme="majorBidi" w:hAnsiTheme="majorBidi"/>
          <w:color w:val="1F1F1F"/>
          <w:sz w:val="24"/>
        </w:rPr>
        <w:t xml:space="preserve"> in the Malay Society </w:t>
      </w:r>
      <w:r>
        <w:rPr>
          <w:rFonts w:asciiTheme="majorBidi" w:hAnsiTheme="majorBidi" w:cstheme="majorBidi"/>
          <w:color w:val="1F1F1F"/>
          <w:sz w:val="24"/>
          <w:szCs w:val="24"/>
        </w:rPr>
        <w:t>demonstrates</w:t>
      </w:r>
      <w:r w:rsidRPr="00CA5C94">
        <w:rPr>
          <w:rFonts w:asciiTheme="majorBidi" w:hAnsiTheme="majorBidi"/>
          <w:color w:val="1F1F1F"/>
          <w:sz w:val="24"/>
        </w:rPr>
        <w:t xml:space="preserve"> that:</w:t>
      </w:r>
    </w:p>
    <w:p w14:paraId="0E5A16CE" w14:textId="77777777" w:rsidR="00AD27A8" w:rsidRDefault="00AD27A8" w:rsidP="00FE6FD4">
      <w:pPr>
        <w:spacing w:after="0" w:line="240" w:lineRule="auto"/>
        <w:jc w:val="both"/>
        <w:rPr>
          <w:rFonts w:asciiTheme="majorBidi" w:hAnsiTheme="majorBidi"/>
          <w:i/>
          <w:iCs/>
          <w:color w:val="1F1F1F"/>
          <w:sz w:val="24"/>
        </w:rPr>
      </w:pPr>
    </w:p>
    <w:p w14:paraId="3C0CC368" w14:textId="012F4AED" w:rsidR="008858F7" w:rsidRPr="00054DCA" w:rsidRDefault="008858F7" w:rsidP="00054DCA">
      <w:pPr>
        <w:spacing w:after="0" w:line="240" w:lineRule="auto"/>
        <w:ind w:firstLine="567"/>
        <w:jc w:val="both"/>
        <w:rPr>
          <w:rFonts w:asciiTheme="majorBidi" w:hAnsiTheme="majorBidi"/>
          <w:color w:val="1F1F1F"/>
          <w:sz w:val="24"/>
        </w:rPr>
      </w:pPr>
      <w:r w:rsidRPr="00054DCA">
        <w:rPr>
          <w:rFonts w:asciiTheme="majorBidi" w:hAnsiTheme="majorBidi"/>
          <w:i/>
          <w:iCs/>
          <w:color w:val="1F1F1F"/>
          <w:sz w:val="24"/>
        </w:rPr>
        <w:t>Recognition of wome</w:t>
      </w:r>
      <w:r w:rsidR="00054DCA">
        <w:rPr>
          <w:rFonts w:asciiTheme="majorBidi" w:hAnsiTheme="majorBidi"/>
          <w:i/>
          <w:iCs/>
          <w:color w:val="1F1F1F"/>
          <w:sz w:val="24"/>
        </w:rPr>
        <w:t>n</w:t>
      </w:r>
    </w:p>
    <w:p w14:paraId="39BE34ED" w14:textId="73A2DFFD"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Women have been </w:t>
      </w:r>
      <w:r w:rsidR="00C13AE6" w:rsidRPr="00CA5C94">
        <w:rPr>
          <w:rFonts w:asciiTheme="majorBidi" w:hAnsiTheme="majorBidi"/>
          <w:color w:val="1F1F1F"/>
          <w:sz w:val="24"/>
        </w:rPr>
        <w:t>recogni</w:t>
      </w:r>
      <w:r w:rsidR="00C13AE6">
        <w:rPr>
          <w:rFonts w:asciiTheme="majorBidi" w:hAnsiTheme="majorBidi"/>
          <w:color w:val="1F1F1F"/>
          <w:sz w:val="24"/>
        </w:rPr>
        <w:t>z</w:t>
      </w:r>
      <w:r w:rsidR="00C13AE6" w:rsidRPr="00CA5C94">
        <w:rPr>
          <w:rFonts w:asciiTheme="majorBidi" w:hAnsiTheme="majorBidi"/>
          <w:color w:val="1F1F1F"/>
          <w:sz w:val="24"/>
        </w:rPr>
        <w:t>ed</w:t>
      </w:r>
      <w:r w:rsidRPr="00CA5C94">
        <w:rPr>
          <w:rFonts w:asciiTheme="majorBidi" w:hAnsiTheme="majorBidi"/>
          <w:color w:val="1F1F1F"/>
          <w:sz w:val="24"/>
        </w:rPr>
        <w:t xml:space="preserve"> according to the position of women who are elevated to a noble position in Islam. We all know that the position of women was very low in the Arab Age of Ignorance. Almost all tribes in the Arabian Peninsula look down on women</w:t>
      </w:r>
      <w:r w:rsidR="00797CB2">
        <w:rPr>
          <w:rStyle w:val="FootnoteReference"/>
          <w:rFonts w:asciiTheme="majorBidi" w:hAnsiTheme="majorBidi"/>
          <w:color w:val="1F1F1F"/>
          <w:sz w:val="24"/>
        </w:rPr>
        <w:footnoteReference w:id="44"/>
      </w:r>
      <w:r w:rsidR="00797CB2">
        <w:rPr>
          <w:rFonts w:asciiTheme="majorBidi" w:hAnsiTheme="majorBidi"/>
          <w:color w:val="1F1F1F"/>
          <w:sz w:val="24"/>
        </w:rPr>
        <w:t xml:space="preserve">. </w:t>
      </w:r>
      <w:r w:rsidRPr="00CA5C94">
        <w:rPr>
          <w:rFonts w:asciiTheme="majorBidi" w:hAnsiTheme="majorBidi"/>
          <w:color w:val="1F1F1F"/>
          <w:sz w:val="24"/>
        </w:rPr>
        <w:t>Women are considered worthless and only as a tool to satisfy men's lust. As a result, women at that time suffered greatly and were worthless</w:t>
      </w:r>
      <w:r w:rsidR="00450D48">
        <w:rPr>
          <w:rStyle w:val="FootnoteReference"/>
          <w:rFonts w:asciiTheme="majorBidi" w:hAnsiTheme="majorBidi"/>
          <w:color w:val="1F1F1F"/>
          <w:sz w:val="24"/>
        </w:rPr>
        <w:footnoteReference w:id="45"/>
      </w:r>
      <w:r w:rsidRPr="00CA5C94">
        <w:rPr>
          <w:rFonts w:asciiTheme="majorBidi" w:hAnsiTheme="majorBidi"/>
          <w:color w:val="1F1F1F"/>
          <w:sz w:val="24"/>
        </w:rPr>
        <w:t>. At that time, the Jahilliyah Arabs were very concerned about the power and glory of men</w:t>
      </w:r>
      <w:r>
        <w:rPr>
          <w:rFonts w:asciiTheme="majorBidi" w:hAnsiTheme="majorBidi"/>
          <w:color w:val="1F1F1F"/>
          <w:sz w:val="24"/>
        </w:rPr>
        <w:t>,</w:t>
      </w:r>
      <w:r w:rsidRPr="00CA5C94">
        <w:rPr>
          <w:rFonts w:asciiTheme="majorBidi" w:hAnsiTheme="majorBidi"/>
          <w:color w:val="1F1F1F"/>
          <w:sz w:val="24"/>
        </w:rPr>
        <w:t xml:space="preserve"> and they considered that only men were entitled and qualified to lead a tribe that could lead its followers.</w:t>
      </w:r>
    </w:p>
    <w:p w14:paraId="0082F459" w14:textId="7BA9CD46"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Even in Western </w:t>
      </w:r>
      <w:r w:rsidR="00C13AE6" w:rsidRPr="00CA5C94">
        <w:rPr>
          <w:rFonts w:asciiTheme="majorBidi" w:hAnsiTheme="majorBidi"/>
          <w:color w:val="1F1F1F"/>
          <w:sz w:val="24"/>
        </w:rPr>
        <w:t>Civili</w:t>
      </w:r>
      <w:r w:rsidR="00C13AE6">
        <w:rPr>
          <w:rFonts w:asciiTheme="majorBidi" w:hAnsiTheme="majorBidi"/>
          <w:color w:val="1F1F1F"/>
          <w:sz w:val="24"/>
        </w:rPr>
        <w:t>z</w:t>
      </w:r>
      <w:r w:rsidR="00C13AE6" w:rsidRPr="00CA5C94">
        <w:rPr>
          <w:rFonts w:asciiTheme="majorBidi" w:hAnsiTheme="majorBidi"/>
          <w:color w:val="1F1F1F"/>
          <w:sz w:val="24"/>
        </w:rPr>
        <w:t>ation</w:t>
      </w:r>
      <w:r w:rsidRPr="00CA5C94">
        <w:rPr>
          <w:rFonts w:asciiTheme="majorBidi" w:hAnsiTheme="majorBidi"/>
          <w:color w:val="1F1F1F"/>
          <w:sz w:val="24"/>
        </w:rPr>
        <w:t xml:space="preserve">, oppression of women also occurs in their society. Women during the time of Greek </w:t>
      </w:r>
      <w:r w:rsidR="00C13AE6" w:rsidRPr="00CA5C94">
        <w:rPr>
          <w:rFonts w:asciiTheme="majorBidi" w:hAnsiTheme="majorBidi"/>
          <w:color w:val="1F1F1F"/>
          <w:sz w:val="24"/>
        </w:rPr>
        <w:t>Civili</w:t>
      </w:r>
      <w:r w:rsidR="00C13AE6">
        <w:rPr>
          <w:rFonts w:asciiTheme="majorBidi" w:hAnsiTheme="majorBidi"/>
          <w:color w:val="1F1F1F"/>
          <w:sz w:val="24"/>
        </w:rPr>
        <w:t>z</w:t>
      </w:r>
      <w:r w:rsidR="00C13AE6" w:rsidRPr="00CA5C94">
        <w:rPr>
          <w:rFonts w:asciiTheme="majorBidi" w:hAnsiTheme="majorBidi"/>
          <w:color w:val="1F1F1F"/>
          <w:sz w:val="24"/>
        </w:rPr>
        <w:t>ation</w:t>
      </w:r>
      <w:r w:rsidRPr="00CA5C94">
        <w:rPr>
          <w:rFonts w:asciiTheme="majorBidi" w:hAnsiTheme="majorBidi"/>
          <w:color w:val="1F1F1F"/>
          <w:sz w:val="24"/>
        </w:rPr>
        <w:t xml:space="preserve"> were not given privileges and were confined at home and were not given the opportunity to get an education</w:t>
      </w:r>
      <w:r w:rsidR="00CB4AF8">
        <w:rPr>
          <w:rStyle w:val="FootnoteReference"/>
          <w:rFonts w:asciiTheme="majorBidi" w:hAnsiTheme="majorBidi"/>
          <w:color w:val="1F1F1F"/>
          <w:sz w:val="24"/>
        </w:rPr>
        <w:footnoteReference w:id="46"/>
      </w:r>
      <w:r w:rsidRPr="00CA5C94">
        <w:rPr>
          <w:rFonts w:asciiTheme="majorBidi" w:hAnsiTheme="majorBidi"/>
          <w:color w:val="1F1F1F"/>
          <w:sz w:val="24"/>
        </w:rPr>
        <w:t>. They are considered only qualified to manage the household.</w:t>
      </w:r>
    </w:p>
    <w:p w14:paraId="2042FFF9" w14:textId="0515AED8"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Women in the time of the Greek </w:t>
      </w:r>
      <w:r w:rsidR="00FE6FD4" w:rsidRPr="00CA5C94">
        <w:rPr>
          <w:rFonts w:asciiTheme="majorBidi" w:hAnsiTheme="majorBidi"/>
          <w:color w:val="1F1F1F"/>
          <w:sz w:val="24"/>
        </w:rPr>
        <w:t>Civili</w:t>
      </w:r>
      <w:r w:rsidR="00FE6FD4">
        <w:rPr>
          <w:rFonts w:asciiTheme="majorBidi" w:hAnsiTheme="majorBidi"/>
          <w:color w:val="1F1F1F"/>
          <w:sz w:val="24"/>
        </w:rPr>
        <w:t>z</w:t>
      </w:r>
      <w:r w:rsidR="00FE6FD4" w:rsidRPr="00CA5C94">
        <w:rPr>
          <w:rFonts w:asciiTheme="majorBidi" w:hAnsiTheme="majorBidi"/>
          <w:color w:val="1F1F1F"/>
          <w:sz w:val="24"/>
        </w:rPr>
        <w:t>ation</w:t>
      </w:r>
      <w:r w:rsidRPr="00CA5C94">
        <w:rPr>
          <w:rFonts w:asciiTheme="majorBidi" w:hAnsiTheme="majorBidi"/>
          <w:color w:val="1F1F1F"/>
          <w:sz w:val="24"/>
        </w:rPr>
        <w:t xml:space="preserve"> were also considered the lowest of creatures, looked down upon and worthless. Houses of prostitution were used as shelters and gatherings of men from various walks of life such as poets, writers</w:t>
      </w:r>
      <w:r>
        <w:rPr>
          <w:rFonts w:asciiTheme="majorBidi" w:hAnsiTheme="majorBidi"/>
          <w:color w:val="1F1F1F"/>
          <w:sz w:val="24"/>
        </w:rPr>
        <w:t>,</w:t>
      </w:r>
      <w:r w:rsidRPr="00CA5C94">
        <w:rPr>
          <w:rFonts w:asciiTheme="majorBidi" w:hAnsiTheme="majorBidi"/>
          <w:color w:val="1F1F1F"/>
          <w:sz w:val="24"/>
        </w:rPr>
        <w:t xml:space="preserve"> and philosophers</w:t>
      </w:r>
      <w:r w:rsidR="00CB4AF8">
        <w:rPr>
          <w:rStyle w:val="FootnoteReference"/>
          <w:rFonts w:asciiTheme="majorBidi" w:hAnsiTheme="majorBidi"/>
          <w:color w:val="1F1F1F"/>
          <w:sz w:val="24"/>
        </w:rPr>
        <w:footnoteReference w:id="47"/>
      </w:r>
      <w:r w:rsidRPr="00CA5C94">
        <w:rPr>
          <w:rFonts w:asciiTheme="majorBidi" w:hAnsiTheme="majorBidi"/>
          <w:color w:val="1F1F1F"/>
          <w:sz w:val="24"/>
        </w:rPr>
        <w:t>. In fact, if we check in history, we will find oppression after oppression that is sometimes beyond the bounds of humanity against women.</w:t>
      </w:r>
    </w:p>
    <w:p w14:paraId="09523DA4" w14:textId="7D61ED93"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Islam came and raised the dignity of women. Dowry stipulation is one </w:t>
      </w:r>
      <w:r w:rsidRPr="00250623">
        <w:rPr>
          <w:rFonts w:asciiTheme="majorBidi" w:eastAsia="Times New Roman" w:hAnsiTheme="majorBidi" w:cstheme="majorBidi"/>
          <w:color w:val="1F1F1F"/>
          <w:sz w:val="24"/>
          <w:szCs w:val="24"/>
        </w:rPr>
        <w:t xml:space="preserve">way Islam </w:t>
      </w:r>
      <w:r w:rsidR="00C13AE6" w:rsidRPr="00250623">
        <w:rPr>
          <w:rFonts w:asciiTheme="majorBidi" w:eastAsia="Times New Roman" w:hAnsiTheme="majorBidi" w:cstheme="majorBidi"/>
          <w:color w:val="1F1F1F"/>
          <w:sz w:val="24"/>
          <w:szCs w:val="24"/>
        </w:rPr>
        <w:t>recogni</w:t>
      </w:r>
      <w:r w:rsidR="00C13AE6">
        <w:rPr>
          <w:rFonts w:asciiTheme="majorBidi" w:eastAsia="Times New Roman" w:hAnsiTheme="majorBidi" w:cstheme="majorBidi"/>
          <w:color w:val="1F1F1F"/>
          <w:sz w:val="24"/>
          <w:szCs w:val="24"/>
        </w:rPr>
        <w:t>z</w:t>
      </w:r>
      <w:r w:rsidR="00C13AE6" w:rsidRPr="00250623">
        <w:rPr>
          <w:rFonts w:asciiTheme="majorBidi" w:eastAsia="Times New Roman" w:hAnsiTheme="majorBidi" w:cstheme="majorBidi"/>
          <w:color w:val="1F1F1F"/>
          <w:sz w:val="24"/>
          <w:szCs w:val="24"/>
        </w:rPr>
        <w:t>es</w:t>
      </w:r>
      <w:r w:rsidRPr="00250623">
        <w:rPr>
          <w:rFonts w:asciiTheme="majorBidi" w:eastAsia="Times New Roman" w:hAnsiTheme="majorBidi" w:cstheme="majorBidi"/>
          <w:color w:val="1F1F1F"/>
          <w:sz w:val="24"/>
          <w:szCs w:val="24"/>
        </w:rPr>
        <w:t xml:space="preserve"> women</w:t>
      </w:r>
      <w:r w:rsidR="00B1762F">
        <w:rPr>
          <w:rStyle w:val="FootnoteReference"/>
          <w:rFonts w:asciiTheme="majorBidi" w:eastAsia="Times New Roman" w:hAnsiTheme="majorBidi"/>
          <w:color w:val="1F1F1F"/>
          <w:sz w:val="24"/>
          <w:szCs w:val="24"/>
        </w:rPr>
        <w:footnoteReference w:id="48"/>
      </w:r>
      <w:r w:rsidRPr="00CA5C94">
        <w:rPr>
          <w:rFonts w:asciiTheme="majorBidi" w:hAnsiTheme="majorBidi"/>
          <w:color w:val="1F1F1F"/>
          <w:sz w:val="24"/>
        </w:rPr>
        <w:t xml:space="preserve">. In fact, </w:t>
      </w:r>
      <w:r w:rsidRPr="00B16FD1">
        <w:rPr>
          <w:rFonts w:asciiTheme="majorBidi" w:eastAsia="Times New Roman" w:hAnsiTheme="majorBidi" w:cstheme="majorBidi"/>
          <w:color w:val="1F1F1F"/>
          <w:sz w:val="24"/>
          <w:szCs w:val="24"/>
        </w:rPr>
        <w:t>numerous verses in the Qur'an exalt the position of women</w:t>
      </w:r>
      <w:r>
        <w:rPr>
          <w:rFonts w:asciiTheme="majorBidi" w:eastAsia="Times New Roman" w:hAnsiTheme="majorBidi" w:cstheme="majorBidi"/>
          <w:color w:val="1F1F1F"/>
          <w:sz w:val="24"/>
          <w:szCs w:val="24"/>
        </w:rPr>
        <w:t>,</w:t>
      </w:r>
      <w:r w:rsidRPr="00CA5C94">
        <w:rPr>
          <w:rFonts w:asciiTheme="majorBidi" w:hAnsiTheme="majorBidi"/>
          <w:color w:val="1F1F1F"/>
          <w:sz w:val="24"/>
        </w:rPr>
        <w:t xml:space="preserve"> </w:t>
      </w:r>
      <w:r w:rsidR="00C13AE6" w:rsidRPr="004F1501">
        <w:rPr>
          <w:rFonts w:asciiTheme="majorBidi" w:eastAsia="Times New Roman" w:hAnsiTheme="majorBidi" w:cstheme="majorBidi"/>
          <w:color w:val="1F1F1F"/>
          <w:sz w:val="24"/>
          <w:szCs w:val="24"/>
        </w:rPr>
        <w:t>emphasi</w:t>
      </w:r>
      <w:r w:rsidR="00C13AE6">
        <w:rPr>
          <w:rFonts w:asciiTheme="majorBidi" w:eastAsia="Times New Roman" w:hAnsiTheme="majorBidi" w:cstheme="majorBidi"/>
          <w:color w:val="1F1F1F"/>
          <w:sz w:val="24"/>
          <w:szCs w:val="24"/>
        </w:rPr>
        <w:t>z</w:t>
      </w:r>
      <w:r w:rsidR="00C13AE6" w:rsidRPr="004F1501">
        <w:rPr>
          <w:rFonts w:asciiTheme="majorBidi" w:eastAsia="Times New Roman" w:hAnsiTheme="majorBidi" w:cstheme="majorBidi"/>
          <w:color w:val="1F1F1F"/>
          <w:sz w:val="24"/>
          <w:szCs w:val="24"/>
        </w:rPr>
        <w:t>ing</w:t>
      </w:r>
      <w:r w:rsidRPr="004F1501">
        <w:rPr>
          <w:rFonts w:asciiTheme="majorBidi" w:eastAsia="Times New Roman" w:hAnsiTheme="majorBidi" w:cstheme="majorBidi"/>
          <w:color w:val="1F1F1F"/>
          <w:sz w:val="24"/>
          <w:szCs w:val="24"/>
        </w:rPr>
        <w:t xml:space="preserve"> rights related to gender equality, respect, and other aspects that highlight the privileged status of women in Islam</w:t>
      </w:r>
      <w:r w:rsidR="00B1762F">
        <w:rPr>
          <w:rStyle w:val="FootnoteReference"/>
          <w:rFonts w:asciiTheme="majorBidi" w:eastAsia="Times New Roman" w:hAnsiTheme="majorBidi"/>
          <w:color w:val="1F1F1F"/>
          <w:sz w:val="24"/>
          <w:szCs w:val="24"/>
        </w:rPr>
        <w:footnoteReference w:id="49"/>
      </w:r>
      <w:r w:rsidR="00B1762F">
        <w:rPr>
          <w:rFonts w:asciiTheme="majorBidi" w:hAnsiTheme="majorBidi"/>
          <w:color w:val="1F1F1F"/>
          <w:sz w:val="24"/>
        </w:rPr>
        <w:t xml:space="preserve">. </w:t>
      </w:r>
      <w:r w:rsidRPr="00CA5C94">
        <w:rPr>
          <w:rFonts w:asciiTheme="majorBidi" w:hAnsiTheme="majorBidi"/>
          <w:color w:val="1F1F1F"/>
          <w:sz w:val="24"/>
        </w:rPr>
        <w:t xml:space="preserve">Islam has never restricted the ability of women to do any property transaction, let alone own property. </w:t>
      </w:r>
      <w:r>
        <w:rPr>
          <w:rFonts w:asciiTheme="majorBidi" w:hAnsiTheme="majorBidi" w:cstheme="majorBidi"/>
          <w:color w:val="1F1F1F"/>
          <w:sz w:val="24"/>
          <w:szCs w:val="24"/>
        </w:rPr>
        <w:t>Islam even</w:t>
      </w:r>
      <w:r w:rsidRPr="00CA5C94">
        <w:rPr>
          <w:rFonts w:asciiTheme="majorBidi" w:hAnsiTheme="majorBidi"/>
          <w:color w:val="1F1F1F"/>
          <w:sz w:val="24"/>
        </w:rPr>
        <w:t xml:space="preserve"> encourages its </w:t>
      </w:r>
      <w:r>
        <w:rPr>
          <w:rFonts w:asciiTheme="majorBidi" w:hAnsiTheme="majorBidi" w:cstheme="majorBidi"/>
          <w:color w:val="1F1F1F"/>
          <w:sz w:val="24"/>
          <w:szCs w:val="24"/>
        </w:rPr>
        <w:t>followers</w:t>
      </w:r>
      <w:r w:rsidRPr="00CA5C94">
        <w:rPr>
          <w:rFonts w:asciiTheme="majorBidi" w:hAnsiTheme="majorBidi" w:cstheme="majorBidi"/>
          <w:color w:val="1F1F1F"/>
          <w:sz w:val="24"/>
          <w:szCs w:val="24"/>
        </w:rPr>
        <w:t xml:space="preserve"> </w:t>
      </w:r>
      <w:r w:rsidRPr="00CA5C94">
        <w:rPr>
          <w:rFonts w:asciiTheme="majorBidi" w:hAnsiTheme="majorBidi"/>
          <w:color w:val="1F1F1F"/>
          <w:sz w:val="24"/>
        </w:rPr>
        <w:lastRenderedPageBreak/>
        <w:t xml:space="preserve">to </w:t>
      </w:r>
      <w:r>
        <w:rPr>
          <w:rFonts w:asciiTheme="majorBidi" w:hAnsiTheme="majorBidi" w:cstheme="majorBidi"/>
          <w:color w:val="1F1F1F"/>
          <w:sz w:val="24"/>
          <w:szCs w:val="24"/>
        </w:rPr>
        <w:t>acquire</w:t>
      </w:r>
      <w:r w:rsidRPr="00CA5C94">
        <w:rPr>
          <w:rFonts w:asciiTheme="majorBidi" w:hAnsiTheme="majorBidi" w:cstheme="majorBidi"/>
          <w:color w:val="1F1F1F"/>
          <w:sz w:val="24"/>
          <w:szCs w:val="24"/>
        </w:rPr>
        <w:t xml:space="preserve"> </w:t>
      </w:r>
      <w:r w:rsidRPr="00CA5C94">
        <w:rPr>
          <w:rFonts w:asciiTheme="majorBidi" w:hAnsiTheme="majorBidi"/>
          <w:color w:val="1F1F1F"/>
          <w:sz w:val="24"/>
        </w:rPr>
        <w:t xml:space="preserve">and own property. There are many calls in the Qur'an and As-Sunnah for Muslims to </w:t>
      </w:r>
      <w:r>
        <w:rPr>
          <w:rFonts w:asciiTheme="majorBidi" w:hAnsiTheme="majorBidi" w:cstheme="majorBidi"/>
          <w:color w:val="1F1F1F"/>
          <w:sz w:val="24"/>
          <w:szCs w:val="24"/>
        </w:rPr>
        <w:t>acquire</w:t>
      </w:r>
      <w:r w:rsidRPr="00CA5C94">
        <w:rPr>
          <w:rFonts w:asciiTheme="majorBidi" w:hAnsiTheme="majorBidi"/>
          <w:color w:val="1F1F1F"/>
          <w:sz w:val="24"/>
        </w:rPr>
        <w:t xml:space="preserve"> and own wealth so that the economy of Muslims can be improved.</w:t>
      </w:r>
    </w:p>
    <w:p w14:paraId="7EF6E72D" w14:textId="77777777"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Therefore, the practice of </w:t>
      </w:r>
      <w:r w:rsidRPr="00FE3B08">
        <w:rPr>
          <w:rFonts w:asciiTheme="majorBidi" w:hAnsiTheme="majorBidi"/>
          <w:i/>
          <w:iCs/>
          <w:color w:val="1F1F1F"/>
          <w:sz w:val="24"/>
        </w:rPr>
        <w:t>harta sepencarian</w:t>
      </w:r>
      <w:r w:rsidRPr="00CA5C94">
        <w:rPr>
          <w:rFonts w:asciiTheme="majorBidi" w:hAnsiTheme="majorBidi"/>
          <w:color w:val="1F1F1F"/>
          <w:sz w:val="24"/>
        </w:rPr>
        <w:t xml:space="preserve"> division </w:t>
      </w:r>
      <w:r>
        <w:rPr>
          <w:rFonts w:asciiTheme="majorBidi" w:eastAsia="Times New Roman" w:hAnsiTheme="majorBidi" w:cstheme="majorBidi"/>
          <w:color w:val="1F1F1F"/>
          <w:sz w:val="24"/>
          <w:szCs w:val="24"/>
          <w:lang w:val="en"/>
        </w:rPr>
        <w:t>practiced</w:t>
      </w:r>
      <w:r w:rsidRPr="00CA5C94">
        <w:rPr>
          <w:rFonts w:asciiTheme="majorBidi" w:hAnsiTheme="majorBidi"/>
          <w:color w:val="1F1F1F"/>
          <w:sz w:val="24"/>
        </w:rPr>
        <w:t xml:space="preserve"> in the Malay community is in line with Islamic teachings that do not differentiate property ownership based on gender. Women who are entitled to rights in conjugal property can own property and use the property. In fact, there is no obstacle for women in the Malay community to go out to work as long as they get their husband's permission and observe the prescribed religious boundaries. It is this involvement in the economic sector that causes Malay women to claim and own conjugal property.</w:t>
      </w:r>
    </w:p>
    <w:p w14:paraId="2D1B2E2E" w14:textId="77777777" w:rsidR="00C133C6" w:rsidRDefault="00C133C6" w:rsidP="008858F7">
      <w:pPr>
        <w:spacing w:after="0" w:line="240" w:lineRule="auto"/>
        <w:ind w:firstLine="567"/>
        <w:jc w:val="both"/>
        <w:rPr>
          <w:rFonts w:asciiTheme="majorBidi" w:hAnsiTheme="majorBidi"/>
          <w:i/>
          <w:iCs/>
          <w:color w:val="1F1F1F"/>
          <w:sz w:val="24"/>
        </w:rPr>
      </w:pPr>
    </w:p>
    <w:p w14:paraId="57E8EEE5" w14:textId="21DCC26A" w:rsidR="008858F7" w:rsidRPr="00733EC4" w:rsidRDefault="008858F7" w:rsidP="008858F7">
      <w:pPr>
        <w:spacing w:after="0" w:line="240" w:lineRule="auto"/>
        <w:ind w:firstLine="567"/>
        <w:jc w:val="both"/>
        <w:rPr>
          <w:rFonts w:asciiTheme="majorBidi" w:hAnsiTheme="majorBidi"/>
          <w:i/>
          <w:iCs/>
          <w:color w:val="1F1F1F"/>
          <w:sz w:val="24"/>
        </w:rPr>
      </w:pPr>
      <w:r w:rsidRPr="00733EC4">
        <w:rPr>
          <w:rFonts w:asciiTheme="majorBidi" w:hAnsiTheme="majorBidi"/>
          <w:i/>
          <w:iCs/>
          <w:color w:val="1F1F1F"/>
          <w:sz w:val="24"/>
        </w:rPr>
        <w:t>Not denying the contribution of men</w:t>
      </w:r>
    </w:p>
    <w:p w14:paraId="4A60957A" w14:textId="050867C7"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Although women are always defended and get rights in the division of matrimonial property, men's rights to matrimonial property are still protected. Islam strongly advocates justice in every matter. As explained before this, in the context of the division of matrimonial property, the extent of the contribution that has been given by the husband and wife in an effort to accumulate and develop the property obtained throughout the period of marriage</w:t>
      </w:r>
      <w:r w:rsidR="00B1762F">
        <w:rPr>
          <w:rStyle w:val="FootnoteReference"/>
          <w:rFonts w:asciiTheme="majorBidi" w:hAnsiTheme="majorBidi"/>
          <w:color w:val="1F1F1F"/>
          <w:sz w:val="24"/>
        </w:rPr>
        <w:footnoteReference w:id="50"/>
      </w:r>
      <w:r w:rsidR="00B1762F">
        <w:rPr>
          <w:rFonts w:asciiTheme="majorBidi" w:hAnsiTheme="majorBidi"/>
          <w:color w:val="1F1F1F"/>
          <w:sz w:val="24"/>
        </w:rPr>
        <w:t>,</w:t>
      </w:r>
      <w:r w:rsidRPr="00CA5C94">
        <w:rPr>
          <w:rFonts w:asciiTheme="majorBidi" w:hAnsiTheme="majorBidi"/>
          <w:color w:val="1F1F1F"/>
          <w:sz w:val="24"/>
        </w:rPr>
        <w:t xml:space="preserve"> regardless of gender or sex. This means that the man/husband will get the share he worked for, as well as the woman/wife will get the share he worked for.</w:t>
      </w:r>
    </w:p>
    <w:p w14:paraId="3EF91F62" w14:textId="77777777"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Even in early cases such as the case of Robert@Kamarulzaman v. Ummi Kalthom [1966] MLJ 60, it has been shown that </w:t>
      </w:r>
      <w:r>
        <w:rPr>
          <w:rFonts w:asciiTheme="majorBidi" w:eastAsia="Times New Roman" w:hAnsiTheme="majorBidi" w:cstheme="majorBidi"/>
          <w:color w:val="1F1F1F"/>
          <w:sz w:val="24"/>
          <w:szCs w:val="24"/>
        </w:rPr>
        <w:t>a man’s or a husband’s rights</w:t>
      </w:r>
      <w:r w:rsidRPr="00CA5C94">
        <w:rPr>
          <w:rFonts w:asciiTheme="majorBidi" w:hAnsiTheme="majorBidi"/>
          <w:color w:val="1F1F1F"/>
          <w:sz w:val="24"/>
        </w:rPr>
        <w:t xml:space="preserve"> will not be denied if there is evidence of </w:t>
      </w:r>
      <w:r>
        <w:rPr>
          <w:rFonts w:asciiTheme="majorBidi" w:eastAsia="Times New Roman" w:hAnsiTheme="majorBidi" w:cstheme="majorBidi"/>
          <w:color w:val="1F1F1F"/>
          <w:sz w:val="24"/>
          <w:szCs w:val="24"/>
        </w:rPr>
        <w:t xml:space="preserve">his contributions </w:t>
      </w:r>
      <w:r w:rsidRPr="00CA5C94">
        <w:rPr>
          <w:rFonts w:asciiTheme="majorBidi" w:eastAsia="Times New Roman" w:hAnsiTheme="majorBidi" w:cstheme="majorBidi"/>
          <w:color w:val="1F1F1F"/>
          <w:sz w:val="24"/>
          <w:szCs w:val="24"/>
        </w:rPr>
        <w:t>to obtain</w:t>
      </w:r>
      <w:r>
        <w:rPr>
          <w:rFonts w:asciiTheme="majorBidi" w:eastAsia="Times New Roman" w:hAnsiTheme="majorBidi" w:cstheme="majorBidi"/>
          <w:color w:val="1F1F1F"/>
          <w:sz w:val="24"/>
          <w:szCs w:val="24"/>
        </w:rPr>
        <w:t>ing</w:t>
      </w:r>
      <w:r w:rsidRPr="00CA5C94">
        <w:rPr>
          <w:rFonts w:asciiTheme="majorBidi" w:hAnsiTheme="majorBidi"/>
          <w:color w:val="1F1F1F"/>
          <w:sz w:val="24"/>
        </w:rPr>
        <w:t xml:space="preserve"> property during a valid marriage. In this case, a couple bought a house in Setapak, Kuala Lumpur for RM 50,000. The plaintiff (husband) </w:t>
      </w:r>
      <w:r>
        <w:rPr>
          <w:rFonts w:asciiTheme="majorBidi" w:eastAsia="Times New Roman" w:hAnsiTheme="majorBidi" w:cstheme="majorBidi"/>
          <w:color w:val="1F1F1F"/>
          <w:sz w:val="24"/>
          <w:szCs w:val="24"/>
        </w:rPr>
        <w:t>contributed</w:t>
      </w:r>
      <w:r w:rsidRPr="00CA5C94">
        <w:rPr>
          <w:rFonts w:asciiTheme="majorBidi" w:hAnsiTheme="majorBidi"/>
          <w:color w:val="1F1F1F"/>
          <w:sz w:val="24"/>
        </w:rPr>
        <w:t xml:space="preserve"> RM 40,000 while the defendant (wife) </w:t>
      </w:r>
      <w:r>
        <w:rPr>
          <w:rFonts w:asciiTheme="majorBidi" w:eastAsia="Times New Roman" w:hAnsiTheme="majorBidi" w:cstheme="majorBidi"/>
          <w:color w:val="1F1F1F"/>
          <w:sz w:val="24"/>
          <w:szCs w:val="24"/>
        </w:rPr>
        <w:t>contributed</w:t>
      </w:r>
      <w:r w:rsidRPr="00CA5C94">
        <w:rPr>
          <w:rFonts w:asciiTheme="majorBidi" w:hAnsiTheme="majorBidi"/>
          <w:color w:val="1F1F1F"/>
          <w:sz w:val="24"/>
        </w:rPr>
        <w:t xml:space="preserve"> RM 10,000. </w:t>
      </w:r>
      <w:r>
        <w:rPr>
          <w:rFonts w:asciiTheme="majorBidi" w:eastAsia="Times New Roman" w:hAnsiTheme="majorBidi" w:cstheme="majorBidi"/>
          <w:color w:val="1F1F1F"/>
          <w:sz w:val="24"/>
          <w:szCs w:val="24"/>
        </w:rPr>
        <w:t>Since</w:t>
      </w:r>
      <w:r w:rsidRPr="00CA5C94">
        <w:rPr>
          <w:rFonts w:asciiTheme="majorBidi" w:hAnsiTheme="majorBidi"/>
          <w:color w:val="1F1F1F"/>
          <w:sz w:val="24"/>
        </w:rPr>
        <w:t xml:space="preserve"> the husband at that time was a government employee and not allowed to own real estate, the house was registered in the defendant's name. After they divorced, the plaintiff claimed part of the land as </w:t>
      </w:r>
      <w:r w:rsidRPr="00FE3B08">
        <w:rPr>
          <w:rFonts w:asciiTheme="majorBidi" w:hAnsiTheme="majorBidi"/>
          <w:i/>
          <w:iCs/>
          <w:color w:val="1F1F1F"/>
          <w:sz w:val="24"/>
        </w:rPr>
        <w:t>harta sepencarian</w:t>
      </w:r>
      <w:r w:rsidRPr="00CA5C94">
        <w:rPr>
          <w:rFonts w:asciiTheme="majorBidi" w:hAnsiTheme="majorBidi"/>
          <w:color w:val="1F1F1F"/>
          <w:sz w:val="24"/>
        </w:rPr>
        <w:t>. The defendant denied the claim</w:t>
      </w:r>
      <w:r>
        <w:rPr>
          <w:rFonts w:asciiTheme="majorBidi" w:hAnsiTheme="majorBidi" w:cstheme="majorBidi"/>
          <w:color w:val="1F1F1F"/>
          <w:sz w:val="24"/>
          <w:szCs w:val="24"/>
        </w:rPr>
        <w:t>,</w:t>
      </w:r>
      <w:r w:rsidRPr="00CA5C94">
        <w:rPr>
          <w:rFonts w:asciiTheme="majorBidi" w:hAnsiTheme="majorBidi"/>
          <w:color w:val="1F1F1F"/>
          <w:sz w:val="24"/>
        </w:rPr>
        <w:t xml:space="preserve"> </w:t>
      </w:r>
      <w:r>
        <w:rPr>
          <w:rFonts w:asciiTheme="majorBidi" w:hAnsiTheme="majorBidi" w:cstheme="majorBidi"/>
          <w:color w:val="1F1F1F"/>
          <w:sz w:val="24"/>
          <w:szCs w:val="24"/>
        </w:rPr>
        <w:t>arguing</w:t>
      </w:r>
      <w:r w:rsidRPr="00CA5C94">
        <w:rPr>
          <w:rFonts w:asciiTheme="majorBidi" w:hAnsiTheme="majorBidi"/>
          <w:color w:val="1F1F1F"/>
          <w:sz w:val="24"/>
        </w:rPr>
        <w:t xml:space="preserve"> that the property had been gifted to him.</w:t>
      </w:r>
    </w:p>
    <w:p w14:paraId="4884597F" w14:textId="106858B8"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Judge Callow who tried this case said that based on the available evidence it clearly shows that the property was acquired as a result of contributions from both parties during their marriage. This raises the presumption that it is </w:t>
      </w:r>
      <w:r w:rsidRPr="00FE3B08">
        <w:rPr>
          <w:rFonts w:asciiTheme="majorBidi" w:hAnsiTheme="majorBidi"/>
          <w:i/>
          <w:iCs/>
          <w:color w:val="1F1F1F"/>
          <w:sz w:val="24"/>
        </w:rPr>
        <w:t>harta sepencarian</w:t>
      </w:r>
      <w:r w:rsidRPr="00CA5C94">
        <w:rPr>
          <w:rFonts w:asciiTheme="majorBidi" w:hAnsiTheme="majorBidi"/>
          <w:color w:val="1F1F1F"/>
          <w:sz w:val="24"/>
        </w:rPr>
        <w:t>. This presumption, however, can be refuted if the husband can prove that the house was acquired from his own effort or by the wife by showing that the house was gifted to him. The defendant has failed to prove that the house was gifted to him during the marriage. During the adjournment of the trial both parties agreed to divide the house into two equally. The judge later confirmed the division. What is interesting in this case is that apart from the fact that it was decided in the Civil High Court and not in the Syariah Court, it was decided according to Sharia law and the decision was in favor of a non-Muslim who had converted to Islam</w:t>
      </w:r>
      <w:r w:rsidR="00B1762F">
        <w:rPr>
          <w:rFonts w:asciiTheme="majorBidi" w:hAnsiTheme="majorBidi"/>
          <w:color w:val="1F1F1F"/>
          <w:sz w:val="24"/>
        </w:rPr>
        <w:t>.</w:t>
      </w:r>
      <w:r w:rsidR="00B1762F">
        <w:rPr>
          <w:rStyle w:val="FootnoteReference"/>
          <w:rFonts w:asciiTheme="majorBidi" w:hAnsiTheme="majorBidi"/>
          <w:color w:val="1F1F1F"/>
          <w:sz w:val="24"/>
        </w:rPr>
        <w:footnoteReference w:id="51"/>
      </w:r>
    </w:p>
    <w:p w14:paraId="6DB6F084" w14:textId="5E13C522"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This case is one example of a case that shows the husband has the right to make a claim for conjugal property and the husband is still given that right even though this case is being tried in the Civil Court. This practice of dividing </w:t>
      </w:r>
      <w:r w:rsidRPr="00FE3B08">
        <w:rPr>
          <w:rFonts w:asciiTheme="majorBidi" w:hAnsiTheme="majorBidi"/>
          <w:i/>
          <w:iCs/>
          <w:color w:val="1F1F1F"/>
          <w:sz w:val="24"/>
        </w:rPr>
        <w:t>harta sepencarian</w:t>
      </w:r>
      <w:r w:rsidRPr="00CA5C94">
        <w:rPr>
          <w:rFonts w:asciiTheme="majorBidi" w:hAnsiTheme="majorBidi"/>
          <w:color w:val="1F1F1F"/>
          <w:sz w:val="24"/>
        </w:rPr>
        <w:t xml:space="preserve"> shows how the rights are given to those who deserve it regardless of whether they are male or female. </w:t>
      </w:r>
      <w:r w:rsidRPr="00CA5C94">
        <w:rPr>
          <w:rFonts w:asciiTheme="majorBidi" w:hAnsiTheme="majorBidi"/>
          <w:color w:val="1F1F1F"/>
          <w:sz w:val="24"/>
        </w:rPr>
        <w:lastRenderedPageBreak/>
        <w:t xml:space="preserve">This will avoid conflict after conflict that may occur in society if the issue of gender is </w:t>
      </w:r>
      <w:r w:rsidR="00C13AE6" w:rsidRPr="00CA5C94">
        <w:rPr>
          <w:rFonts w:asciiTheme="majorBidi" w:hAnsiTheme="majorBidi"/>
          <w:color w:val="1F1F1F"/>
          <w:sz w:val="24"/>
        </w:rPr>
        <w:t>emphasi</w:t>
      </w:r>
      <w:r w:rsidR="00C13AE6">
        <w:rPr>
          <w:rFonts w:asciiTheme="majorBidi" w:hAnsiTheme="majorBidi"/>
          <w:color w:val="1F1F1F"/>
          <w:sz w:val="24"/>
        </w:rPr>
        <w:t>z</w:t>
      </w:r>
      <w:r w:rsidR="00C13AE6" w:rsidRPr="00CA5C94">
        <w:rPr>
          <w:rFonts w:asciiTheme="majorBidi" w:hAnsiTheme="majorBidi"/>
          <w:color w:val="1F1F1F"/>
          <w:sz w:val="24"/>
        </w:rPr>
        <w:t>ed</w:t>
      </w:r>
      <w:r w:rsidRPr="00CA5C94">
        <w:rPr>
          <w:rFonts w:asciiTheme="majorBidi" w:hAnsiTheme="majorBidi"/>
          <w:color w:val="1F1F1F"/>
          <w:sz w:val="24"/>
        </w:rPr>
        <w:t xml:space="preserve"> more than the principles of justice in a case.</w:t>
      </w:r>
      <w:r w:rsidR="002B0BE1">
        <w:rPr>
          <w:rStyle w:val="FootnoteReference"/>
          <w:rFonts w:asciiTheme="majorBidi" w:hAnsiTheme="majorBidi"/>
          <w:color w:val="1F1F1F"/>
          <w:sz w:val="24"/>
        </w:rPr>
        <w:footnoteReference w:id="52"/>
      </w:r>
    </w:p>
    <w:p w14:paraId="6AD23FB0" w14:textId="3EF75BA1" w:rsidR="008858F7" w:rsidRPr="00733EC4" w:rsidRDefault="008858F7" w:rsidP="008858F7">
      <w:pPr>
        <w:spacing w:after="0" w:line="240" w:lineRule="auto"/>
        <w:ind w:firstLine="567"/>
        <w:jc w:val="both"/>
        <w:rPr>
          <w:rFonts w:asciiTheme="majorBidi" w:hAnsiTheme="majorBidi"/>
          <w:i/>
          <w:iCs/>
          <w:color w:val="1F1F1F"/>
          <w:sz w:val="24"/>
        </w:rPr>
      </w:pPr>
      <w:r w:rsidRPr="00733EC4">
        <w:rPr>
          <w:rFonts w:asciiTheme="majorBidi" w:hAnsiTheme="majorBidi"/>
          <w:i/>
          <w:iCs/>
          <w:color w:val="1F1F1F"/>
          <w:sz w:val="24"/>
        </w:rPr>
        <w:t>Recognition of local customs</w:t>
      </w:r>
    </w:p>
    <w:p w14:paraId="628DF174" w14:textId="3D1B906F"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Matrimonial property is a practice conceived from customary law. Although scholars </w:t>
      </w:r>
      <w:r>
        <w:rPr>
          <w:rFonts w:asciiTheme="majorBidi" w:eastAsia="Times New Roman" w:hAnsiTheme="majorBidi" w:cstheme="majorBidi"/>
          <w:color w:val="1F1F1F"/>
          <w:sz w:val="24"/>
          <w:szCs w:val="24"/>
        </w:rPr>
        <w:t>have proposed</w:t>
      </w:r>
      <w:r w:rsidRPr="00CA5C94">
        <w:rPr>
          <w:rFonts w:asciiTheme="majorBidi" w:hAnsiTheme="majorBidi"/>
          <w:color w:val="1F1F1F"/>
          <w:sz w:val="24"/>
        </w:rPr>
        <w:t xml:space="preserve"> various theories to justify the practice of dividing </w:t>
      </w:r>
      <w:r w:rsidRPr="00FE3B08">
        <w:rPr>
          <w:rFonts w:asciiTheme="majorBidi" w:hAnsiTheme="majorBidi"/>
          <w:i/>
          <w:iCs/>
          <w:color w:val="1F1F1F"/>
          <w:sz w:val="24"/>
        </w:rPr>
        <w:t>harta sepencarian</w:t>
      </w:r>
      <w:r w:rsidRPr="00CA5C94">
        <w:rPr>
          <w:rFonts w:asciiTheme="majorBidi" w:hAnsiTheme="majorBidi"/>
          <w:color w:val="1F1F1F"/>
          <w:sz w:val="24"/>
        </w:rPr>
        <w:t xml:space="preserve"> on average</w:t>
      </w:r>
      <w:r>
        <w:rPr>
          <w:rFonts w:asciiTheme="majorBidi" w:eastAsia="Times New Roman" w:hAnsiTheme="majorBidi" w:cstheme="majorBidi"/>
          <w:color w:val="1F1F1F"/>
          <w:sz w:val="24"/>
          <w:szCs w:val="24"/>
        </w:rPr>
        <w:t>,</w:t>
      </w:r>
      <w:r w:rsidRPr="00CA5C94">
        <w:rPr>
          <w:rFonts w:asciiTheme="majorBidi" w:hAnsiTheme="majorBidi"/>
          <w:color w:val="1F1F1F"/>
          <w:sz w:val="24"/>
        </w:rPr>
        <w:t xml:space="preserve"> </w:t>
      </w:r>
      <w:r>
        <w:rPr>
          <w:rFonts w:asciiTheme="majorBidi" w:eastAsia="Times New Roman" w:hAnsiTheme="majorBidi" w:cstheme="majorBidi"/>
          <w:color w:val="1F1F1F"/>
          <w:sz w:val="24"/>
          <w:szCs w:val="24"/>
        </w:rPr>
        <w:t>they</w:t>
      </w:r>
      <w:r w:rsidRPr="00CA5C94">
        <w:rPr>
          <w:rFonts w:asciiTheme="majorBidi" w:eastAsia="Times New Roman" w:hAnsiTheme="majorBidi" w:cstheme="majorBidi"/>
          <w:color w:val="1F1F1F"/>
          <w:sz w:val="24"/>
          <w:szCs w:val="24"/>
        </w:rPr>
        <w:t xml:space="preserve"> </w:t>
      </w:r>
      <w:r w:rsidRPr="00CA5C94">
        <w:rPr>
          <w:rFonts w:asciiTheme="majorBidi" w:hAnsiTheme="majorBidi"/>
          <w:color w:val="1F1F1F"/>
          <w:sz w:val="24"/>
        </w:rPr>
        <w:t xml:space="preserve">agree that this </w:t>
      </w:r>
      <w:r>
        <w:rPr>
          <w:rFonts w:asciiTheme="majorBidi" w:eastAsia="Times New Roman" w:hAnsiTheme="majorBidi" w:cstheme="majorBidi"/>
          <w:color w:val="1F1F1F"/>
          <w:sz w:val="24"/>
          <w:szCs w:val="24"/>
        </w:rPr>
        <w:t>practice</w:t>
      </w:r>
      <w:r w:rsidRPr="00CA5C94">
        <w:rPr>
          <w:rFonts w:asciiTheme="majorBidi" w:hAnsiTheme="majorBidi"/>
          <w:color w:val="1F1F1F"/>
          <w:sz w:val="24"/>
        </w:rPr>
        <w:t xml:space="preserve"> is justified through customary law. Islam </w:t>
      </w:r>
      <w:r w:rsidR="00C13AE6" w:rsidRPr="00CA5C94">
        <w:rPr>
          <w:rFonts w:asciiTheme="majorBidi" w:hAnsiTheme="majorBidi"/>
          <w:color w:val="1F1F1F"/>
          <w:sz w:val="24"/>
        </w:rPr>
        <w:t>recogni</w:t>
      </w:r>
      <w:r w:rsidR="00C13AE6">
        <w:rPr>
          <w:rFonts w:asciiTheme="majorBidi" w:hAnsiTheme="majorBidi"/>
          <w:color w:val="1F1F1F"/>
          <w:sz w:val="24"/>
        </w:rPr>
        <w:t>z</w:t>
      </w:r>
      <w:r w:rsidR="00C13AE6" w:rsidRPr="00CA5C94">
        <w:rPr>
          <w:rFonts w:asciiTheme="majorBidi" w:hAnsiTheme="majorBidi"/>
          <w:color w:val="1F1F1F"/>
          <w:sz w:val="24"/>
        </w:rPr>
        <w:t>es</w:t>
      </w:r>
      <w:r w:rsidRPr="00CA5C94">
        <w:rPr>
          <w:rFonts w:asciiTheme="majorBidi" w:hAnsiTheme="majorBidi"/>
          <w:color w:val="1F1F1F"/>
          <w:sz w:val="24"/>
        </w:rPr>
        <w:t xml:space="preserve"> that custom, whether specific or general, is one of the sources of Sharia Law and </w:t>
      </w:r>
      <w:r>
        <w:rPr>
          <w:rFonts w:asciiTheme="majorBidi" w:hAnsiTheme="majorBidi" w:cstheme="majorBidi"/>
          <w:color w:val="1F1F1F"/>
          <w:sz w:val="24"/>
          <w:szCs w:val="24"/>
        </w:rPr>
        <w:t xml:space="preserve">such </w:t>
      </w:r>
      <w:r w:rsidRPr="00CA5C94">
        <w:rPr>
          <w:rFonts w:asciiTheme="majorBidi" w:hAnsiTheme="majorBidi"/>
          <w:color w:val="1F1F1F"/>
          <w:sz w:val="24"/>
        </w:rPr>
        <w:t xml:space="preserve">custom can be accepted when </w:t>
      </w:r>
      <w:r>
        <w:rPr>
          <w:rFonts w:asciiTheme="majorBidi" w:hAnsiTheme="majorBidi" w:cstheme="majorBidi"/>
          <w:color w:val="1F1F1F"/>
          <w:sz w:val="24"/>
          <w:szCs w:val="24"/>
        </w:rPr>
        <w:t>they become habitual</w:t>
      </w:r>
      <w:r w:rsidRPr="00CA5C94">
        <w:rPr>
          <w:rFonts w:asciiTheme="majorBidi" w:hAnsiTheme="majorBidi" w:cstheme="majorBidi"/>
          <w:color w:val="1F1F1F"/>
          <w:sz w:val="24"/>
          <w:szCs w:val="24"/>
        </w:rPr>
        <w:t xml:space="preserve">. </w:t>
      </w:r>
      <w:r>
        <w:rPr>
          <w:rFonts w:asciiTheme="majorBidi" w:hAnsiTheme="majorBidi" w:cstheme="majorBidi"/>
          <w:color w:val="1F1F1F"/>
          <w:sz w:val="24"/>
          <w:szCs w:val="24"/>
        </w:rPr>
        <w:t>A c</w:t>
      </w:r>
      <w:r w:rsidRPr="00CA5C94">
        <w:rPr>
          <w:rFonts w:asciiTheme="majorBidi" w:hAnsiTheme="majorBidi"/>
          <w:color w:val="1F1F1F"/>
          <w:sz w:val="24"/>
        </w:rPr>
        <w:t xml:space="preserve">ustom that has become a </w:t>
      </w:r>
      <w:r w:rsidRPr="00BB7049">
        <w:rPr>
          <w:rFonts w:asciiTheme="majorBidi" w:hAnsiTheme="majorBidi" w:cstheme="majorBidi"/>
          <w:color w:val="1F1F1F"/>
          <w:sz w:val="24"/>
          <w:szCs w:val="24"/>
        </w:rPr>
        <w:t>habitual part of life in a society</w:t>
      </w:r>
      <w:r>
        <w:rPr>
          <w:rFonts w:asciiTheme="majorBidi" w:hAnsiTheme="majorBidi" w:cstheme="majorBidi"/>
          <w:color w:val="1F1F1F"/>
          <w:sz w:val="24"/>
          <w:szCs w:val="24"/>
        </w:rPr>
        <w:t xml:space="preserve"> and </w:t>
      </w:r>
      <w:r w:rsidRPr="00CA5C94">
        <w:rPr>
          <w:rFonts w:asciiTheme="majorBidi" w:hAnsiTheme="majorBidi"/>
          <w:color w:val="1F1F1F"/>
          <w:sz w:val="24"/>
        </w:rPr>
        <w:t xml:space="preserve">does not conflict with God's rules </w:t>
      </w:r>
      <w:r>
        <w:rPr>
          <w:rFonts w:asciiTheme="majorBidi" w:hAnsiTheme="majorBidi" w:cstheme="majorBidi"/>
          <w:color w:val="1F1F1F"/>
          <w:sz w:val="24"/>
          <w:szCs w:val="24"/>
        </w:rPr>
        <w:t>or usual</w:t>
      </w:r>
      <w:r w:rsidRPr="00CA5C94">
        <w:rPr>
          <w:rFonts w:asciiTheme="majorBidi" w:hAnsiTheme="majorBidi"/>
          <w:color w:val="1F1F1F"/>
          <w:sz w:val="24"/>
        </w:rPr>
        <w:t xml:space="preserve"> norms </w:t>
      </w:r>
      <w:r>
        <w:rPr>
          <w:rFonts w:asciiTheme="majorBidi" w:hAnsiTheme="majorBidi" w:cstheme="majorBidi"/>
          <w:color w:val="1F1F1F"/>
          <w:sz w:val="24"/>
          <w:szCs w:val="24"/>
        </w:rPr>
        <w:t>of</w:t>
      </w:r>
      <w:r w:rsidRPr="00CA5C94">
        <w:rPr>
          <w:rFonts w:asciiTheme="majorBidi" w:hAnsiTheme="majorBidi"/>
          <w:color w:val="1F1F1F"/>
          <w:sz w:val="24"/>
        </w:rPr>
        <w:t xml:space="preserve"> human beings should indeed be celebrated and given appropriate legal recognition</w:t>
      </w:r>
      <w:r w:rsidR="002B0BE1">
        <w:rPr>
          <w:rStyle w:val="FootnoteReference"/>
          <w:rFonts w:asciiTheme="majorBidi" w:hAnsiTheme="majorBidi"/>
          <w:color w:val="1F1F1F"/>
          <w:sz w:val="24"/>
        </w:rPr>
        <w:footnoteReference w:id="53"/>
      </w:r>
      <w:r w:rsidR="002B0BE1">
        <w:rPr>
          <w:rFonts w:asciiTheme="majorBidi" w:hAnsiTheme="majorBidi"/>
          <w:color w:val="1F1F1F"/>
          <w:sz w:val="24"/>
        </w:rPr>
        <w:t xml:space="preserve">. </w:t>
      </w:r>
      <w:r>
        <w:rPr>
          <w:rFonts w:asciiTheme="majorBidi" w:hAnsiTheme="majorBidi" w:cstheme="majorBidi"/>
          <w:color w:val="1F1F1F"/>
          <w:sz w:val="24"/>
          <w:szCs w:val="24"/>
        </w:rPr>
        <w:t>L</w:t>
      </w:r>
      <w:r w:rsidRPr="00CA5C94">
        <w:rPr>
          <w:rFonts w:asciiTheme="majorBidi" w:hAnsiTheme="majorBidi"/>
          <w:color w:val="1F1F1F"/>
          <w:sz w:val="24"/>
        </w:rPr>
        <w:t xml:space="preserve">egal history shows that when the Prophet SAW was faced with a </w:t>
      </w:r>
      <w:r w:rsidRPr="00CA5C94">
        <w:rPr>
          <w:rFonts w:asciiTheme="majorBidi" w:hAnsiTheme="majorBidi" w:cstheme="majorBidi"/>
          <w:color w:val="1F1F1F"/>
          <w:sz w:val="24"/>
          <w:szCs w:val="24"/>
        </w:rPr>
        <w:t>custom</w:t>
      </w:r>
      <w:r>
        <w:rPr>
          <w:rFonts w:asciiTheme="majorBidi" w:hAnsiTheme="majorBidi" w:cstheme="majorBidi"/>
          <w:color w:val="1F1F1F"/>
          <w:sz w:val="24"/>
          <w:szCs w:val="24"/>
        </w:rPr>
        <w:t>ary</w:t>
      </w:r>
      <w:r w:rsidRPr="00CA5C94">
        <w:rPr>
          <w:rFonts w:asciiTheme="majorBidi" w:hAnsiTheme="majorBidi"/>
          <w:color w:val="1F1F1F"/>
          <w:sz w:val="24"/>
        </w:rPr>
        <w:t xml:space="preserve"> problem </w:t>
      </w:r>
      <w:r w:rsidRPr="00FE3B08">
        <w:rPr>
          <w:rFonts w:asciiTheme="majorBidi" w:hAnsiTheme="majorBidi"/>
          <w:i/>
          <w:iCs/>
          <w:color w:val="1F1F1F"/>
          <w:sz w:val="24"/>
        </w:rPr>
        <w:t>'urf</w:t>
      </w:r>
      <w:r>
        <w:rPr>
          <w:rFonts w:asciiTheme="majorBidi" w:hAnsiTheme="majorBidi" w:cstheme="majorBidi"/>
          <w:color w:val="1F1F1F"/>
          <w:sz w:val="24"/>
          <w:szCs w:val="24"/>
        </w:rPr>
        <w:t>,</w:t>
      </w:r>
      <w:r w:rsidRPr="00CA5C94">
        <w:rPr>
          <w:rFonts w:asciiTheme="majorBidi" w:hAnsiTheme="majorBidi" w:cstheme="majorBidi"/>
          <w:color w:val="1F1F1F"/>
          <w:sz w:val="24"/>
          <w:szCs w:val="24"/>
        </w:rPr>
        <w:t xml:space="preserve"> </w:t>
      </w:r>
      <w:r w:rsidRPr="00BF69F7">
        <w:rPr>
          <w:rFonts w:asciiTheme="majorBidi" w:hAnsiTheme="majorBidi" w:cstheme="majorBidi"/>
          <w:color w:val="1F1F1F"/>
          <w:sz w:val="24"/>
          <w:szCs w:val="24"/>
        </w:rPr>
        <w:t>his response varied: he might accept, reject, or amend a custom before accepting it as law</w:t>
      </w:r>
      <w:r w:rsidR="002A54BB">
        <w:rPr>
          <w:rFonts w:asciiTheme="majorBidi" w:hAnsiTheme="majorBidi"/>
          <w:color w:val="1F1F1F"/>
          <w:sz w:val="24"/>
        </w:rPr>
        <w:t xml:space="preserve">. </w:t>
      </w:r>
      <w:r w:rsidRPr="00CA5C94">
        <w:rPr>
          <w:rFonts w:asciiTheme="majorBidi" w:hAnsiTheme="majorBidi"/>
          <w:color w:val="1F1F1F"/>
          <w:sz w:val="24"/>
        </w:rPr>
        <w:t xml:space="preserve">When a custom or 'urf is </w:t>
      </w:r>
      <w:r w:rsidR="00C13AE6" w:rsidRPr="00CA5C94">
        <w:rPr>
          <w:rFonts w:asciiTheme="majorBidi" w:hAnsiTheme="majorBidi"/>
          <w:color w:val="1F1F1F"/>
          <w:sz w:val="24"/>
        </w:rPr>
        <w:t>recogni</w:t>
      </w:r>
      <w:r w:rsidR="00C13AE6">
        <w:rPr>
          <w:rFonts w:asciiTheme="majorBidi" w:hAnsiTheme="majorBidi"/>
          <w:color w:val="1F1F1F"/>
          <w:sz w:val="24"/>
        </w:rPr>
        <w:t>z</w:t>
      </w:r>
      <w:r w:rsidR="00C13AE6" w:rsidRPr="00CA5C94">
        <w:rPr>
          <w:rFonts w:asciiTheme="majorBidi" w:hAnsiTheme="majorBidi"/>
          <w:color w:val="1F1F1F"/>
          <w:sz w:val="24"/>
        </w:rPr>
        <w:t>ed</w:t>
      </w:r>
      <w:r w:rsidRPr="00CA5C94">
        <w:rPr>
          <w:rFonts w:asciiTheme="majorBidi" w:hAnsiTheme="majorBidi"/>
          <w:color w:val="1F1F1F"/>
          <w:sz w:val="24"/>
        </w:rPr>
        <w:t xml:space="preserve"> as </w:t>
      </w:r>
      <w:r>
        <w:rPr>
          <w:rFonts w:asciiTheme="majorBidi" w:hAnsiTheme="majorBidi" w:cstheme="majorBidi"/>
          <w:color w:val="1F1F1F"/>
          <w:sz w:val="24"/>
          <w:szCs w:val="24"/>
        </w:rPr>
        <w:t>beneficial</w:t>
      </w:r>
      <w:r w:rsidRPr="00CA5C94">
        <w:rPr>
          <w:rFonts w:asciiTheme="majorBidi" w:hAnsiTheme="majorBidi" w:cstheme="majorBidi"/>
          <w:color w:val="1F1F1F"/>
          <w:sz w:val="24"/>
          <w:szCs w:val="24"/>
        </w:rPr>
        <w:t xml:space="preserve"> </w:t>
      </w:r>
      <w:r w:rsidRPr="00CA5C94">
        <w:rPr>
          <w:rFonts w:asciiTheme="majorBidi" w:hAnsiTheme="majorBidi"/>
          <w:color w:val="1F1F1F"/>
          <w:sz w:val="24"/>
        </w:rPr>
        <w:t xml:space="preserve">and </w:t>
      </w:r>
      <w:r>
        <w:rPr>
          <w:rFonts w:asciiTheme="majorBidi" w:hAnsiTheme="majorBidi" w:cstheme="majorBidi"/>
          <w:color w:val="1F1F1F"/>
          <w:sz w:val="24"/>
          <w:szCs w:val="24"/>
        </w:rPr>
        <w:t>receives</w:t>
      </w:r>
      <w:r w:rsidRPr="00CA5C94">
        <w:rPr>
          <w:rFonts w:asciiTheme="majorBidi" w:hAnsiTheme="majorBidi"/>
          <w:color w:val="1F1F1F"/>
          <w:sz w:val="24"/>
        </w:rPr>
        <w:t xml:space="preserve"> legal recognition, its position is no longer a custom, but turns into a rule or legislation that must be enforced</w:t>
      </w:r>
      <w:r w:rsidR="002A54BB">
        <w:rPr>
          <w:rStyle w:val="FootnoteReference"/>
          <w:rFonts w:asciiTheme="majorBidi" w:hAnsiTheme="majorBidi"/>
          <w:color w:val="1F1F1F"/>
          <w:sz w:val="24"/>
        </w:rPr>
        <w:footnoteReference w:id="54"/>
      </w:r>
      <w:r w:rsidR="002A54BB">
        <w:rPr>
          <w:rFonts w:asciiTheme="majorBidi" w:hAnsiTheme="majorBidi"/>
          <w:color w:val="1F1F1F"/>
          <w:sz w:val="24"/>
        </w:rPr>
        <w:t>.</w:t>
      </w:r>
    </w:p>
    <w:p w14:paraId="0652DE7C" w14:textId="12F37BB0"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Apart from that, the method of fiqh which states </w:t>
      </w:r>
      <w:r w:rsidRPr="00C133C6">
        <w:rPr>
          <w:rFonts w:asciiTheme="majorBidi" w:hAnsiTheme="majorBidi"/>
          <w:i/>
          <w:iCs/>
          <w:color w:val="1F1F1F"/>
          <w:sz w:val="24"/>
        </w:rPr>
        <w:t>al-'adah al-muhakkamah</w:t>
      </w:r>
      <w:r w:rsidR="00C133C6">
        <w:rPr>
          <w:rFonts w:asciiTheme="majorBidi" w:hAnsiTheme="majorBidi"/>
          <w:color w:val="1F1F1F"/>
          <w:sz w:val="24"/>
        </w:rPr>
        <w:t xml:space="preserve"> </w:t>
      </w:r>
      <w:r w:rsidRPr="00CA5C94">
        <w:rPr>
          <w:rFonts w:asciiTheme="majorBidi" w:hAnsiTheme="majorBidi"/>
          <w:color w:val="1F1F1F"/>
          <w:sz w:val="24"/>
        </w:rPr>
        <w:t>is also a support for the conception of conjugal property in Sharia law</w:t>
      </w:r>
      <w:r w:rsidR="00374CCB">
        <w:rPr>
          <w:rStyle w:val="FootnoteReference"/>
          <w:rFonts w:asciiTheme="majorBidi" w:hAnsiTheme="majorBidi"/>
          <w:color w:val="1F1F1F"/>
          <w:sz w:val="24"/>
        </w:rPr>
        <w:footnoteReference w:id="55"/>
      </w:r>
      <w:r w:rsidRPr="00CA5C94">
        <w:rPr>
          <w:rFonts w:asciiTheme="majorBidi" w:hAnsiTheme="majorBidi"/>
          <w:color w:val="1F1F1F"/>
          <w:sz w:val="24"/>
        </w:rPr>
        <w:t xml:space="preserve">. In other words, it is necessary to </w:t>
      </w:r>
      <w:r w:rsidR="00C13AE6" w:rsidRPr="00CA5C94">
        <w:rPr>
          <w:rFonts w:asciiTheme="majorBidi" w:hAnsiTheme="majorBidi"/>
          <w:color w:val="1F1F1F"/>
          <w:sz w:val="24"/>
        </w:rPr>
        <w:t>emphasi</w:t>
      </w:r>
      <w:r w:rsidR="00C13AE6">
        <w:rPr>
          <w:rFonts w:asciiTheme="majorBidi" w:hAnsiTheme="majorBidi"/>
          <w:color w:val="1F1F1F"/>
          <w:sz w:val="24"/>
        </w:rPr>
        <w:t>z</w:t>
      </w:r>
      <w:r w:rsidR="00C13AE6" w:rsidRPr="00CA5C94">
        <w:rPr>
          <w:rFonts w:asciiTheme="majorBidi" w:hAnsiTheme="majorBidi"/>
          <w:color w:val="1F1F1F"/>
          <w:sz w:val="24"/>
        </w:rPr>
        <w:t>e</w:t>
      </w:r>
      <w:r w:rsidRPr="00CA5C94">
        <w:rPr>
          <w:rFonts w:asciiTheme="majorBidi" w:hAnsiTheme="majorBidi"/>
          <w:color w:val="1F1F1F"/>
          <w:sz w:val="24"/>
        </w:rPr>
        <w:t xml:space="preserve"> that Islam does not completely reject the customary practices of a society as long as it does not contradict the nas qati'e which has been legislated by the Quran, Sunnah, Ijma' and Qias</w:t>
      </w:r>
      <w:r w:rsidR="00F6632B">
        <w:rPr>
          <w:rStyle w:val="FootnoteReference"/>
          <w:rFonts w:asciiTheme="majorBidi" w:hAnsiTheme="majorBidi"/>
          <w:color w:val="1F1F1F"/>
          <w:sz w:val="24"/>
        </w:rPr>
        <w:footnoteReference w:id="56"/>
      </w:r>
      <w:r w:rsidRPr="00CA5C94">
        <w:rPr>
          <w:rFonts w:asciiTheme="majorBidi" w:hAnsiTheme="majorBidi"/>
          <w:color w:val="1F1F1F"/>
          <w:sz w:val="24"/>
        </w:rPr>
        <w:t xml:space="preserve">. There are many examples in history that have shown custom has been elevated to become part of the law in Islam, and can be </w:t>
      </w:r>
      <w:r w:rsidR="00C13AE6">
        <w:rPr>
          <w:rFonts w:asciiTheme="majorBidi" w:eastAsia="Times New Roman" w:hAnsiTheme="majorBidi" w:cstheme="majorBidi"/>
          <w:color w:val="1F1F1F"/>
          <w:sz w:val="24"/>
          <w:szCs w:val="24"/>
          <w:lang w:val="en"/>
        </w:rPr>
        <w:t>practiced</w:t>
      </w:r>
      <w:r w:rsidRPr="00CA5C94">
        <w:rPr>
          <w:rFonts w:asciiTheme="majorBidi" w:hAnsiTheme="majorBidi"/>
          <w:color w:val="1F1F1F"/>
          <w:sz w:val="24"/>
        </w:rPr>
        <w:t xml:space="preserve"> without hindrance of Sharia. In the jurists' discussion, Imam Abu Hanifah </w:t>
      </w:r>
      <w:r w:rsidR="00C13AE6" w:rsidRPr="00CA5C94">
        <w:rPr>
          <w:rFonts w:asciiTheme="majorBidi" w:hAnsiTheme="majorBidi"/>
          <w:color w:val="1F1F1F"/>
          <w:sz w:val="24"/>
        </w:rPr>
        <w:t>recogni</w:t>
      </w:r>
      <w:r w:rsidR="00C13AE6">
        <w:rPr>
          <w:rFonts w:asciiTheme="majorBidi" w:hAnsiTheme="majorBidi"/>
          <w:color w:val="1F1F1F"/>
          <w:sz w:val="24"/>
        </w:rPr>
        <w:t>z</w:t>
      </w:r>
      <w:r w:rsidR="00C13AE6" w:rsidRPr="00CA5C94">
        <w:rPr>
          <w:rFonts w:asciiTheme="majorBidi" w:hAnsiTheme="majorBidi"/>
          <w:color w:val="1F1F1F"/>
          <w:sz w:val="24"/>
        </w:rPr>
        <w:t>ed</w:t>
      </w:r>
      <w:r w:rsidRPr="00CA5C94">
        <w:rPr>
          <w:rFonts w:asciiTheme="majorBidi" w:hAnsiTheme="majorBidi"/>
          <w:color w:val="1F1F1F"/>
          <w:sz w:val="24"/>
        </w:rPr>
        <w:t xml:space="preserve"> </w:t>
      </w:r>
      <w:r w:rsidRPr="00C133C6">
        <w:rPr>
          <w:rFonts w:asciiTheme="majorBidi" w:hAnsiTheme="majorBidi"/>
          <w:i/>
          <w:iCs/>
          <w:color w:val="1F1F1F"/>
          <w:sz w:val="24"/>
        </w:rPr>
        <w:t xml:space="preserve">'urf </w:t>
      </w:r>
      <w:r w:rsidRPr="00CA5C94">
        <w:rPr>
          <w:rFonts w:asciiTheme="majorBidi" w:hAnsiTheme="majorBidi"/>
          <w:color w:val="1F1F1F"/>
          <w:sz w:val="24"/>
        </w:rPr>
        <w:t>in some of the principles of al-Istihsan</w:t>
      </w:r>
      <w:r w:rsidR="002A31AD">
        <w:rPr>
          <w:rStyle w:val="FootnoteReference"/>
          <w:rFonts w:asciiTheme="majorBidi" w:hAnsiTheme="majorBidi"/>
          <w:color w:val="1F1F1F"/>
          <w:sz w:val="24"/>
        </w:rPr>
        <w:footnoteReference w:id="57"/>
      </w:r>
      <w:r w:rsidRPr="00CA5C94">
        <w:rPr>
          <w:rFonts w:asciiTheme="majorBidi" w:hAnsiTheme="majorBidi"/>
          <w:color w:val="1F1F1F"/>
          <w:sz w:val="24"/>
        </w:rPr>
        <w:t xml:space="preserve">. Imam Malik accepted the charity </w:t>
      </w:r>
      <w:r w:rsidRPr="00C133C6">
        <w:rPr>
          <w:rFonts w:asciiTheme="majorBidi" w:hAnsiTheme="majorBidi"/>
          <w:i/>
          <w:iCs/>
          <w:color w:val="1F1F1F"/>
          <w:sz w:val="24"/>
        </w:rPr>
        <w:t>'urf</w:t>
      </w:r>
      <w:r w:rsidRPr="00CA5C94">
        <w:rPr>
          <w:rFonts w:asciiTheme="majorBidi" w:hAnsiTheme="majorBidi"/>
          <w:color w:val="1F1F1F"/>
          <w:sz w:val="24"/>
        </w:rPr>
        <w:t xml:space="preserve"> of the people of Medina as part of Islamic law and Imam Syafie is also said to accept this custom or custom in his </w:t>
      </w:r>
      <w:r w:rsidRPr="00C133C6">
        <w:rPr>
          <w:rFonts w:asciiTheme="majorBidi" w:hAnsiTheme="majorBidi"/>
          <w:i/>
          <w:iCs/>
          <w:color w:val="1F1F1F"/>
          <w:sz w:val="24"/>
        </w:rPr>
        <w:t>qaul qadim</w:t>
      </w:r>
      <w:r w:rsidRPr="00CA5C94">
        <w:rPr>
          <w:rFonts w:asciiTheme="majorBidi" w:hAnsiTheme="majorBidi"/>
          <w:color w:val="1F1F1F"/>
          <w:sz w:val="24"/>
        </w:rPr>
        <w:t xml:space="preserve"> and </w:t>
      </w:r>
      <w:r w:rsidRPr="00C133C6">
        <w:rPr>
          <w:rFonts w:asciiTheme="majorBidi" w:hAnsiTheme="majorBidi"/>
          <w:i/>
          <w:iCs/>
          <w:color w:val="1F1F1F"/>
          <w:sz w:val="24"/>
        </w:rPr>
        <w:t>qaul jadid</w:t>
      </w:r>
      <w:r w:rsidRPr="00CA5C94">
        <w:rPr>
          <w:rFonts w:asciiTheme="majorBidi" w:hAnsiTheme="majorBidi"/>
          <w:color w:val="1F1F1F"/>
          <w:sz w:val="24"/>
        </w:rPr>
        <w:t xml:space="preserve"> in his school</w:t>
      </w:r>
      <w:r w:rsidR="00D1367F">
        <w:rPr>
          <w:rStyle w:val="FootnoteReference"/>
          <w:rFonts w:asciiTheme="majorBidi" w:hAnsiTheme="majorBidi"/>
          <w:color w:val="1F1F1F"/>
          <w:sz w:val="24"/>
        </w:rPr>
        <w:footnoteReference w:id="58"/>
      </w:r>
      <w:r w:rsidR="00C57BE5">
        <w:rPr>
          <w:rFonts w:asciiTheme="majorBidi" w:hAnsiTheme="majorBidi"/>
          <w:color w:val="1F1F1F"/>
          <w:sz w:val="24"/>
        </w:rPr>
        <w:t>.</w:t>
      </w:r>
    </w:p>
    <w:p w14:paraId="022CB3A2" w14:textId="4B36D1A0"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Therefore, although there are various views </w:t>
      </w:r>
      <w:r>
        <w:rPr>
          <w:rFonts w:asciiTheme="majorBidi" w:eastAsia="Times New Roman" w:hAnsiTheme="majorBidi" w:cstheme="majorBidi"/>
          <w:color w:val="1F1F1F"/>
          <w:sz w:val="24"/>
          <w:szCs w:val="24"/>
        </w:rPr>
        <w:t xml:space="preserve">among </w:t>
      </w:r>
      <w:r w:rsidRPr="00CA5C94">
        <w:rPr>
          <w:rFonts w:asciiTheme="majorBidi" w:hAnsiTheme="majorBidi"/>
          <w:color w:val="1F1F1F"/>
          <w:sz w:val="24"/>
        </w:rPr>
        <w:t xml:space="preserve">local scholars </w:t>
      </w:r>
      <w:r>
        <w:rPr>
          <w:rFonts w:asciiTheme="majorBidi" w:eastAsia="Times New Roman" w:hAnsiTheme="majorBidi" w:cstheme="majorBidi"/>
          <w:color w:val="1F1F1F"/>
          <w:sz w:val="24"/>
          <w:szCs w:val="24"/>
        </w:rPr>
        <w:t>justifying</w:t>
      </w:r>
      <w:r w:rsidRPr="00CA5C94">
        <w:rPr>
          <w:rFonts w:asciiTheme="majorBidi" w:hAnsiTheme="majorBidi"/>
          <w:color w:val="1F1F1F"/>
          <w:sz w:val="24"/>
        </w:rPr>
        <w:t xml:space="preserve"> </w:t>
      </w:r>
      <w:r w:rsidRPr="00FE3B08">
        <w:rPr>
          <w:rFonts w:asciiTheme="majorBidi" w:hAnsiTheme="majorBidi"/>
          <w:i/>
          <w:iCs/>
          <w:color w:val="1F1F1F"/>
          <w:sz w:val="24"/>
        </w:rPr>
        <w:t>harta sepencarian</w:t>
      </w:r>
      <w:r w:rsidRPr="00CA5C94">
        <w:rPr>
          <w:rFonts w:asciiTheme="majorBidi" w:hAnsiTheme="majorBidi"/>
          <w:color w:val="1F1F1F"/>
          <w:sz w:val="24"/>
        </w:rPr>
        <w:t xml:space="preserve">, the view </w:t>
      </w:r>
      <w:r w:rsidR="00C13AE6">
        <w:rPr>
          <w:rFonts w:asciiTheme="majorBidi" w:eastAsia="Times New Roman" w:hAnsiTheme="majorBidi" w:cstheme="majorBidi"/>
          <w:color w:val="1F1F1F"/>
          <w:sz w:val="24"/>
          <w:szCs w:val="24"/>
        </w:rPr>
        <w:t>recognizing</w:t>
      </w:r>
      <w:r w:rsidRPr="00CA5C94">
        <w:rPr>
          <w:rFonts w:asciiTheme="majorBidi" w:hAnsiTheme="majorBidi"/>
          <w:color w:val="1F1F1F"/>
          <w:sz w:val="24"/>
        </w:rPr>
        <w:t xml:space="preserve"> this practice </w:t>
      </w:r>
      <w:r>
        <w:rPr>
          <w:rFonts w:asciiTheme="majorBidi" w:eastAsia="Times New Roman" w:hAnsiTheme="majorBidi" w:cstheme="majorBidi"/>
          <w:color w:val="1F1F1F"/>
          <w:sz w:val="24"/>
          <w:szCs w:val="24"/>
        </w:rPr>
        <w:t>as</w:t>
      </w:r>
      <w:r w:rsidRPr="00CA5C94">
        <w:rPr>
          <w:rFonts w:asciiTheme="majorBidi" w:hAnsiTheme="majorBidi"/>
          <w:color w:val="1F1F1F"/>
          <w:sz w:val="24"/>
        </w:rPr>
        <w:t xml:space="preserve"> based on local customs is more relevant. It has also been supported by the Court's decisions as discussed before this. Interestingly, this custom-based practice has later been given legal recognition, especially in Islamic family law. Almost all states have provided a specific provision regarding matrimonial property in their respective Islamic Family Law Enactments. For example, </w:t>
      </w:r>
      <w:r w:rsidRPr="00CA5C94">
        <w:rPr>
          <w:rFonts w:asciiTheme="majorBidi" w:hAnsiTheme="majorBidi"/>
          <w:color w:val="1F1F1F"/>
          <w:sz w:val="24"/>
        </w:rPr>
        <w:lastRenderedPageBreak/>
        <w:t>Section 58 of the Islamic Family Law (Federal Territories) Act 1984 has provided that:</w:t>
      </w:r>
      <w:r>
        <w:rPr>
          <w:rFonts w:asciiTheme="majorBidi" w:hAnsiTheme="majorBidi"/>
          <w:color w:val="1F1F1F"/>
          <w:sz w:val="24"/>
        </w:rPr>
        <w:t xml:space="preserve"> </w:t>
      </w:r>
      <w:r w:rsidRPr="00CA5C94">
        <w:rPr>
          <w:rFonts w:asciiTheme="majorBidi" w:hAnsiTheme="majorBidi"/>
          <w:i/>
          <w:color w:val="1F1F1F"/>
          <w:sz w:val="24"/>
        </w:rPr>
        <w:t>58. (1) The Court shall have power, when permitting the pro-</w:t>
      </w:r>
      <w:r w:rsidR="00C13AE6" w:rsidRPr="00CA5C94">
        <w:rPr>
          <w:rFonts w:asciiTheme="majorBidi" w:hAnsiTheme="majorBidi"/>
          <w:i/>
          <w:color w:val="1F1F1F"/>
          <w:sz w:val="24"/>
        </w:rPr>
        <w:t>noncement</w:t>
      </w:r>
      <w:r w:rsidRPr="00CA5C94">
        <w:rPr>
          <w:rFonts w:asciiTheme="majorBidi" w:hAnsiTheme="majorBidi"/>
          <w:i/>
          <w:color w:val="1F1F1F"/>
          <w:sz w:val="24"/>
        </w:rPr>
        <w:t xml:space="preserve"> of talaq or when making an order of divorce, to order the division between the parties of any assets acquired by them during the marriage by their joint efforts or the sale of any such assets and the division between the parties of the proceeds of sale. (2) In exercising the power conferred by subsection (1), the Court shall have regard to--</w:t>
      </w:r>
      <w:r>
        <w:rPr>
          <w:rFonts w:asciiTheme="majorBidi" w:hAnsiTheme="majorBidi"/>
          <w:color w:val="1F1F1F"/>
          <w:sz w:val="24"/>
        </w:rPr>
        <w:t xml:space="preserve"> </w:t>
      </w:r>
      <w:r w:rsidRPr="00CA5C94">
        <w:rPr>
          <w:rFonts w:asciiTheme="majorBidi" w:hAnsiTheme="majorBidi"/>
          <w:i/>
          <w:color w:val="1F1F1F"/>
          <w:sz w:val="24"/>
        </w:rPr>
        <w:t>(a) the extent of the contributions made by each party in money, property, or labour towards acquiring of the assets; (b) any debts owing by either party that were contracted for their joint benefit;</w:t>
      </w:r>
      <w:r>
        <w:rPr>
          <w:rFonts w:asciiTheme="majorBidi" w:hAnsiTheme="majorBidi"/>
          <w:color w:val="1F1F1F"/>
          <w:sz w:val="24"/>
        </w:rPr>
        <w:t xml:space="preserve"> </w:t>
      </w:r>
      <w:r w:rsidRPr="00CA5C94">
        <w:rPr>
          <w:rFonts w:asciiTheme="majorBidi" w:hAnsiTheme="majorBidi"/>
          <w:i/>
          <w:color w:val="1F1F1F"/>
          <w:sz w:val="24"/>
        </w:rPr>
        <w:t>(c) the needs of the minor children, of the marriage, if any, and, subject to those considerations, the Court shall incline to- wards equality of division.</w:t>
      </w:r>
      <w:r>
        <w:rPr>
          <w:rFonts w:asciiTheme="majorBidi" w:hAnsiTheme="majorBidi"/>
          <w:color w:val="1F1F1F"/>
          <w:sz w:val="24"/>
        </w:rPr>
        <w:t xml:space="preserve"> </w:t>
      </w:r>
      <w:r w:rsidRPr="00CA5C94">
        <w:rPr>
          <w:rFonts w:asciiTheme="majorBidi" w:hAnsiTheme="majorBidi"/>
          <w:i/>
          <w:color w:val="1F1F1F"/>
          <w:sz w:val="24"/>
        </w:rPr>
        <w:t>(3) The Court shall have power, when permitting the pronounce- ment of talaq or when making an order of divorce, to order the division between the parties of any assets acquired during the marriage by the sole effort of one party to the marriage or the sale of any such assets and the division between the parties of the proceeds of sale.</w:t>
      </w:r>
      <w:r>
        <w:rPr>
          <w:rFonts w:asciiTheme="majorBidi" w:hAnsiTheme="majorBidi"/>
          <w:color w:val="1F1F1F"/>
          <w:sz w:val="24"/>
        </w:rPr>
        <w:t xml:space="preserve"> </w:t>
      </w:r>
      <w:r w:rsidRPr="00CA5C94">
        <w:rPr>
          <w:rFonts w:asciiTheme="majorBidi" w:hAnsiTheme="majorBidi"/>
          <w:i/>
          <w:color w:val="1F1F1F"/>
          <w:sz w:val="24"/>
        </w:rPr>
        <w:t>(4) In exercising the power conferred by subsection (3), the Court shall have regard to--</w:t>
      </w:r>
      <w:r>
        <w:rPr>
          <w:rFonts w:asciiTheme="majorBidi" w:hAnsiTheme="majorBidi"/>
          <w:color w:val="1F1F1F"/>
          <w:sz w:val="24"/>
        </w:rPr>
        <w:t xml:space="preserve"> </w:t>
      </w:r>
      <w:r w:rsidRPr="00CA5C94">
        <w:rPr>
          <w:rFonts w:asciiTheme="majorBidi" w:hAnsiTheme="majorBidi"/>
          <w:i/>
          <w:color w:val="1F1F1F"/>
          <w:sz w:val="24"/>
        </w:rPr>
        <w:t>(a) the extent of the contributions made by the party who did not acquire the assets, to the welfare of the family by looking after the home or caring for the family;</w:t>
      </w:r>
      <w:r>
        <w:rPr>
          <w:rFonts w:asciiTheme="majorBidi" w:hAnsiTheme="majorBidi"/>
          <w:color w:val="1F1F1F"/>
          <w:sz w:val="24"/>
        </w:rPr>
        <w:t xml:space="preserve"> </w:t>
      </w:r>
      <w:r w:rsidRPr="00CA5C94">
        <w:rPr>
          <w:rFonts w:asciiTheme="majorBidi" w:hAnsiTheme="majorBidi"/>
          <w:i/>
          <w:color w:val="1F1F1F"/>
          <w:sz w:val="24"/>
        </w:rPr>
        <w:t>(b) the needs of the minor children of the marriage, if any, and, subject to those considerations, the Court may divide the assets or the proceeds of sale in such proportions as the Court thinks reasonable, but in any case the party by whose efforts the assets were acquired shall receive a greater proportion.</w:t>
      </w:r>
      <w:r>
        <w:rPr>
          <w:rFonts w:asciiTheme="majorBidi" w:hAnsiTheme="majorBidi"/>
          <w:color w:val="1F1F1F"/>
          <w:sz w:val="24"/>
        </w:rPr>
        <w:t xml:space="preserve"> </w:t>
      </w:r>
      <w:r w:rsidRPr="00CA5C94">
        <w:rPr>
          <w:rFonts w:asciiTheme="majorBidi" w:hAnsiTheme="majorBidi"/>
          <w:i/>
          <w:color w:val="1F1F1F"/>
          <w:sz w:val="24"/>
        </w:rPr>
        <w:t>(5) For the purposes of this section, references to assets ac- quired during a marriage include assets owned before the marriage by one party that have been substantially improved during the marriage by the other party or by their joint efforts.</w:t>
      </w:r>
    </w:p>
    <w:p w14:paraId="5BAD9450" w14:textId="694DCBF7"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color w:val="1F1F1F"/>
          <w:sz w:val="24"/>
        </w:rPr>
        <w:t xml:space="preserve">This recognition </w:t>
      </w:r>
      <w:r>
        <w:rPr>
          <w:rFonts w:asciiTheme="majorBidi" w:hAnsiTheme="majorBidi"/>
          <w:color w:val="1F1F1F"/>
          <w:sz w:val="24"/>
          <w:szCs w:val="24"/>
        </w:rPr>
        <w:t>demonstrate</w:t>
      </w:r>
      <w:r w:rsidRPr="00CA5C94">
        <w:rPr>
          <w:rFonts w:asciiTheme="majorBidi" w:hAnsiTheme="majorBidi"/>
          <w:color w:val="1F1F1F"/>
          <w:sz w:val="24"/>
        </w:rPr>
        <w:t xml:space="preserve"> that the practice of the local community has influenced the law</w:t>
      </w:r>
      <w:r>
        <w:rPr>
          <w:rFonts w:asciiTheme="majorBidi" w:hAnsiTheme="majorBidi"/>
          <w:color w:val="1F1F1F"/>
          <w:sz w:val="24"/>
          <w:szCs w:val="24"/>
        </w:rPr>
        <w:t>,</w:t>
      </w:r>
      <w:r w:rsidRPr="00CA5C94">
        <w:rPr>
          <w:rFonts w:asciiTheme="majorBidi" w:hAnsiTheme="majorBidi"/>
          <w:color w:val="1F1F1F"/>
          <w:sz w:val="24"/>
        </w:rPr>
        <w:t xml:space="preserve"> subsequently </w:t>
      </w:r>
      <w:r w:rsidRPr="00CA5C94">
        <w:rPr>
          <w:rFonts w:asciiTheme="majorBidi" w:hAnsiTheme="majorBidi"/>
          <w:color w:val="1F1F1F"/>
          <w:sz w:val="24"/>
          <w:szCs w:val="24"/>
        </w:rPr>
        <w:t>becom</w:t>
      </w:r>
      <w:r>
        <w:rPr>
          <w:rFonts w:asciiTheme="majorBidi" w:hAnsiTheme="majorBidi"/>
          <w:color w:val="1F1F1F"/>
          <w:sz w:val="24"/>
          <w:szCs w:val="24"/>
        </w:rPr>
        <w:t>ing</w:t>
      </w:r>
      <w:r w:rsidRPr="00CA5C94">
        <w:rPr>
          <w:rFonts w:asciiTheme="majorBidi" w:hAnsiTheme="majorBidi"/>
          <w:color w:val="1F1F1F"/>
          <w:sz w:val="24"/>
        </w:rPr>
        <w:t xml:space="preserve"> a practice </w:t>
      </w:r>
      <w:r>
        <w:rPr>
          <w:rFonts w:asciiTheme="majorBidi" w:hAnsiTheme="majorBidi"/>
          <w:color w:val="1F1F1F"/>
          <w:sz w:val="24"/>
          <w:szCs w:val="24"/>
        </w:rPr>
        <w:t>that</w:t>
      </w:r>
      <w:r w:rsidRPr="00CA5C94">
        <w:rPr>
          <w:rFonts w:asciiTheme="majorBidi" w:hAnsiTheme="majorBidi"/>
          <w:color w:val="1F1F1F"/>
          <w:sz w:val="24"/>
        </w:rPr>
        <w:t xml:space="preserve"> binds the population, especially the Malay Muslim community in Malaysia.</w:t>
      </w:r>
    </w:p>
    <w:p w14:paraId="6896B332" w14:textId="786577A7" w:rsidR="008417A2" w:rsidRDefault="008417A2" w:rsidP="008858F7">
      <w:pPr>
        <w:spacing w:after="0" w:line="240" w:lineRule="auto"/>
        <w:ind w:firstLine="567"/>
        <w:jc w:val="both"/>
        <w:rPr>
          <w:rFonts w:asciiTheme="majorBidi" w:hAnsiTheme="majorBidi"/>
          <w:color w:val="1F1F1F"/>
          <w:sz w:val="24"/>
        </w:rPr>
      </w:pPr>
    </w:p>
    <w:p w14:paraId="67AC307C" w14:textId="3D530C8E" w:rsidR="008417A2" w:rsidRDefault="00843714" w:rsidP="008858F7">
      <w:pPr>
        <w:spacing w:after="0" w:line="240" w:lineRule="auto"/>
        <w:ind w:firstLine="567"/>
        <w:jc w:val="both"/>
        <w:rPr>
          <w:rFonts w:asciiTheme="majorBidi" w:hAnsiTheme="majorBidi"/>
          <w:b/>
          <w:bCs/>
          <w:color w:val="1F1F1F"/>
          <w:sz w:val="24"/>
        </w:rPr>
      </w:pPr>
      <w:r>
        <w:rPr>
          <w:rFonts w:asciiTheme="majorBidi" w:hAnsiTheme="majorBidi"/>
          <w:b/>
          <w:bCs/>
          <w:color w:val="1F1F1F"/>
          <w:sz w:val="24"/>
        </w:rPr>
        <w:t>The Shift in the Division of Marital Property Based on women’s Participation in the Family</w:t>
      </w:r>
    </w:p>
    <w:p w14:paraId="373C0B5F" w14:textId="531D6104" w:rsidR="006678B4" w:rsidRPr="006678B4" w:rsidRDefault="00F944A1" w:rsidP="006678B4">
      <w:pPr>
        <w:spacing w:after="0" w:line="240" w:lineRule="auto"/>
        <w:ind w:firstLine="567"/>
        <w:jc w:val="both"/>
        <w:rPr>
          <w:rFonts w:ascii="Times New Roman" w:hAnsi="Times New Roman" w:cs="Times New Roman"/>
          <w:sz w:val="24"/>
          <w:szCs w:val="24"/>
        </w:rPr>
      </w:pPr>
      <w:r w:rsidRPr="006678B4">
        <w:rPr>
          <w:rFonts w:ascii="Times New Roman" w:hAnsi="Times New Roman" w:cs="Times New Roman"/>
          <w:sz w:val="24"/>
          <w:szCs w:val="24"/>
        </w:rPr>
        <w:t>T</w:t>
      </w:r>
      <w:r w:rsidRPr="006678B4">
        <w:rPr>
          <w:rFonts w:ascii="Times New Roman" w:hAnsi="Times New Roman" w:cs="Times New Roman"/>
          <w:sz w:val="24"/>
          <w:szCs w:val="24"/>
        </w:rPr>
        <w:t xml:space="preserve">he </w:t>
      </w:r>
      <w:r w:rsidRPr="006678B4">
        <w:rPr>
          <w:rFonts w:ascii="Times New Roman" w:hAnsi="Times New Roman" w:cs="Times New Roman"/>
          <w:color w:val="1F1F1F"/>
          <w:sz w:val="24"/>
          <w:szCs w:val="24"/>
        </w:rPr>
        <w:t>development</w:t>
      </w:r>
      <w:r w:rsidRPr="006678B4">
        <w:rPr>
          <w:rFonts w:ascii="Times New Roman" w:hAnsi="Times New Roman" w:cs="Times New Roman"/>
          <w:sz w:val="24"/>
          <w:szCs w:val="24"/>
        </w:rPr>
        <w:t xml:space="preserve"> of laws and practices surrounding the division of </w:t>
      </w:r>
      <w:r w:rsidRPr="00FE3B08">
        <w:rPr>
          <w:rFonts w:ascii="Times New Roman" w:hAnsi="Times New Roman" w:cs="Times New Roman"/>
          <w:i/>
          <w:iCs/>
          <w:sz w:val="24"/>
          <w:szCs w:val="24"/>
        </w:rPr>
        <w:t>harta sepencarian</w:t>
      </w:r>
      <w:r w:rsidRPr="006678B4">
        <w:rPr>
          <w:rFonts w:ascii="Times New Roman" w:hAnsi="Times New Roman" w:cs="Times New Roman"/>
          <w:sz w:val="24"/>
          <w:szCs w:val="24"/>
        </w:rPr>
        <w:t xml:space="preserve"> (joint property) in Malaysia reflects significant changes in recognizing women's contributions and advancing gender equality</w:t>
      </w:r>
      <w:r w:rsidR="00F61F08">
        <w:rPr>
          <w:rStyle w:val="FootnoteReference"/>
          <w:rFonts w:ascii="Times New Roman" w:hAnsi="Times New Roman"/>
          <w:sz w:val="24"/>
          <w:szCs w:val="24"/>
        </w:rPr>
        <w:footnoteReference w:id="59"/>
      </w:r>
      <w:r w:rsidRPr="006678B4">
        <w:rPr>
          <w:rFonts w:ascii="Times New Roman" w:hAnsi="Times New Roman" w:cs="Times New Roman"/>
          <w:sz w:val="24"/>
          <w:szCs w:val="24"/>
        </w:rPr>
        <w:t>. Initially, the division focused predominantly on material or financial contributions. However, the Syariah Courts now acknowledge non-material contributions, such as women’s roles in household management and childcare, as valid grounds for property division. Additionally, modernization and growing awareness of gender equality have led to increased proportions of property allocation for women inspired by Adat Perpatih, which has historically granted greater inheritance rights to women through its matrilineal system.</w:t>
      </w:r>
      <w:r w:rsidR="006678B4" w:rsidRPr="006678B4">
        <w:rPr>
          <w:rFonts w:ascii="Times New Roman" w:hAnsi="Times New Roman" w:cs="Times New Roman"/>
          <w:sz w:val="24"/>
          <w:szCs w:val="24"/>
        </w:rPr>
        <w:t xml:space="preserve"> </w:t>
      </w:r>
      <w:r w:rsidRPr="006678B4">
        <w:rPr>
          <w:rFonts w:ascii="Times New Roman" w:hAnsi="Times New Roman" w:cs="Times New Roman"/>
          <w:sz w:val="24"/>
          <w:szCs w:val="24"/>
        </w:rPr>
        <w:t xml:space="preserve">Legal reforms in the Islamic Family Law (Federal Territories) Act 1984 have introduced more detailed regulations, including the recognition of non-financial contributions and the consideration of children’s needs in property division decisions. For dispute resolution, </w:t>
      </w:r>
      <w:r w:rsidRPr="00862D1B">
        <w:rPr>
          <w:rFonts w:ascii="Times New Roman" w:hAnsi="Times New Roman" w:cs="Times New Roman"/>
          <w:i/>
          <w:iCs/>
          <w:sz w:val="24"/>
          <w:szCs w:val="24"/>
        </w:rPr>
        <w:t>Majlis Sulh</w:t>
      </w:r>
      <w:r w:rsidRPr="006678B4">
        <w:rPr>
          <w:rFonts w:ascii="Times New Roman" w:hAnsi="Times New Roman" w:cs="Times New Roman"/>
          <w:sz w:val="24"/>
          <w:szCs w:val="24"/>
        </w:rPr>
        <w:t xml:space="preserve"> has become the primary mechanism, integrating customary values and Islamic principles to achieve fair and harmonious settlements</w:t>
      </w:r>
      <w:r w:rsidR="006678B4" w:rsidRPr="006678B4">
        <w:rPr>
          <w:rFonts w:ascii="Times New Roman" w:hAnsi="Times New Roman" w:cs="Times New Roman"/>
          <w:sz w:val="24"/>
          <w:szCs w:val="24"/>
        </w:rPr>
        <w:t>.</w:t>
      </w:r>
    </w:p>
    <w:p w14:paraId="304DECB6" w14:textId="46CCDC7F" w:rsidR="00F944A1" w:rsidRPr="006678B4" w:rsidRDefault="00F944A1" w:rsidP="006678B4">
      <w:pPr>
        <w:spacing w:after="0" w:line="240" w:lineRule="auto"/>
        <w:ind w:firstLine="567"/>
        <w:jc w:val="both"/>
        <w:rPr>
          <w:rFonts w:ascii="Times New Roman" w:hAnsi="Times New Roman" w:cs="Times New Roman"/>
          <w:sz w:val="24"/>
          <w:szCs w:val="24"/>
        </w:rPr>
      </w:pPr>
      <w:r w:rsidRPr="006678B4">
        <w:rPr>
          <w:rFonts w:ascii="Times New Roman" w:hAnsi="Times New Roman" w:cs="Times New Roman"/>
          <w:sz w:val="24"/>
          <w:szCs w:val="24"/>
        </w:rPr>
        <w:lastRenderedPageBreak/>
        <w:t>The increased participation of women in the economy has also had a profound impact. With more women entering the workforce, their financial contributions to joint property are now acknowledged, providing a stronger legal basis for equitable claims</w:t>
      </w:r>
      <w:r w:rsidR="00176040">
        <w:rPr>
          <w:rStyle w:val="FootnoteReference"/>
          <w:rFonts w:ascii="Times New Roman" w:hAnsi="Times New Roman"/>
          <w:sz w:val="24"/>
          <w:szCs w:val="24"/>
        </w:rPr>
        <w:footnoteReference w:id="60"/>
      </w:r>
      <w:r w:rsidRPr="006678B4">
        <w:rPr>
          <w:rFonts w:ascii="Times New Roman" w:hAnsi="Times New Roman" w:cs="Times New Roman"/>
          <w:sz w:val="24"/>
          <w:szCs w:val="24"/>
        </w:rPr>
        <w:t>. These changes mark a shift away from patriarchal traditions, with court rulings such as Roberts v. Umi Kalthom affirming recognition of women’s contributions, even in the absence of direct financial input. Collectively, these developments underscore a transformation towards justice and equality in property division practices in Malaysia.</w:t>
      </w:r>
    </w:p>
    <w:p w14:paraId="5314C4E2" w14:textId="77777777" w:rsidR="00F944A1" w:rsidRPr="00843714" w:rsidRDefault="00F944A1" w:rsidP="006678B4">
      <w:pPr>
        <w:spacing w:after="0" w:line="240" w:lineRule="auto"/>
        <w:jc w:val="both"/>
        <w:rPr>
          <w:rFonts w:asciiTheme="majorBidi" w:hAnsiTheme="majorBidi"/>
          <w:b/>
          <w:bCs/>
          <w:color w:val="1F1F1F"/>
          <w:sz w:val="24"/>
        </w:rPr>
      </w:pPr>
    </w:p>
    <w:p w14:paraId="126605AB" w14:textId="77777777" w:rsidR="008858F7" w:rsidRDefault="008858F7" w:rsidP="008858F7">
      <w:pPr>
        <w:spacing w:after="0" w:line="240" w:lineRule="auto"/>
        <w:ind w:firstLine="567"/>
        <w:jc w:val="both"/>
        <w:rPr>
          <w:rFonts w:asciiTheme="majorBidi" w:hAnsiTheme="majorBidi"/>
          <w:color w:val="1F1F1F"/>
          <w:sz w:val="24"/>
        </w:rPr>
      </w:pPr>
      <w:r w:rsidRPr="00CA5C94">
        <w:rPr>
          <w:rFonts w:asciiTheme="majorBidi" w:hAnsiTheme="majorBidi"/>
          <w:b/>
          <w:color w:val="1F1F1F"/>
          <w:sz w:val="24"/>
        </w:rPr>
        <w:t>Conclusion</w:t>
      </w:r>
    </w:p>
    <w:p w14:paraId="333D66DE" w14:textId="1D09192B" w:rsidR="004A2E50" w:rsidRDefault="00C90C63" w:rsidP="008858F7">
      <w:pPr>
        <w:spacing w:after="0" w:line="240" w:lineRule="auto"/>
        <w:ind w:firstLine="567"/>
        <w:jc w:val="both"/>
        <w:rPr>
          <w:rFonts w:asciiTheme="majorBidi" w:hAnsiTheme="majorBidi"/>
          <w:color w:val="1F1F1F"/>
          <w:sz w:val="24"/>
        </w:rPr>
      </w:pPr>
      <w:r>
        <w:rPr>
          <w:rFonts w:asciiTheme="majorBidi" w:hAnsiTheme="majorBidi"/>
          <w:color w:val="1F1F1F"/>
          <w:sz w:val="24"/>
        </w:rPr>
        <w:t xml:space="preserve">The division of </w:t>
      </w:r>
      <w:r w:rsidRPr="00EE1C78">
        <w:rPr>
          <w:rFonts w:asciiTheme="majorBidi" w:hAnsiTheme="majorBidi"/>
          <w:i/>
          <w:iCs/>
          <w:color w:val="1F1F1F"/>
          <w:sz w:val="24"/>
        </w:rPr>
        <w:t>harta sepencaharian</w:t>
      </w:r>
      <w:r>
        <w:rPr>
          <w:rFonts w:asciiTheme="majorBidi" w:hAnsiTheme="majorBidi"/>
          <w:i/>
          <w:iCs/>
          <w:color w:val="1F1F1F"/>
          <w:sz w:val="24"/>
        </w:rPr>
        <w:t xml:space="preserve"> </w:t>
      </w:r>
      <w:r>
        <w:rPr>
          <w:rFonts w:asciiTheme="majorBidi" w:hAnsiTheme="majorBidi"/>
          <w:color w:val="1F1F1F"/>
          <w:sz w:val="24"/>
        </w:rPr>
        <w:t>(joint property) in Malaysia exemplifies a dynamic interplay between local customs, Islamic law and modern legal reform, reflecting the evolving socio-cultural and legal landscape. Grounded in the traditions of Adat Temenggung and Adat Perpatih, the practice acknowledges both material and non-material contributions, with an increasing emphasis on gender equality. This shift aligns with Islamic principles that advocate fairness and recognize the significant, yet often overlooked, role of women in household management and economic contributions.</w:t>
      </w:r>
    </w:p>
    <w:p w14:paraId="022E4078" w14:textId="59A64766" w:rsidR="00C90C63" w:rsidRDefault="00C90C63" w:rsidP="00C90C63">
      <w:pPr>
        <w:spacing w:after="0" w:line="240" w:lineRule="auto"/>
        <w:ind w:firstLine="567"/>
        <w:jc w:val="both"/>
        <w:rPr>
          <w:rFonts w:asciiTheme="majorBidi" w:hAnsiTheme="majorBidi"/>
          <w:color w:val="1F1F1F"/>
          <w:sz w:val="24"/>
        </w:rPr>
      </w:pPr>
      <w:r>
        <w:rPr>
          <w:rFonts w:asciiTheme="majorBidi" w:hAnsiTheme="majorBidi"/>
          <w:color w:val="1F1F1F"/>
          <w:sz w:val="24"/>
        </w:rPr>
        <w:t>Supporting evidence from case law, such as Roberts v. Umi Kalthom and Boto’ bte Taha v. Jaafar, affirms the legal acknowledgment of joint property rights. These cases underscore the principle that consideration. The integration of mechanisms like Majlis Sulh further illustrates the blend of local wisdom</w:t>
      </w:r>
      <w:r w:rsidR="00B0261A">
        <w:rPr>
          <w:rFonts w:asciiTheme="majorBidi" w:hAnsiTheme="majorBidi"/>
          <w:color w:val="1F1F1F"/>
          <w:sz w:val="24"/>
        </w:rPr>
        <w:t xml:space="preserve"> and Islamic values in resolving property disputes, fostering harmony and fairness within the family unit.</w:t>
      </w:r>
    </w:p>
    <w:p w14:paraId="0F2E2598" w14:textId="7C5DAC51" w:rsidR="003F749B" w:rsidRDefault="00B0261A" w:rsidP="00671535">
      <w:pPr>
        <w:spacing w:after="0" w:line="240" w:lineRule="auto"/>
        <w:ind w:firstLine="567"/>
        <w:jc w:val="both"/>
        <w:rPr>
          <w:rFonts w:asciiTheme="majorBidi" w:hAnsiTheme="majorBidi"/>
          <w:color w:val="1F1F1F"/>
          <w:sz w:val="24"/>
        </w:rPr>
      </w:pPr>
      <w:r>
        <w:rPr>
          <w:rFonts w:asciiTheme="majorBidi" w:hAnsiTheme="majorBidi"/>
          <w:color w:val="1F1F1F"/>
          <w:sz w:val="24"/>
        </w:rPr>
        <w:t xml:space="preserve">The theoretical framework of this transformation lies in the alignment of local customs with the </w:t>
      </w:r>
      <w:r>
        <w:rPr>
          <w:rFonts w:asciiTheme="majorBidi" w:hAnsiTheme="majorBidi"/>
          <w:i/>
          <w:iCs/>
          <w:color w:val="1F1F1F"/>
          <w:sz w:val="24"/>
        </w:rPr>
        <w:t>maqashid al-shariah</w:t>
      </w:r>
      <w:r w:rsidR="00E722BE">
        <w:rPr>
          <w:rFonts w:asciiTheme="majorBidi" w:hAnsiTheme="majorBidi"/>
          <w:color w:val="1F1F1F"/>
          <w:sz w:val="24"/>
        </w:rPr>
        <w:t xml:space="preserve"> (objectives of Islamic law), which prioritize justice, welfare and equity. By codifying these practices into statutory law, Malaysia has created a legal system that respects cultural heritage while adapting to contemporary socio-economic realities. </w:t>
      </w:r>
      <w:r w:rsidR="00FE57BE">
        <w:rPr>
          <w:rFonts w:asciiTheme="majorBidi" w:hAnsiTheme="majorBidi"/>
          <w:color w:val="1F1F1F"/>
          <w:sz w:val="24"/>
        </w:rPr>
        <w:t xml:space="preserve">The practice of </w:t>
      </w:r>
      <w:r w:rsidR="00FE57BE">
        <w:rPr>
          <w:rFonts w:asciiTheme="majorBidi" w:hAnsiTheme="majorBidi"/>
          <w:i/>
          <w:iCs/>
          <w:color w:val="1F1F1F"/>
          <w:sz w:val="24"/>
        </w:rPr>
        <w:t>harta sepencaharian</w:t>
      </w:r>
      <w:r w:rsidR="00FE57BE">
        <w:rPr>
          <w:rFonts w:asciiTheme="majorBidi" w:hAnsiTheme="majorBidi"/>
          <w:color w:val="1F1F1F"/>
          <w:sz w:val="24"/>
        </w:rPr>
        <w:t xml:space="preserve"> in Malaysia serves as a testament to the country’s commitment to inclusivity and fairness in matrimonial property devision. By recognizing the evolving roles of women and integrating local wisdom with Islamic and statutory frameworks, Malaysia has set a progressive precedent for other jurisdictions to harmonize tradition, religion and modernity addressing family law matters.</w:t>
      </w:r>
    </w:p>
    <w:p w14:paraId="30A89FEE" w14:textId="77777777" w:rsidR="00671535" w:rsidRPr="00671535" w:rsidRDefault="00671535" w:rsidP="00671535">
      <w:pPr>
        <w:spacing w:after="0" w:line="240" w:lineRule="auto"/>
        <w:ind w:firstLine="567"/>
        <w:jc w:val="both"/>
        <w:rPr>
          <w:rFonts w:asciiTheme="majorBidi" w:hAnsiTheme="majorBidi"/>
          <w:color w:val="1F1F1F"/>
          <w:sz w:val="24"/>
        </w:rPr>
      </w:pPr>
    </w:p>
    <w:p w14:paraId="7EC538B0" w14:textId="74A77D92" w:rsidR="00EF63BC" w:rsidRPr="00EF63BC" w:rsidRDefault="00EF63BC">
      <w:pPr>
        <w:spacing w:after="120" w:line="240" w:lineRule="auto"/>
        <w:ind w:firstLine="567"/>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Bibliografi</w:t>
      </w:r>
    </w:p>
    <w:p w14:paraId="3AD35CAA" w14:textId="77777777" w:rsidR="00402D16" w:rsidRPr="00B95F41" w:rsidRDefault="00EF63BC" w:rsidP="00402D16">
      <w:pPr>
        <w:pStyle w:val="Bibliography"/>
        <w:rPr>
          <w:rFonts w:ascii="Times New Roman" w:hAnsi="Times New Roman" w:cs="Times New Roman"/>
          <w:sz w:val="24"/>
          <w:szCs w:val="24"/>
        </w:rPr>
      </w:pPr>
      <w:r w:rsidRPr="00B95F41">
        <w:rPr>
          <w:rFonts w:ascii="Times New Roman" w:eastAsia="Times New Roman" w:hAnsi="Times New Roman" w:cs="Times New Roman"/>
          <w:color w:val="000000" w:themeColor="text1"/>
          <w:sz w:val="24"/>
          <w:szCs w:val="24"/>
        </w:rPr>
        <w:fldChar w:fldCharType="begin"/>
      </w:r>
      <w:r w:rsidRPr="00B95F41">
        <w:rPr>
          <w:rFonts w:ascii="Times New Roman" w:eastAsia="Times New Roman" w:hAnsi="Times New Roman" w:cs="Times New Roman"/>
          <w:color w:val="000000" w:themeColor="text1"/>
          <w:sz w:val="24"/>
          <w:szCs w:val="24"/>
        </w:rPr>
        <w:instrText xml:space="preserve"> ADDIN ZOTERO_BIBL {"uncited":[],"omitted":[],"custom":[]} CSL_BIBLIOGRAPHY </w:instrText>
      </w:r>
      <w:r w:rsidRPr="00B95F41">
        <w:rPr>
          <w:rFonts w:ascii="Times New Roman" w:eastAsia="Times New Roman" w:hAnsi="Times New Roman" w:cs="Times New Roman"/>
          <w:color w:val="000000" w:themeColor="text1"/>
          <w:sz w:val="24"/>
          <w:szCs w:val="24"/>
        </w:rPr>
        <w:fldChar w:fldCharType="separate"/>
      </w:r>
      <w:r w:rsidR="00402D16" w:rsidRPr="00B95F41">
        <w:rPr>
          <w:rFonts w:ascii="Times New Roman" w:hAnsi="Times New Roman" w:cs="Times New Roman"/>
          <w:sz w:val="24"/>
          <w:szCs w:val="24"/>
        </w:rPr>
        <w:t xml:space="preserve">Abdullah, Fatima. “Wanita Dan Pekerjaan: Satu Analisis Konflik Peranan*.” </w:t>
      </w:r>
      <w:r w:rsidR="00402D16" w:rsidRPr="00B95F41">
        <w:rPr>
          <w:rFonts w:ascii="Times New Roman" w:hAnsi="Times New Roman" w:cs="Times New Roman"/>
          <w:i/>
          <w:iCs/>
          <w:sz w:val="24"/>
          <w:szCs w:val="24"/>
        </w:rPr>
        <w:t>Akademika</w:t>
      </w:r>
      <w:r w:rsidR="00402D16" w:rsidRPr="00B95F41">
        <w:rPr>
          <w:rFonts w:ascii="Times New Roman" w:hAnsi="Times New Roman" w:cs="Times New Roman"/>
          <w:sz w:val="24"/>
          <w:szCs w:val="24"/>
        </w:rPr>
        <w:t>, July 1, 1985. https://www.semanticscholar.org/paper/WANITA-DAN-PEKERJAAN%3A-SATU-ANALISIS-KONFLIK-Abdullah/fbc9a4633aafe2de3656ce898b1cb5ba2d863a2f#citing-papers.</w:t>
      </w:r>
    </w:p>
    <w:p w14:paraId="5996BF4C"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Ahmad, Mohamad Ali Roshidi. “Permasalahan Tuntutan Harta Sepencarian Dalam Pembahagian Harta Pusaka: The Issues of Jointly Acquired Property Claims in the Division of Estate.” </w:t>
      </w:r>
      <w:r w:rsidRPr="00B95F41">
        <w:rPr>
          <w:rFonts w:ascii="Times New Roman" w:hAnsi="Times New Roman" w:cs="Times New Roman"/>
          <w:i/>
          <w:iCs/>
          <w:sz w:val="24"/>
          <w:szCs w:val="24"/>
        </w:rPr>
        <w:t>Journal of Fatwa Management and Research</w:t>
      </w:r>
      <w:r w:rsidRPr="00B95F41">
        <w:rPr>
          <w:rFonts w:ascii="Times New Roman" w:hAnsi="Times New Roman" w:cs="Times New Roman"/>
          <w:sz w:val="24"/>
          <w:szCs w:val="24"/>
        </w:rPr>
        <w:t xml:space="preserve"> 24, no. 2 (April 30, 2021): 118–31. https://doi.org/10.33102/jfatwa.vol24no2.352.</w:t>
      </w:r>
    </w:p>
    <w:p w14:paraId="0735A2C6"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Akter, Sonia, Pieter Rutsaert, Joyce Luis, Nyo Me Htwe, Su Su San, Budi Raharjo, and Arlyna Pustika. “Women’s Empowerment and Gender Equity in Agriculture: A </w:t>
      </w:r>
      <w:r w:rsidRPr="00B95F41">
        <w:rPr>
          <w:rFonts w:ascii="Times New Roman" w:hAnsi="Times New Roman" w:cs="Times New Roman"/>
          <w:sz w:val="24"/>
          <w:szCs w:val="24"/>
        </w:rPr>
        <w:lastRenderedPageBreak/>
        <w:t xml:space="preserve">Different Perspective from Southeast Asia.” </w:t>
      </w:r>
      <w:r w:rsidRPr="00B95F41">
        <w:rPr>
          <w:rFonts w:ascii="Times New Roman" w:hAnsi="Times New Roman" w:cs="Times New Roman"/>
          <w:i/>
          <w:iCs/>
          <w:sz w:val="24"/>
          <w:szCs w:val="24"/>
        </w:rPr>
        <w:t>Food Policy</w:t>
      </w:r>
      <w:r w:rsidRPr="00B95F41">
        <w:rPr>
          <w:rFonts w:ascii="Times New Roman" w:hAnsi="Times New Roman" w:cs="Times New Roman"/>
          <w:sz w:val="24"/>
          <w:szCs w:val="24"/>
        </w:rPr>
        <w:t xml:space="preserve"> 69 (May 1, 2017): 270–79. https://doi.org/10.1016/j.foodpol.2017.05.003.</w:t>
      </w:r>
    </w:p>
    <w:p w14:paraId="2FB24971"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Amrin, Amrin, and Amirullah Amirullah. “Contemporary Legal Istimbat: Study on the Theory of Changes in Fatwa According to Yusuf Qardhawi.” </w:t>
      </w:r>
      <w:r w:rsidRPr="00B95F41">
        <w:rPr>
          <w:rFonts w:ascii="Times New Roman" w:hAnsi="Times New Roman" w:cs="Times New Roman"/>
          <w:i/>
          <w:iCs/>
          <w:sz w:val="24"/>
          <w:szCs w:val="24"/>
        </w:rPr>
        <w:t>Mizan: Journal of Islamic Law</w:t>
      </w:r>
      <w:r w:rsidRPr="00B95F41">
        <w:rPr>
          <w:rFonts w:ascii="Times New Roman" w:hAnsi="Times New Roman" w:cs="Times New Roman"/>
          <w:sz w:val="24"/>
          <w:szCs w:val="24"/>
        </w:rPr>
        <w:t xml:space="preserve"> 6, no. 1 (April 17, 2022): 89. https://doi.org/10.32507/mizan.v6i1.1244.</w:t>
      </w:r>
    </w:p>
    <w:p w14:paraId="65B840C6"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Arifah, Risma Nur, Siti Zulaichah, and M. Faiz Nasrullah. “Membuka Rahasia Bank Dalam Pembagian Harta Bersama Perspektif Maqashid Syariah.” </w:t>
      </w:r>
      <w:r w:rsidRPr="00B95F41">
        <w:rPr>
          <w:rFonts w:ascii="Times New Roman" w:hAnsi="Times New Roman" w:cs="Times New Roman"/>
          <w:i/>
          <w:iCs/>
          <w:sz w:val="24"/>
          <w:szCs w:val="24"/>
        </w:rPr>
        <w:t>De Jure: Jurnal Hukum dan Syar’iah</w:t>
      </w:r>
      <w:r w:rsidRPr="00B95F41">
        <w:rPr>
          <w:rFonts w:ascii="Times New Roman" w:hAnsi="Times New Roman" w:cs="Times New Roman"/>
          <w:sz w:val="24"/>
          <w:szCs w:val="24"/>
        </w:rPr>
        <w:t xml:space="preserve"> 11, no. 2 (December 31, 2019): 113–27. https://doi.org/10.18860/j-fsh.v11i2.7999.</w:t>
      </w:r>
    </w:p>
    <w:p w14:paraId="6899EC21"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Banks, David J. “Islam and Inheritance in Malaya: Culture Conflict or Islamic Revolution?” </w:t>
      </w:r>
      <w:r w:rsidRPr="00B95F41">
        <w:rPr>
          <w:rFonts w:ascii="Times New Roman" w:hAnsi="Times New Roman" w:cs="Times New Roman"/>
          <w:i/>
          <w:iCs/>
          <w:sz w:val="24"/>
          <w:szCs w:val="24"/>
        </w:rPr>
        <w:t>American Ethnologist</w:t>
      </w:r>
      <w:r w:rsidRPr="00B95F41">
        <w:rPr>
          <w:rFonts w:ascii="Times New Roman" w:hAnsi="Times New Roman" w:cs="Times New Roman"/>
          <w:sz w:val="24"/>
          <w:szCs w:val="24"/>
        </w:rPr>
        <w:t xml:space="preserve"> 3, no. 4 (1976): 573–86.</w:t>
      </w:r>
    </w:p>
    <w:p w14:paraId="7404A605"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Boo, Harn Shian. “Gender Norms and Gender Inequality in Unpaid Domestic Work among Malay Couples in Malaysia.” </w:t>
      </w:r>
      <w:r w:rsidRPr="00B95F41">
        <w:rPr>
          <w:rFonts w:ascii="Times New Roman" w:hAnsi="Times New Roman" w:cs="Times New Roman"/>
          <w:i/>
          <w:iCs/>
          <w:sz w:val="24"/>
          <w:szCs w:val="24"/>
        </w:rPr>
        <w:t>Pertanika Journal of Social Sciences and Humanities</w:t>
      </w:r>
      <w:r w:rsidRPr="00B95F41">
        <w:rPr>
          <w:rFonts w:ascii="Times New Roman" w:hAnsi="Times New Roman" w:cs="Times New Roman"/>
          <w:sz w:val="24"/>
          <w:szCs w:val="24"/>
        </w:rPr>
        <w:t xml:space="preserve"> 29, no. 4 (December 3, 2021): 2353–69. https://doi.org/10.47836/pjssh.29.4.14.</w:t>
      </w:r>
    </w:p>
    <w:p w14:paraId="71620D91"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Borhan, Zainal Abidin. </w:t>
      </w:r>
      <w:r w:rsidRPr="00B95F41">
        <w:rPr>
          <w:rFonts w:ascii="Times New Roman" w:hAnsi="Times New Roman" w:cs="Times New Roman"/>
          <w:i/>
          <w:iCs/>
          <w:sz w:val="24"/>
          <w:szCs w:val="24"/>
        </w:rPr>
        <w:t>Adat istiadat Melayu Melaka : OPAC USU Library</w:t>
      </w:r>
      <w:r w:rsidRPr="00B95F41">
        <w:rPr>
          <w:rFonts w:ascii="Times New Roman" w:hAnsi="Times New Roman" w:cs="Times New Roman"/>
          <w:sz w:val="24"/>
          <w:szCs w:val="24"/>
        </w:rPr>
        <w:t>. Institut Kajian Sejarah dan Patriotisme Malaysia, 1996. http://sipus.usu.ac.id/opac2.2/buku/34618/Adat-istiadat-Melayu-Melaka.html.</w:t>
      </w:r>
    </w:p>
    <w:p w14:paraId="59AF6857"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Budiman, Raihan Chaerani Putri, Dhara Cita Rafeina, and Amelia PSDA Arintyas. “Gender-Based Development Discourse and Its Impact on Women Informal Workers in Yogyakarta.” </w:t>
      </w:r>
      <w:r w:rsidRPr="00B95F41">
        <w:rPr>
          <w:rFonts w:ascii="Times New Roman" w:hAnsi="Times New Roman" w:cs="Times New Roman"/>
          <w:i/>
          <w:iCs/>
          <w:sz w:val="24"/>
          <w:szCs w:val="24"/>
        </w:rPr>
        <w:t>Populasi</w:t>
      </w:r>
      <w:r w:rsidRPr="00B95F41">
        <w:rPr>
          <w:rFonts w:ascii="Times New Roman" w:hAnsi="Times New Roman" w:cs="Times New Roman"/>
          <w:sz w:val="24"/>
          <w:szCs w:val="24"/>
        </w:rPr>
        <w:t xml:space="preserve"> 31, no. 2 (2023). https://jurnal.ugm.ac.id/populasi/article/download/92550/38238.</w:t>
      </w:r>
    </w:p>
    <w:p w14:paraId="3942A467"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Center for General Studies and Co-Curriculum, Universiti Tun Hussein Onn Malaysia, Johor, MALAYSIA, Nor Shela Saleh, Mohd Shafie Rosli, Faculty of Social Sciences and Humanities, Universiti Teknologi Malaysia, Johor, Malaysia, Andi Sukri Syamsuri, and Fakultas Adab dan Humaniora, Universitas Islam Negeri Alauddin Makassar, Sulawesi Selatan, Indonesia. “Budaya Masyarakat Bugis dalam Aspek Perkahwinan, Komunikasi dan Makanan Warisan.” </w:t>
      </w:r>
      <w:r w:rsidRPr="00B95F41">
        <w:rPr>
          <w:rFonts w:ascii="Times New Roman" w:hAnsi="Times New Roman" w:cs="Times New Roman"/>
          <w:i/>
          <w:iCs/>
          <w:sz w:val="24"/>
          <w:szCs w:val="24"/>
        </w:rPr>
        <w:t>Kajian Malaysia</w:t>
      </w:r>
      <w:r w:rsidRPr="00B95F41">
        <w:rPr>
          <w:rFonts w:ascii="Times New Roman" w:hAnsi="Times New Roman" w:cs="Times New Roman"/>
          <w:sz w:val="24"/>
          <w:szCs w:val="24"/>
        </w:rPr>
        <w:t xml:space="preserve"> 40, no. 2 (October 31, 2022): 227–53. https://doi.org/10.21315/km2022.40.2.10.</w:t>
      </w:r>
    </w:p>
    <w:p w14:paraId="4CA9D23E"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Chen, Vivien, Michelle Welsh, and May Fong Cheong. “Gender Diversity on Malaysian Corporate Boards: A Law and Social Movements Perspective.” </w:t>
      </w:r>
      <w:r w:rsidRPr="00B95F41">
        <w:rPr>
          <w:rFonts w:ascii="Times New Roman" w:hAnsi="Times New Roman" w:cs="Times New Roman"/>
          <w:i/>
          <w:iCs/>
          <w:sz w:val="24"/>
          <w:szCs w:val="24"/>
        </w:rPr>
        <w:t>Journal of Law and Society</w:t>
      </w:r>
      <w:r w:rsidRPr="00B95F41">
        <w:rPr>
          <w:rFonts w:ascii="Times New Roman" w:hAnsi="Times New Roman" w:cs="Times New Roman"/>
          <w:sz w:val="24"/>
          <w:szCs w:val="24"/>
        </w:rPr>
        <w:t xml:space="preserve"> 49, no. 1 (2022): 23–47. https://doi.org/10.1111/jols.12341.</w:t>
      </w:r>
    </w:p>
    <w:p w14:paraId="29F371A9"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Fawwaz, Aulia Fadhilah. “Analysis of Qaul Qadim Imam Syafi’i in the Social History of Islamic Law.” </w:t>
      </w:r>
      <w:r w:rsidRPr="00B95F41">
        <w:rPr>
          <w:rFonts w:ascii="Times New Roman" w:hAnsi="Times New Roman" w:cs="Times New Roman"/>
          <w:i/>
          <w:iCs/>
          <w:sz w:val="24"/>
          <w:szCs w:val="24"/>
        </w:rPr>
        <w:t>Jurnal Pendidikan Islam</w:t>
      </w:r>
      <w:r w:rsidRPr="00B95F41">
        <w:rPr>
          <w:rFonts w:ascii="Times New Roman" w:hAnsi="Times New Roman" w:cs="Times New Roman"/>
          <w:sz w:val="24"/>
          <w:szCs w:val="24"/>
        </w:rPr>
        <w:t xml:space="preserve"> 1, no. 2 (2023). https://doi.org/10.47134/pjpi.v1i2.166.</w:t>
      </w:r>
    </w:p>
    <w:p w14:paraId="7B5C31C3"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Haque, Muhammad Faizul, Sohirin Mohammad Solihin, Nadzrah Ahmad, and Mohd Shah Jani. “Women Rights to Inheritance in Muslim Family Law: An Analytical Study.” </w:t>
      </w:r>
      <w:r w:rsidRPr="00B95F41">
        <w:rPr>
          <w:rFonts w:ascii="Times New Roman" w:hAnsi="Times New Roman" w:cs="Times New Roman"/>
          <w:i/>
          <w:iCs/>
          <w:sz w:val="24"/>
          <w:szCs w:val="24"/>
        </w:rPr>
        <w:t>International Journal of Islamic Business &amp;Amp; Management</w:t>
      </w:r>
      <w:r w:rsidRPr="00B95F41">
        <w:rPr>
          <w:rFonts w:ascii="Times New Roman" w:hAnsi="Times New Roman" w:cs="Times New Roman"/>
          <w:sz w:val="24"/>
          <w:szCs w:val="24"/>
        </w:rPr>
        <w:t xml:space="preserve"> 4, no. 1 (2020). https://doi.org/10.46281/ijibm.v4i1.543.</w:t>
      </w:r>
    </w:p>
    <w:p w14:paraId="1AEE1016"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Herd, Pamela, Jeremy Freese, Kamil Sicinski, Benjamin W. Domingue, Kathleen Mullan Harris, Caiping Wei, and Robert M. Hauser. “Genes, Gender Inequality, and Educational Attainment.” </w:t>
      </w:r>
      <w:r w:rsidRPr="00B95F41">
        <w:rPr>
          <w:rFonts w:ascii="Times New Roman" w:hAnsi="Times New Roman" w:cs="Times New Roman"/>
          <w:i/>
          <w:iCs/>
          <w:sz w:val="24"/>
          <w:szCs w:val="24"/>
        </w:rPr>
        <w:t>American Sociological Review</w:t>
      </w:r>
      <w:r w:rsidRPr="00B95F41">
        <w:rPr>
          <w:rFonts w:ascii="Times New Roman" w:hAnsi="Times New Roman" w:cs="Times New Roman"/>
          <w:sz w:val="24"/>
          <w:szCs w:val="24"/>
        </w:rPr>
        <w:t xml:space="preserve"> 84, no. 6 (2019). https://doi.org/10.1177/0003122419886550.</w:t>
      </w:r>
    </w:p>
    <w:p w14:paraId="39EBD46A"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Hidayah, Nur. “Gender, Economy, and the Law: Women Entrepreneurs in Indonesian and Islamic Legal Perspectives.” </w:t>
      </w:r>
      <w:r w:rsidRPr="00B95F41">
        <w:rPr>
          <w:rFonts w:ascii="Times New Roman" w:hAnsi="Times New Roman" w:cs="Times New Roman"/>
          <w:i/>
          <w:iCs/>
          <w:sz w:val="24"/>
          <w:szCs w:val="24"/>
        </w:rPr>
        <w:t>Samarah: Jurnal Hukum Keluarga Dan Hukum Islam</w:t>
      </w:r>
      <w:r w:rsidRPr="00B95F41">
        <w:rPr>
          <w:rFonts w:ascii="Times New Roman" w:hAnsi="Times New Roman" w:cs="Times New Roman"/>
          <w:sz w:val="24"/>
          <w:szCs w:val="24"/>
        </w:rPr>
        <w:t xml:space="preserve"> 7, no. 2 (June 20, 2023): 1171. https://doi.org/10.22373/sjhk.v7i2.17944.</w:t>
      </w:r>
    </w:p>
    <w:p w14:paraId="2740B7BB"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lastRenderedPageBreak/>
        <w:t xml:space="preserve">Hoque, Mohammad Enamul, and Mohd Azlan Shah Zaidi. “The Impacts of Global Economic Policy Uncertainty on Stock Market Returns in Regime Switching Environment: Evidence from Sectoral Perspectives.” </w:t>
      </w:r>
      <w:r w:rsidRPr="00B95F41">
        <w:rPr>
          <w:rFonts w:ascii="Times New Roman" w:hAnsi="Times New Roman" w:cs="Times New Roman"/>
          <w:i/>
          <w:iCs/>
          <w:sz w:val="24"/>
          <w:szCs w:val="24"/>
        </w:rPr>
        <w:t>International Journal of Finance &amp;Amp; Economics</w:t>
      </w:r>
      <w:r w:rsidRPr="00B95F41">
        <w:rPr>
          <w:rFonts w:ascii="Times New Roman" w:hAnsi="Times New Roman" w:cs="Times New Roman"/>
          <w:sz w:val="24"/>
          <w:szCs w:val="24"/>
        </w:rPr>
        <w:t xml:space="preserve"> 24, no. 2 (2018). https://doi.org/10.1002/ijfe.1702.</w:t>
      </w:r>
    </w:p>
    <w:p w14:paraId="78D556E0"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Hussain, Mohd Amirul, Mohd Yazid Mohd Yunos, Nor Atiah Ismail, Ariffin Nor Fazamimah Mohd, and Sumarni Ismail. “A Review of the Elements of Nature and the Malay Cultural Landscape through Malay Literature” 12, no. 6 (March 11, 2020). https://doi.org/10.3390/su12062154.</w:t>
      </w:r>
    </w:p>
    <w:p w14:paraId="2B72B654"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Hussin, Mohd Norhusairi Mat. “Tuntutan Hak-Hak Suami Pasca Perceraian: Kajian DI Mahkamah Syariah Kota Bharu, Kelantan.” Accessed July 1, 2024. https://www.academia.edu/51496558/Tuntutan_Hak_Hak_Suami_Pasca_Perceraian_Kajian_DI_Mahkamah_Syariah_Kota_Bharu_Kelantan.</w:t>
      </w:r>
    </w:p>
    <w:p w14:paraId="6AC97E2B"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Hussin, Mohd Norhusairi Mat, and Muhammad Farid Aizat Fauzi. “Alimony of Childern by Deducting of Employeess Provident Fund: An Alternative.” </w:t>
      </w:r>
      <w:r w:rsidRPr="00B95F41">
        <w:rPr>
          <w:rFonts w:ascii="Times New Roman" w:hAnsi="Times New Roman" w:cs="Times New Roman"/>
          <w:i/>
          <w:iCs/>
          <w:sz w:val="24"/>
          <w:szCs w:val="24"/>
        </w:rPr>
        <w:t>UUM Journal of Legal Studies</w:t>
      </w:r>
      <w:r w:rsidRPr="00B95F41">
        <w:rPr>
          <w:rFonts w:ascii="Times New Roman" w:hAnsi="Times New Roman" w:cs="Times New Roman"/>
          <w:sz w:val="24"/>
          <w:szCs w:val="24"/>
        </w:rPr>
        <w:t xml:space="preserve"> 14, no. 1 (January 18, 2023): 333–63. https://doi.org/10.32890/uumjls2023.14.1.13.</w:t>
      </w:r>
    </w:p>
    <w:p w14:paraId="4EFA26AA"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Hussin, Mohd Norhusairi Mat, and Mohd Hafiz Jamaludin. “Harta Sepencarian vs Harta Perkahwinan Dalam Perundangan Sivil: Satu Sorotan Ringkas” 6, no. 1 (Desember 2016): 79–99.</w:t>
      </w:r>
    </w:p>
    <w:p w14:paraId="6DAA2916"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Ismail, Abdul Manan, and Ahmad Syukran Baharuddin. “Moderation in Fatwas and Ijtihad: An Analysis of Fatwas Issued by the MKI Malaysia Concerning the Covid-19 Pandemic.” </w:t>
      </w:r>
      <w:r w:rsidRPr="00B95F41">
        <w:rPr>
          <w:rFonts w:ascii="Times New Roman" w:hAnsi="Times New Roman" w:cs="Times New Roman"/>
          <w:i/>
          <w:iCs/>
          <w:sz w:val="24"/>
          <w:szCs w:val="24"/>
        </w:rPr>
        <w:t>AHKAM : Jurnal Ilmu Syariah</w:t>
      </w:r>
      <w:r w:rsidRPr="00B95F41">
        <w:rPr>
          <w:rFonts w:ascii="Times New Roman" w:hAnsi="Times New Roman" w:cs="Times New Roman"/>
          <w:sz w:val="24"/>
          <w:szCs w:val="24"/>
        </w:rPr>
        <w:t xml:space="preserve"> 22, no. 1 (June 30, 2022). https://journal.uinjkt.ac.id/index.php/ahkam/article/view/22299.</w:t>
      </w:r>
    </w:p>
    <w:p w14:paraId="33F72F53"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Jamaludin, Mohd Hafiz, Mohd Hussin, Khadijah Mohd Khambali @ Hambali, and Mohd Anuar Ramli. “The Application of the Instrument ofAl-Istihsan Bi Al-’Urf in Harta Sepencarian Practice in Malaysia.” </w:t>
      </w:r>
      <w:r w:rsidRPr="00B95F41">
        <w:rPr>
          <w:rFonts w:ascii="Times New Roman" w:hAnsi="Times New Roman" w:cs="Times New Roman"/>
          <w:i/>
          <w:iCs/>
          <w:sz w:val="24"/>
          <w:szCs w:val="24"/>
        </w:rPr>
        <w:t>ʻUlūm Islāmiyyah Journal</w:t>
      </w:r>
      <w:r w:rsidRPr="00B95F41">
        <w:rPr>
          <w:rFonts w:ascii="Times New Roman" w:hAnsi="Times New Roman" w:cs="Times New Roman"/>
          <w:sz w:val="24"/>
          <w:szCs w:val="24"/>
        </w:rPr>
        <w:t xml:space="preserve"> 14 (December 1, 2014): 69–88. https://doi.org/10.12816/0012615.</w:t>
      </w:r>
    </w:p>
    <w:p w14:paraId="2CDF4038"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Jamaludin, Mohd Hafiz, Mohd Norhusairi Mat Hussin, Khadijah Mohd Khambali, and Mohd Anuar Ramli. “Pemakaian Instrumen Istihsan Dengan ‘Urf ( Al-Istihsan Bi Al-`Urfi ) Dalam Amalan Pembahagian Harta Sepencarian Di Malaysia = The Application of the Instrument ofAl-Istihsan Bi Al-’Urf in Harta Sepencarian Practice in Malaysia” 14 (Desember 2014): 69–88. http://dx.doi.org/10.12816/0012615.</w:t>
      </w:r>
    </w:p>
    <w:p w14:paraId="0BAF7F9C"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Kamaruddin, Zaleha, Zati Ilham Abdul Manaf, and Nadhilah A.Kadir. “The Necessity for the Formulation of an Online Family Dispute Resolution Management Framework in Malaysia.” </w:t>
      </w:r>
      <w:r w:rsidRPr="00B95F41">
        <w:rPr>
          <w:rFonts w:ascii="Times New Roman" w:hAnsi="Times New Roman" w:cs="Times New Roman"/>
          <w:i/>
          <w:iCs/>
          <w:sz w:val="24"/>
          <w:szCs w:val="24"/>
        </w:rPr>
        <w:t>Journal of Information Systems and Digital Technologies</w:t>
      </w:r>
      <w:r w:rsidRPr="00B95F41">
        <w:rPr>
          <w:rFonts w:ascii="Times New Roman" w:hAnsi="Times New Roman" w:cs="Times New Roman"/>
          <w:sz w:val="24"/>
          <w:szCs w:val="24"/>
        </w:rPr>
        <w:t xml:space="preserve"> 2, no. 1 (May 13, 2020): 1–15. https://doi.org/10.31436/jisdt.v2i1.125.</w:t>
      </w:r>
    </w:p>
    <w:p w14:paraId="66BF4049"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Khan, Tasnim, and Rana Ejaz Ali Khan. “Urban Informal Sector: How Much Women Are Struggling for Family Survival.” </w:t>
      </w:r>
      <w:r w:rsidRPr="00B95F41">
        <w:rPr>
          <w:rFonts w:ascii="Times New Roman" w:hAnsi="Times New Roman" w:cs="Times New Roman"/>
          <w:i/>
          <w:iCs/>
          <w:sz w:val="24"/>
          <w:szCs w:val="24"/>
        </w:rPr>
        <w:t>The Pakistan Development Review</w:t>
      </w:r>
      <w:r w:rsidRPr="00B95F41">
        <w:rPr>
          <w:rFonts w:ascii="Times New Roman" w:hAnsi="Times New Roman" w:cs="Times New Roman"/>
          <w:sz w:val="24"/>
          <w:szCs w:val="24"/>
        </w:rPr>
        <w:t>, 2022. https://doi.org/10.30541/v48i1pp.67-95.</w:t>
      </w:r>
    </w:p>
    <w:p w14:paraId="52122EB3"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Khosyi’ah, Siah, and Ayi Yunus Rusyana. “Inheritance Settlement of Descendants of Children and Siblings in Islamic Law with Local Wisdom in Indonesia.” </w:t>
      </w:r>
      <w:r w:rsidRPr="00B95F41">
        <w:rPr>
          <w:rFonts w:ascii="Times New Roman" w:hAnsi="Times New Roman" w:cs="Times New Roman"/>
          <w:i/>
          <w:iCs/>
          <w:sz w:val="24"/>
          <w:szCs w:val="24"/>
        </w:rPr>
        <w:t>Taylor &amp; Francis</w:t>
      </w:r>
      <w:r w:rsidRPr="00B95F41">
        <w:rPr>
          <w:rFonts w:ascii="Times New Roman" w:hAnsi="Times New Roman" w:cs="Times New Roman"/>
          <w:sz w:val="24"/>
          <w:szCs w:val="24"/>
        </w:rPr>
        <w:t>, December 31, 2022. https://www.tandfonline.com/doi/abs/10.1080/23311886.2022.2126615.</w:t>
      </w:r>
    </w:p>
    <w:p w14:paraId="1E965E5F"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Mahmad Robbi, Ahmad Akram, and Mek Wok Mahmud. “MaqāṢid Al-‘Adl (Keadilan) Dalam Isu Tuntutan Harta Sepencarian Di Malaysia (The Objective of Fairness (al-‘Adl) in The Matrimonial Property Conflict in Malaysia).” In </w:t>
      </w:r>
      <w:r w:rsidRPr="00B95F41">
        <w:rPr>
          <w:rFonts w:ascii="Times New Roman" w:hAnsi="Times New Roman" w:cs="Times New Roman"/>
          <w:i/>
          <w:iCs/>
          <w:sz w:val="24"/>
          <w:szCs w:val="24"/>
        </w:rPr>
        <w:t xml:space="preserve">Journal of Islam </w:t>
      </w:r>
      <w:r w:rsidRPr="00B95F41">
        <w:rPr>
          <w:rFonts w:ascii="Times New Roman" w:hAnsi="Times New Roman" w:cs="Times New Roman"/>
          <w:i/>
          <w:iCs/>
          <w:sz w:val="24"/>
          <w:szCs w:val="24"/>
        </w:rPr>
        <w:lastRenderedPageBreak/>
        <w:t>in Asia (E-ISSN 2289-8077)</w:t>
      </w:r>
      <w:r w:rsidRPr="00B95F41">
        <w:rPr>
          <w:rFonts w:ascii="Times New Roman" w:hAnsi="Times New Roman" w:cs="Times New Roman"/>
          <w:sz w:val="24"/>
          <w:szCs w:val="24"/>
        </w:rPr>
        <w:t>, 17:291–320, 2020. https://doi.org/10.31436/jia.v17i3.986.</w:t>
      </w:r>
    </w:p>
    <w:p w14:paraId="09AF3815"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Musta’id, Ahmad. “The Position of Women in Islamic History.” </w:t>
      </w:r>
      <w:r w:rsidRPr="00B95F41">
        <w:rPr>
          <w:rFonts w:ascii="Times New Roman" w:hAnsi="Times New Roman" w:cs="Times New Roman"/>
          <w:i/>
          <w:iCs/>
          <w:sz w:val="24"/>
          <w:szCs w:val="24"/>
        </w:rPr>
        <w:t>Journal of Islamic History and Manuscript</w:t>
      </w:r>
      <w:r w:rsidRPr="00B95F41">
        <w:rPr>
          <w:rFonts w:ascii="Times New Roman" w:hAnsi="Times New Roman" w:cs="Times New Roman"/>
          <w:sz w:val="24"/>
          <w:szCs w:val="24"/>
        </w:rPr>
        <w:t xml:space="preserve"> 2, no. 1 (May 9, 2023): 21–34. https://doi.org/10.24090/jihm.v2i1.6966.</w:t>
      </w:r>
    </w:p>
    <w:p w14:paraId="220741BE"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Mutakabbir, Abdul, Hastuti Hastuti, and Mikdar Rusdi. “The System of Inheritance Distribution in South Sulawesi.” </w:t>
      </w:r>
      <w:r w:rsidRPr="00B95F41">
        <w:rPr>
          <w:rFonts w:ascii="Times New Roman" w:hAnsi="Times New Roman" w:cs="Times New Roman"/>
          <w:i/>
          <w:iCs/>
          <w:sz w:val="24"/>
          <w:szCs w:val="24"/>
        </w:rPr>
        <w:t>Ijtihad : Jurnal Wacana Hukum Islam Dan Kemanusiaan</w:t>
      </w:r>
      <w:r w:rsidRPr="00B95F41">
        <w:rPr>
          <w:rFonts w:ascii="Times New Roman" w:hAnsi="Times New Roman" w:cs="Times New Roman"/>
          <w:sz w:val="24"/>
          <w:szCs w:val="24"/>
        </w:rPr>
        <w:t xml:space="preserve"> 23, no. 1 (June 22, 2023): 57–76. https://doi.org/10.18326/ijtihad.v23i1.57-76.</w:t>
      </w:r>
    </w:p>
    <w:p w14:paraId="0B71CDC6"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Noor, Noraini M., and Chan-Hoong Leong. “Multiculturalism in Malaysia and Singapore: Contesting Models.” </w:t>
      </w:r>
      <w:r w:rsidRPr="00B95F41">
        <w:rPr>
          <w:rFonts w:ascii="Times New Roman" w:hAnsi="Times New Roman" w:cs="Times New Roman"/>
          <w:i/>
          <w:iCs/>
          <w:sz w:val="24"/>
          <w:szCs w:val="24"/>
        </w:rPr>
        <w:t>International Journal of Intercultural Relations</w:t>
      </w:r>
      <w:r w:rsidRPr="00B95F41">
        <w:rPr>
          <w:rFonts w:ascii="Times New Roman" w:hAnsi="Times New Roman" w:cs="Times New Roman"/>
          <w:sz w:val="24"/>
          <w:szCs w:val="24"/>
        </w:rPr>
        <w:t>, Multiculturalism, beyond ethnocultural diversity and contestations, 37, no. 6 (November 1, 2013): 714–26. https://doi.org/10.1016/j.ijintrel.2013.09.009.</w:t>
      </w:r>
    </w:p>
    <w:p w14:paraId="27EFDDCD"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Nor, Othman Mohd, and R. N. R. Shahminan. “The Influence of Perpatih Custom on the Design of Traditional Malay Houses in Negeri Sembilan, Malaysia.” </w:t>
      </w:r>
      <w:r w:rsidRPr="00B95F41">
        <w:rPr>
          <w:rFonts w:ascii="Times New Roman" w:hAnsi="Times New Roman" w:cs="Times New Roman"/>
          <w:i/>
          <w:iCs/>
          <w:sz w:val="24"/>
          <w:szCs w:val="24"/>
        </w:rPr>
        <w:t>Research on Humanities and Social Sciences</w:t>
      </w:r>
      <w:r w:rsidRPr="00B95F41">
        <w:rPr>
          <w:rFonts w:ascii="Times New Roman" w:hAnsi="Times New Roman" w:cs="Times New Roman"/>
          <w:sz w:val="24"/>
          <w:szCs w:val="24"/>
        </w:rPr>
        <w:t>, 2016. https://www.semanticscholar.org/paper/The-Influence-of-Perpatih-Custom-on-the-Design-of-Nor-Shahminan/dccb83ad40614111c343a67f51c1977893109361.</w:t>
      </w:r>
    </w:p>
    <w:p w14:paraId="381CD624"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Nurnazli, Nurnazli, Erina Pane, M. Yasin al Arif, and Muhammad Akmansyah. “Productive Dowry and Women’s Economic Empowerment and Their Influence on Marital Assets in Bandar Lampung.” </w:t>
      </w:r>
      <w:r w:rsidRPr="00B95F41">
        <w:rPr>
          <w:rFonts w:ascii="Times New Roman" w:hAnsi="Times New Roman" w:cs="Times New Roman"/>
          <w:i/>
          <w:iCs/>
          <w:sz w:val="24"/>
          <w:szCs w:val="24"/>
        </w:rPr>
        <w:t>Samarah: Jurnal Hukum Keluarga Dan Hukum Islam</w:t>
      </w:r>
      <w:r w:rsidRPr="00B95F41">
        <w:rPr>
          <w:rFonts w:ascii="Times New Roman" w:hAnsi="Times New Roman" w:cs="Times New Roman"/>
          <w:sz w:val="24"/>
          <w:szCs w:val="24"/>
        </w:rPr>
        <w:t xml:space="preserve"> 8, no. 2 (June 11, 2024): 954–79. https://doi.org/10.22373/sjhk.v8i2.19887.</w:t>
      </w:r>
    </w:p>
    <w:p w14:paraId="455006A8"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Nutz, Theresa, Anika Nelles, and Philipp M. Lersch. “Who Opts Out? The Customisation of Marriage in the German Matrimonial Property Regime.” </w:t>
      </w:r>
      <w:r w:rsidRPr="00B95F41">
        <w:rPr>
          <w:rFonts w:ascii="Times New Roman" w:hAnsi="Times New Roman" w:cs="Times New Roman"/>
          <w:i/>
          <w:iCs/>
          <w:sz w:val="24"/>
          <w:szCs w:val="24"/>
        </w:rPr>
        <w:t>European Journal of Population</w:t>
      </w:r>
      <w:r w:rsidRPr="00B95F41">
        <w:rPr>
          <w:rFonts w:ascii="Times New Roman" w:hAnsi="Times New Roman" w:cs="Times New Roman"/>
          <w:sz w:val="24"/>
          <w:szCs w:val="24"/>
        </w:rPr>
        <w:t xml:space="preserve"> 38, no. 3 (2022). https://doi.org/10.1007/s10680-022-09613-8.</w:t>
      </w:r>
    </w:p>
    <w:p w14:paraId="2A1C443B"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“(PDF) Marital Property within the Marriage Law: A Debate on Legal Position and Actual Applications.” </w:t>
      </w:r>
      <w:r w:rsidRPr="00B95F41">
        <w:rPr>
          <w:rFonts w:ascii="Times New Roman" w:hAnsi="Times New Roman" w:cs="Times New Roman"/>
          <w:i/>
          <w:iCs/>
          <w:sz w:val="24"/>
          <w:szCs w:val="24"/>
        </w:rPr>
        <w:t>ResearchGate</w:t>
      </w:r>
      <w:r w:rsidRPr="00B95F41">
        <w:rPr>
          <w:rFonts w:ascii="Times New Roman" w:hAnsi="Times New Roman" w:cs="Times New Roman"/>
          <w:sz w:val="24"/>
          <w:szCs w:val="24"/>
        </w:rPr>
        <w:t>, December 9, 2024. https://doi.org/10.14421/ajis.2021.592.287-316.</w:t>
      </w:r>
    </w:p>
    <w:p w14:paraId="1972662D"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Pitrotussaadah, Pitrotussaadah, Eva Fadhilah, and Faisal Zulfikar. “Islamic Law and Gender: A Misconception of Roles and Responsibilities in Parenting.” </w:t>
      </w:r>
      <w:r w:rsidRPr="00B95F41">
        <w:rPr>
          <w:rFonts w:ascii="Times New Roman" w:hAnsi="Times New Roman" w:cs="Times New Roman"/>
          <w:i/>
          <w:iCs/>
          <w:sz w:val="24"/>
          <w:szCs w:val="24"/>
        </w:rPr>
        <w:t>De Jure: Jurnal Hukum Dan Syar’iah</w:t>
      </w:r>
      <w:r w:rsidRPr="00B95F41">
        <w:rPr>
          <w:rFonts w:ascii="Times New Roman" w:hAnsi="Times New Roman" w:cs="Times New Roman"/>
          <w:sz w:val="24"/>
          <w:szCs w:val="24"/>
        </w:rPr>
        <w:t xml:space="preserve"> 15, no. 2 (December 31, 2023): 331–42. https://doi.org/10.18860/j-fsh.v15i2.23868.</w:t>
      </w:r>
    </w:p>
    <w:p w14:paraId="54C67E8C"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Rahayu, Derita Prapti, Sri Rahayu, Faisal, and Andri Yanto. “Countering Illegal Tin Mining with a Legal Formulation of Law Based on Local Wisdom in Bangka Belitung, Indonesia.” </w:t>
      </w:r>
      <w:r w:rsidRPr="00B95F41">
        <w:rPr>
          <w:rFonts w:ascii="Times New Roman" w:hAnsi="Times New Roman" w:cs="Times New Roman"/>
          <w:i/>
          <w:iCs/>
          <w:sz w:val="24"/>
          <w:szCs w:val="24"/>
        </w:rPr>
        <w:t>Cogent Social Sciences</w:t>
      </w:r>
      <w:r w:rsidRPr="00B95F41">
        <w:rPr>
          <w:rFonts w:ascii="Times New Roman" w:hAnsi="Times New Roman" w:cs="Times New Roman"/>
          <w:sz w:val="24"/>
          <w:szCs w:val="24"/>
        </w:rPr>
        <w:t xml:space="preserve"> 10, no. 1 (December 31, 2024): 2311053. https://doi.org/10.1080/23311886.2024.2311053.</w:t>
      </w:r>
    </w:p>
    <w:p w14:paraId="5DF1B585"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Raja Mamat, Raja Rohana. </w:t>
      </w:r>
      <w:r w:rsidRPr="00B95F41">
        <w:rPr>
          <w:rFonts w:ascii="Times New Roman" w:hAnsi="Times New Roman" w:cs="Times New Roman"/>
          <w:i/>
          <w:iCs/>
          <w:sz w:val="24"/>
          <w:szCs w:val="24"/>
        </w:rPr>
        <w:t>Peranan Dan Status Wanita Melayu Di Malaysia : Daripada Perspektif Sosial Dan Undang-Undang</w:t>
      </w:r>
      <w:r w:rsidRPr="00B95F41">
        <w:rPr>
          <w:rFonts w:ascii="Times New Roman" w:hAnsi="Times New Roman" w:cs="Times New Roman"/>
          <w:sz w:val="24"/>
          <w:szCs w:val="24"/>
        </w:rPr>
        <w:t>. Kuala Lumpur: Dewan Bahasa dan Pustaka, 1991. https://elib.usm.my/cgi-bin/koha/opac-detail.pl?biblionumber=62850&amp;query_desc=kw%2Cwrdl%3A%20raja%20melayu.</w:t>
      </w:r>
    </w:p>
    <w:p w14:paraId="1CCDA867"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Ramli, Misran, Syamsul Rijal, Rani Surya, and Irhamni Malika. “State, Custom, and Islamic Law in Aceh: Minor Dispute Resolution in the Perspective of Legal Pluralism | Ramli | Samarah: Jurnal Hukum Keluarga Dan Hukum Islam” 8, no. 2 (2024): 872–90. https://doi.org/10.22373/sjhk.v8i2.15924.</w:t>
      </w:r>
    </w:p>
    <w:p w14:paraId="18C23F47"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Rismawati, Shinta Dewi, Rita Rahmawati, Happy Sista Devy, Muhammad Andi Septiadi, and Silvia Milady Azkiya Thoha. “Legal Practices of Employment Agreements, </w:t>
      </w:r>
      <w:r w:rsidRPr="00B95F41">
        <w:rPr>
          <w:rFonts w:ascii="Times New Roman" w:hAnsi="Times New Roman" w:cs="Times New Roman"/>
          <w:sz w:val="24"/>
          <w:szCs w:val="24"/>
        </w:rPr>
        <w:lastRenderedPageBreak/>
        <w:t xml:space="preserve">Power Relations, and Identity Politics of Indonesian Women Domestic Workers.” </w:t>
      </w:r>
      <w:r w:rsidRPr="00B95F41">
        <w:rPr>
          <w:rFonts w:ascii="Times New Roman" w:hAnsi="Times New Roman" w:cs="Times New Roman"/>
          <w:i/>
          <w:iCs/>
          <w:sz w:val="24"/>
          <w:szCs w:val="24"/>
        </w:rPr>
        <w:t>Samarah: Jurnal Hukum Keluarga Dan Hukum Islam</w:t>
      </w:r>
      <w:r w:rsidRPr="00B95F41">
        <w:rPr>
          <w:rFonts w:ascii="Times New Roman" w:hAnsi="Times New Roman" w:cs="Times New Roman"/>
          <w:sz w:val="24"/>
          <w:szCs w:val="24"/>
        </w:rPr>
        <w:t xml:space="preserve"> 7, no. 2 (May 9, 2023): 801. https://doi.org/10.22373/sjhk.v7i2.15349.</w:t>
      </w:r>
    </w:p>
    <w:p w14:paraId="6F0241AF"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Saari, Che Zarrina, and Joni Tamkin Borhan. “Peranan Wanita Dalam Pengukuhan Akidah Umat Islam | Jurnal Usuluddin” 23 (2006): 35–50.</w:t>
      </w:r>
    </w:p>
    <w:p w14:paraId="449ECDEF"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Sahid, Mualimin Mochammad, Setiyawan Gunardi, and Nur Muhammad Hadi Zahalan. “Konsep Uruf Dan Maslahah Sebagai Sumber Rujukan: Status Wanita Terhadap Harta Sepencarian Dalam Perundangan Islam Di Malaysia.” </w:t>
      </w:r>
      <w:r w:rsidRPr="00B95F41">
        <w:rPr>
          <w:rFonts w:ascii="Times New Roman" w:hAnsi="Times New Roman" w:cs="Times New Roman"/>
          <w:i/>
          <w:iCs/>
          <w:sz w:val="24"/>
          <w:szCs w:val="24"/>
        </w:rPr>
        <w:t>‘Abqari Journal</w:t>
      </w:r>
      <w:r w:rsidRPr="00B95F41">
        <w:rPr>
          <w:rFonts w:ascii="Times New Roman" w:hAnsi="Times New Roman" w:cs="Times New Roman"/>
          <w:sz w:val="24"/>
          <w:szCs w:val="24"/>
        </w:rPr>
        <w:t xml:space="preserve"> 23, no. 2 (2020). https://doi.org/10.33102/abqari.vol23no2.357.</w:t>
      </w:r>
    </w:p>
    <w:p w14:paraId="1B4F314E"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Shahul Hamid, Mohamed Nazreen, Nadiatul Shakinah Abdul Rahman, Rohaya Md. Ali, and Jacquelina Karimon. “Malay Women’s Challenges in Balancing Careers and Households: A Textual Analysis Study of Selected Short Stories by Zurinah Hassan.” </w:t>
      </w:r>
      <w:r w:rsidRPr="00B95F41">
        <w:rPr>
          <w:rFonts w:ascii="Times New Roman" w:hAnsi="Times New Roman" w:cs="Times New Roman"/>
          <w:i/>
          <w:iCs/>
          <w:sz w:val="24"/>
          <w:szCs w:val="24"/>
        </w:rPr>
        <w:t>Cogent Arts &amp; Humanities</w:t>
      </w:r>
      <w:r w:rsidRPr="00B95F41">
        <w:rPr>
          <w:rFonts w:ascii="Times New Roman" w:hAnsi="Times New Roman" w:cs="Times New Roman"/>
          <w:sz w:val="24"/>
          <w:szCs w:val="24"/>
        </w:rPr>
        <w:t xml:space="preserve"> 10, no. 1 (December 31, 2023): 2259663. https://doi.org/10.1080/23311983.2023.2259663.</w:t>
      </w:r>
    </w:p>
    <w:p w14:paraId="48232AE4"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Soekanto. </w:t>
      </w:r>
      <w:r w:rsidRPr="00B95F41">
        <w:rPr>
          <w:rFonts w:ascii="Times New Roman" w:hAnsi="Times New Roman" w:cs="Times New Roman"/>
          <w:i/>
          <w:iCs/>
          <w:sz w:val="24"/>
          <w:szCs w:val="24"/>
        </w:rPr>
        <w:t>Meninjau Hukum Adat Indonesia</w:t>
      </w:r>
      <w:r w:rsidRPr="00B95F41">
        <w:rPr>
          <w:rFonts w:ascii="Times New Roman" w:hAnsi="Times New Roman" w:cs="Times New Roman"/>
          <w:sz w:val="24"/>
          <w:szCs w:val="24"/>
        </w:rPr>
        <w:t>. Jakarta, Indonesia: CV. Rajawali, 1981.</w:t>
      </w:r>
    </w:p>
    <w:p w14:paraId="08315774"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Supaat, ID, Abdul Abidah, Yakoob Adzizah, Shah Hendun Abdur Rahman, Yusof Yusof, Arif Fahmi Md, Muda Muda, et al. “Customary Land and the Claim of Matrimonial Property: Ingenta Connect.” </w:t>
      </w:r>
      <w:r w:rsidRPr="00B95F41">
        <w:rPr>
          <w:rFonts w:ascii="Times New Roman" w:hAnsi="Times New Roman" w:cs="Times New Roman"/>
          <w:i/>
          <w:iCs/>
          <w:sz w:val="24"/>
          <w:szCs w:val="24"/>
        </w:rPr>
        <w:t>American Scientific Publisher</w:t>
      </w:r>
      <w:r w:rsidRPr="00B95F41">
        <w:rPr>
          <w:rFonts w:ascii="Times New Roman" w:hAnsi="Times New Roman" w:cs="Times New Roman"/>
          <w:sz w:val="24"/>
          <w:szCs w:val="24"/>
        </w:rPr>
        <w:t>, May 1, 2017. https://doi.org/10.1166/asl.2017.8920.</w:t>
      </w:r>
    </w:p>
    <w:p w14:paraId="67F4C2D2"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Szadvári, Ivan, Daniela Ostatníková, and Jaroslava Babková Durdiaková. “Sex Differences Matter: Males and Females Are Equal but Not the Same.” </w:t>
      </w:r>
      <w:r w:rsidRPr="00B95F41">
        <w:rPr>
          <w:rFonts w:ascii="Times New Roman" w:hAnsi="Times New Roman" w:cs="Times New Roman"/>
          <w:i/>
          <w:iCs/>
          <w:sz w:val="24"/>
          <w:szCs w:val="24"/>
        </w:rPr>
        <w:t>Physiology &amp; Behavior</w:t>
      </w:r>
      <w:r w:rsidRPr="00B95F41">
        <w:rPr>
          <w:rFonts w:ascii="Times New Roman" w:hAnsi="Times New Roman" w:cs="Times New Roman"/>
          <w:sz w:val="24"/>
          <w:szCs w:val="24"/>
        </w:rPr>
        <w:t xml:space="preserve"> 259 (February 1, 2023): 114038. https://doi.org/10.1016/j.physbeh.2022.114038.</w:t>
      </w:r>
    </w:p>
    <w:p w14:paraId="33E2EFA5"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Tapah, Suwaid. “Konsep  Dan Amalan Harta Sepencarian Orang-Orang Islam Di Malaysia.” University Malaya, 1996.</w:t>
      </w:r>
    </w:p>
    <w:p w14:paraId="2410625D"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Taylor, E. N. </w:t>
      </w:r>
      <w:r w:rsidRPr="00B95F41">
        <w:rPr>
          <w:rFonts w:ascii="Times New Roman" w:hAnsi="Times New Roman" w:cs="Times New Roman"/>
          <w:i/>
          <w:iCs/>
          <w:sz w:val="24"/>
          <w:szCs w:val="24"/>
        </w:rPr>
        <w:t>Malay Family Law</w:t>
      </w:r>
      <w:r w:rsidRPr="00B95F41">
        <w:rPr>
          <w:rFonts w:ascii="Times New Roman" w:hAnsi="Times New Roman" w:cs="Times New Roman"/>
          <w:sz w:val="24"/>
          <w:szCs w:val="24"/>
        </w:rPr>
        <w:t>. Vol. 15. 1. Singapore: The Malaysian Branch of the Royal Asiatic Society, 1937. https://www.jstor.org/stable/41559883.</w:t>
      </w:r>
    </w:p>
    <w:p w14:paraId="239A3FF6"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Towpek, Hadenan, Ahmad Shah Affandie, and Zainudin Hudi Prasojo. “Amalan Pengurusan Sulh Di Jabatan Kehakiman Syariah.” </w:t>
      </w:r>
      <w:r w:rsidRPr="00B95F41">
        <w:rPr>
          <w:rFonts w:ascii="Times New Roman" w:hAnsi="Times New Roman" w:cs="Times New Roman"/>
          <w:i/>
          <w:iCs/>
          <w:sz w:val="24"/>
          <w:szCs w:val="24"/>
        </w:rPr>
        <w:t>Journal of Shariah Law Research</w:t>
      </w:r>
      <w:r w:rsidRPr="00B95F41">
        <w:rPr>
          <w:rFonts w:ascii="Times New Roman" w:hAnsi="Times New Roman" w:cs="Times New Roman"/>
          <w:sz w:val="24"/>
          <w:szCs w:val="24"/>
        </w:rPr>
        <w:t xml:space="preserve"> 8, no. 1 (2023). https://ejournal.um.edu.my/index.php/JSLR/article/view/44944.</w:t>
      </w:r>
    </w:p>
    <w:p w14:paraId="6F94805A"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Wain, Alexander, and Norliza Saleh. “Adat Perpatih in Malaysia: Nature, History, Practice, and Contemporary Issues.” In </w:t>
      </w:r>
      <w:r w:rsidRPr="00B95F41">
        <w:rPr>
          <w:rFonts w:ascii="Times New Roman" w:hAnsi="Times New Roman" w:cs="Times New Roman"/>
          <w:i/>
          <w:iCs/>
          <w:sz w:val="24"/>
          <w:szCs w:val="24"/>
        </w:rPr>
        <w:t>Matrilineal, Matriarchal, and Matrifocal Islam: The World of Women-Centric Islam</w:t>
      </w:r>
      <w:r w:rsidRPr="00B95F41">
        <w:rPr>
          <w:rFonts w:ascii="Times New Roman" w:hAnsi="Times New Roman" w:cs="Times New Roman"/>
          <w:sz w:val="24"/>
          <w:szCs w:val="24"/>
        </w:rPr>
        <w:t>, edited by Abbas Panakkal and Nasr M. Arif, 43–75. Cham: Springer Nature Switzerland, 2024. https://doi.org/10.1007/978-3-031-51749-5_2.</w:t>
      </w:r>
    </w:p>
    <w:p w14:paraId="2F0D018B"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Wilson, Peter J. </w:t>
      </w:r>
      <w:r w:rsidRPr="00B95F41">
        <w:rPr>
          <w:rFonts w:ascii="Times New Roman" w:hAnsi="Times New Roman" w:cs="Times New Roman"/>
          <w:i/>
          <w:iCs/>
          <w:sz w:val="24"/>
          <w:szCs w:val="24"/>
        </w:rPr>
        <w:t>Malay Village and Malaysia: Social Values and Rural Development</w:t>
      </w:r>
      <w:r w:rsidRPr="00B95F41">
        <w:rPr>
          <w:rFonts w:ascii="Times New Roman" w:hAnsi="Times New Roman" w:cs="Times New Roman"/>
          <w:sz w:val="24"/>
          <w:szCs w:val="24"/>
        </w:rPr>
        <w:t>. Human Relations Area Files, 1968.</w:t>
      </w:r>
    </w:p>
    <w:p w14:paraId="21010D49"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Yasin, Noer, Musataklima Musataklima, and Ahmad Wahidi. “Interlegality of Interfaith Marriages Vis a Vis Supreme Court Circular Letter Number 2 of 2023 on The Rejection of Applications for Registration of Interfaith Marriages in Indonesia.” </w:t>
      </w:r>
      <w:r w:rsidRPr="00B95F41">
        <w:rPr>
          <w:rFonts w:ascii="Times New Roman" w:hAnsi="Times New Roman" w:cs="Times New Roman"/>
          <w:i/>
          <w:iCs/>
          <w:sz w:val="24"/>
          <w:szCs w:val="24"/>
        </w:rPr>
        <w:t>Jurnal Penelitian Hukum De Jure</w:t>
      </w:r>
      <w:r w:rsidRPr="00B95F41">
        <w:rPr>
          <w:rFonts w:ascii="Times New Roman" w:hAnsi="Times New Roman" w:cs="Times New Roman"/>
          <w:sz w:val="24"/>
          <w:szCs w:val="24"/>
        </w:rPr>
        <w:t xml:space="preserve"> 23, no. 4 (November 22, 2023): 389–402. https://doi.org/10.30641/dejure.2023.V23.389-402.</w:t>
      </w:r>
    </w:p>
    <w:p w14:paraId="4067708D"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t xml:space="preserve">Zaghloul, Saad Gomaa Gomaa, Ahmed Ramadan Mohamed Ahmed, Marina Abu Bakar, and Masyitah Mohd Zainon. “Matrimonial Property Between Jurisprudence and Reality.” </w:t>
      </w:r>
      <w:r w:rsidRPr="00B95F41">
        <w:rPr>
          <w:rFonts w:ascii="Times New Roman" w:hAnsi="Times New Roman" w:cs="Times New Roman"/>
          <w:i/>
          <w:iCs/>
          <w:sz w:val="24"/>
          <w:szCs w:val="24"/>
        </w:rPr>
        <w:t>Linguistics and Culture Review</w:t>
      </w:r>
      <w:r w:rsidRPr="00B95F41">
        <w:rPr>
          <w:rFonts w:ascii="Times New Roman" w:hAnsi="Times New Roman" w:cs="Times New Roman"/>
          <w:sz w:val="24"/>
          <w:szCs w:val="24"/>
        </w:rPr>
        <w:t xml:space="preserve"> 5, no. S4 (2021). https://doi.org/10.21744/lingcure.v5ns4.1919.</w:t>
      </w:r>
    </w:p>
    <w:p w14:paraId="5B55B28E" w14:textId="77777777" w:rsidR="00402D16" w:rsidRPr="00B95F41" w:rsidRDefault="00402D16" w:rsidP="00402D16">
      <w:pPr>
        <w:pStyle w:val="Bibliography"/>
        <w:rPr>
          <w:rFonts w:ascii="Times New Roman" w:hAnsi="Times New Roman" w:cs="Times New Roman"/>
          <w:sz w:val="24"/>
          <w:szCs w:val="24"/>
        </w:rPr>
      </w:pPr>
      <w:r w:rsidRPr="00B95F41">
        <w:rPr>
          <w:rFonts w:ascii="Times New Roman" w:hAnsi="Times New Roman" w:cs="Times New Roman"/>
          <w:sz w:val="24"/>
          <w:szCs w:val="24"/>
        </w:rPr>
        <w:lastRenderedPageBreak/>
        <w:t xml:space="preserve">Zulaikha, Siti, Muhamad Nasrudin, and Enny Puji Lestari. “Dialectic of Public Sphere vs. Private Sphere in Millennial Families in Lampung Customary Law Community.” </w:t>
      </w:r>
      <w:r w:rsidRPr="00B95F41">
        <w:rPr>
          <w:rFonts w:ascii="Times New Roman" w:hAnsi="Times New Roman" w:cs="Times New Roman"/>
          <w:i/>
          <w:iCs/>
          <w:sz w:val="24"/>
          <w:szCs w:val="24"/>
        </w:rPr>
        <w:t>Samarah: Jurnal Hukum Keluarga Dan Hukum Islam</w:t>
      </w:r>
      <w:r w:rsidRPr="00B95F41">
        <w:rPr>
          <w:rFonts w:ascii="Times New Roman" w:hAnsi="Times New Roman" w:cs="Times New Roman"/>
          <w:sz w:val="24"/>
          <w:szCs w:val="24"/>
        </w:rPr>
        <w:t xml:space="preserve"> 5, no. 2 (December 26, 2021): 928. https://doi.org/10.22373/sjhk.v5i2.9150.</w:t>
      </w:r>
    </w:p>
    <w:p w14:paraId="294FDC7F" w14:textId="4FD40981" w:rsidR="008858F7" w:rsidRPr="00B95F41" w:rsidRDefault="00EF63BC">
      <w:pPr>
        <w:spacing w:after="120" w:line="240" w:lineRule="auto"/>
        <w:ind w:firstLine="567"/>
        <w:jc w:val="both"/>
        <w:rPr>
          <w:rFonts w:ascii="Times New Roman" w:eastAsia="Times New Roman" w:hAnsi="Times New Roman" w:cs="Times New Roman"/>
          <w:color w:val="000000" w:themeColor="text1"/>
          <w:sz w:val="24"/>
          <w:szCs w:val="24"/>
        </w:rPr>
      </w:pPr>
      <w:r w:rsidRPr="00B95F41">
        <w:rPr>
          <w:rFonts w:ascii="Times New Roman" w:eastAsia="Times New Roman" w:hAnsi="Times New Roman" w:cs="Times New Roman"/>
          <w:color w:val="000000" w:themeColor="text1"/>
          <w:sz w:val="24"/>
          <w:szCs w:val="24"/>
        </w:rPr>
        <w:fldChar w:fldCharType="end"/>
      </w:r>
    </w:p>
    <w:p w14:paraId="36F42808" w14:textId="77777777" w:rsidR="008858F7" w:rsidRPr="00B95F41" w:rsidRDefault="008858F7">
      <w:pPr>
        <w:spacing w:after="120" w:line="240" w:lineRule="auto"/>
        <w:ind w:firstLine="567"/>
        <w:jc w:val="both"/>
        <w:rPr>
          <w:rFonts w:ascii="Times New Roman" w:eastAsia="Times New Roman" w:hAnsi="Times New Roman" w:cs="Times New Roman"/>
          <w:color w:val="000000" w:themeColor="text1"/>
          <w:sz w:val="24"/>
          <w:szCs w:val="24"/>
        </w:rPr>
      </w:pPr>
    </w:p>
    <w:p w14:paraId="6AD3D267" w14:textId="1530900C" w:rsidR="00C82956" w:rsidRPr="00B95F41" w:rsidRDefault="00C82956">
      <w:pPr>
        <w:spacing w:after="120" w:line="240" w:lineRule="auto"/>
        <w:ind w:firstLine="567"/>
        <w:jc w:val="both"/>
        <w:rPr>
          <w:rFonts w:ascii="Times New Roman" w:eastAsia="Times New Roman" w:hAnsi="Times New Roman" w:cs="Times New Roman"/>
          <w:color w:val="000000" w:themeColor="text1"/>
          <w:sz w:val="24"/>
          <w:szCs w:val="24"/>
        </w:rPr>
      </w:pPr>
    </w:p>
    <w:sectPr w:rsidR="00C82956" w:rsidRPr="00B95F41">
      <w:headerReference w:type="default" r:id="rId20"/>
      <w:pgSz w:w="11907" w:h="16839"/>
      <w:pgMar w:top="1701" w:right="1701" w:bottom="1701" w:left="1701" w:header="720" w:footer="720" w:gutter="0"/>
      <w:pgNumType w:start="163"/>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icrosoft Office User" w:date="2024-12-10T14:17:00Z" w:initials="MOU">
    <w:p w14:paraId="6BEF6183" w14:textId="6154E279" w:rsidR="002A5800" w:rsidRDefault="002A5800">
      <w:pPr>
        <w:pStyle w:val="CommentText"/>
      </w:pPr>
      <w:r>
        <w:rPr>
          <w:rStyle w:val="CommentReference"/>
        </w:rPr>
        <w:annotationRef/>
      </w:r>
      <w:r>
        <w:t xml:space="preserve">Perubahan perhitungan pembagian harta bersama setelah perubahan peran perempuan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BEF618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02CBF8" w16cex:dateUtc="2024-12-10T0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EF6183" w16cid:durableId="2B02CB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00965" w14:textId="77777777" w:rsidR="00661414" w:rsidRDefault="00661414">
      <w:pPr>
        <w:spacing w:after="0" w:line="240" w:lineRule="auto"/>
      </w:pPr>
      <w:r>
        <w:separator/>
      </w:r>
    </w:p>
  </w:endnote>
  <w:endnote w:type="continuationSeparator" w:id="0">
    <w:p w14:paraId="1851D84D" w14:textId="77777777" w:rsidR="00661414" w:rsidRDefault="00661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sto MT">
    <w:panose1 w:val="02040603050505030304"/>
    <w:charset w:val="4D"/>
    <w:family w:val="roman"/>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73D18" w14:textId="77777777" w:rsidR="00661414" w:rsidRDefault="00661414">
      <w:pPr>
        <w:spacing w:after="0" w:line="240" w:lineRule="auto"/>
      </w:pPr>
      <w:r>
        <w:separator/>
      </w:r>
    </w:p>
  </w:footnote>
  <w:footnote w:type="continuationSeparator" w:id="0">
    <w:p w14:paraId="58A042D0" w14:textId="77777777" w:rsidR="00661414" w:rsidRDefault="00661414">
      <w:pPr>
        <w:spacing w:after="0" w:line="240" w:lineRule="auto"/>
      </w:pPr>
      <w:r>
        <w:continuationSeparator/>
      </w:r>
    </w:p>
  </w:footnote>
  <w:footnote w:id="1">
    <w:p w14:paraId="3D8119A0" w14:textId="04CC2CAC" w:rsidR="003F56F0" w:rsidRPr="00551164" w:rsidRDefault="003F56F0" w:rsidP="00402D16">
      <w:pPr>
        <w:pStyle w:val="FootnoteText"/>
        <w:jc w:val="both"/>
        <w:rPr>
          <w:color w:val="000000" w:themeColor="text1"/>
        </w:rPr>
      </w:pPr>
      <w:r w:rsidRPr="00551164">
        <w:rPr>
          <w:rStyle w:val="FootnoteReference"/>
          <w:color w:val="000000" w:themeColor="text1"/>
        </w:rPr>
        <w:footnoteRef/>
      </w:r>
      <w:r w:rsidRPr="00551164">
        <w:rPr>
          <w:color w:val="000000" w:themeColor="text1"/>
        </w:rPr>
        <w:t xml:space="preserve"> </w:t>
      </w:r>
      <w:r w:rsidRPr="00551164">
        <w:rPr>
          <w:color w:val="000000" w:themeColor="text1"/>
        </w:rPr>
        <w:fldChar w:fldCharType="begin"/>
      </w:r>
      <w:r w:rsidRPr="00551164">
        <w:rPr>
          <w:color w:val="000000" w:themeColor="text1"/>
        </w:rPr>
        <w:instrText xml:space="preserve"> ADDIN ZOTERO_ITEM CSL_CITATION {"citationID":"IdJxlqtB","properties":{"formattedCitation":"Suwaid Tapah, \\uc0\\u8220{}Konsep  Dan Amalan Harta Sepencarian Orang-Orang Islam Di Malaysia\\uc0\\u8221{} (Malaysia, University Malaya, 1996).","plainCitation":"Suwaid Tapah, “Konsep  Dan Amalan Harta Sepencarian Orang-Orang Islam Di Malaysia” (Malaysia, University Malaya, 1996).","noteIndex":1},"citationItems":[{"id":1179,"uris":["http://zotero.org/users/local/YyjvkUwP/items/RAR8CP6F"],"itemData":{"id":1179,"type":"thesis","event-place":"Malaysia","language":"English","number-of-pages":"29","publisher":"University Malaya","publisher-place":"Malaysia","title":"Konsep  dan Amalan Harta Sepencarian Orang-Orang Islam di Malaysia","author":[{"family":"Tapah","given":"Suwaid"}],"issued":{"date-parts":[["1996"]]}}}],"schema":"https://github.com/citation-style-language/schema/raw/master/csl-citation.json"} </w:instrText>
      </w:r>
      <w:r w:rsidRPr="00551164">
        <w:rPr>
          <w:color w:val="000000" w:themeColor="text1"/>
        </w:rPr>
        <w:fldChar w:fldCharType="separate"/>
      </w:r>
      <w:r w:rsidR="00B06650" w:rsidRPr="00B06650">
        <w:rPr>
          <w:color w:val="000000"/>
        </w:rPr>
        <w:t>Suwaid Tapah, “Konsep  Dan Amalan Harta Sepencarian Orang-Orang Islam Di Malaysia” (Malaysia, University Malaya, 1996).</w:t>
      </w:r>
      <w:r w:rsidRPr="00551164">
        <w:rPr>
          <w:color w:val="000000" w:themeColor="text1"/>
        </w:rPr>
        <w:fldChar w:fldCharType="end"/>
      </w:r>
    </w:p>
  </w:footnote>
  <w:footnote w:id="2">
    <w:p w14:paraId="12A89326" w14:textId="12417340" w:rsidR="007F4638" w:rsidRPr="00551164" w:rsidRDefault="007F4638" w:rsidP="00402D16">
      <w:pPr>
        <w:pStyle w:val="FootnoteText"/>
        <w:jc w:val="both"/>
        <w:rPr>
          <w:color w:val="000000" w:themeColor="text1"/>
        </w:rPr>
      </w:pPr>
      <w:r w:rsidRPr="00551164">
        <w:rPr>
          <w:rStyle w:val="FootnoteReference"/>
          <w:color w:val="000000" w:themeColor="text1"/>
        </w:rPr>
        <w:footnoteRef/>
      </w:r>
      <w:r w:rsidRPr="00551164">
        <w:rPr>
          <w:color w:val="000000" w:themeColor="text1"/>
        </w:rPr>
        <w:t xml:space="preserve"> </w:t>
      </w:r>
      <w:r w:rsidRPr="00551164">
        <w:rPr>
          <w:color w:val="000000" w:themeColor="text1"/>
        </w:rPr>
        <w:fldChar w:fldCharType="begin"/>
      </w:r>
      <w:r w:rsidRPr="00551164">
        <w:rPr>
          <w:color w:val="000000" w:themeColor="text1"/>
        </w:rPr>
        <w:instrText xml:space="preserve"> ADDIN ZOTERO_ITEM CSL_CITATION {"citationID":"SevTTbeS","properties":{"formattedCitation":"Saad Gomaa Gomaa Zaghloul et al., \\uc0\\u8220{}Matrimonial Property Between Jurisprudence and Reality,\\uc0\\u8221{} {\\i{}Linguistics and Culture Review} 5, no. S4 (2021), https://doi.org/10.21744/lingcure.v5ns4.1919.","plainCitation":"Saad Gomaa Gomaa Zaghloul et al., “Matrimonial Property Between Jurisprudence and Reality,” Linguistics and Culture Review 5, no. S4 (2021), https://doi.org/10.21744/lingcure.v5ns4.1919.","noteIndex":2},"citationItems":[{"id":1182,"uris":["http://zotero.org/users/local/YyjvkUwP/items/ZMI7A4RU"],"itemData":{"id":1182,"type":"article-journal","abstract":"Matrimonial property plays an important role in achieving family stability and in building the society. Therefore, due attention must be given to the nature of matrimonial property, how it is managed and the guidelines governing it when disputes about it arise to protect the financial rights of both spouses from any damage that can threaten the stability and development of the society. Laws have been enacted in some Muslim countries like Tunisia and Malaysia to give a wife the right to have a share in the property acquired by her husband during the marriage. Thus, all the above prompted us to participate in highlighting this issue that was not discussed by classical jurists and to examine the types of wealth acquired during marriage and the ruling of each type in this research paper.","container-title":"Linguistics and Culture Review","DOI":"10.21744/lingcure.v5ns4.1919","issue":"S4","language":"en","source":"scite.ai","title":"Matrimonial Property Between Jurisprudence and Reality","URL":"https://doi.org/10.21744/lingcure.v5ns4.1919","volume":"5","author":[{"family":"Zaghloul","given":"Saad Gomaa Gomaa"},{"family":"Ahmed","given":"Ahmed Ramadan Mohamed"},{"family":"Bakar","given":"Marina Abu"},{"family":"Zainon","given":"Masyitah Mohd"}],"accessed":{"date-parts":[["2024",6,8]]},"issued":{"date-parts":[["2021"]]}}}],"schema":"https://github.com/citation-style-language/schema/raw/master/csl-citation.json"} </w:instrText>
      </w:r>
      <w:r w:rsidRPr="00551164">
        <w:rPr>
          <w:color w:val="000000" w:themeColor="text1"/>
        </w:rPr>
        <w:fldChar w:fldCharType="separate"/>
      </w:r>
      <w:r w:rsidRPr="00551164">
        <w:rPr>
          <w:color w:val="000000" w:themeColor="text1"/>
        </w:rPr>
        <w:t xml:space="preserve">Saad Gomaa Gomaa Zaghloul et al., “Matrimonial Property Between Jurisprudence and Reality,” </w:t>
      </w:r>
      <w:r w:rsidRPr="00551164">
        <w:rPr>
          <w:i/>
          <w:iCs/>
          <w:color w:val="000000" w:themeColor="text1"/>
        </w:rPr>
        <w:t>Linguistics and Culture Review</w:t>
      </w:r>
      <w:r w:rsidRPr="00551164">
        <w:rPr>
          <w:color w:val="000000" w:themeColor="text1"/>
        </w:rPr>
        <w:t xml:space="preserve"> 5, no. S4 (2021), https://doi.org/10.21744/lingcure.v5ns4.1919.</w:t>
      </w:r>
      <w:r w:rsidRPr="00551164">
        <w:rPr>
          <w:color w:val="000000" w:themeColor="text1"/>
        </w:rPr>
        <w:fldChar w:fldCharType="end"/>
      </w:r>
    </w:p>
  </w:footnote>
  <w:footnote w:id="3">
    <w:p w14:paraId="65C0C371" w14:textId="1F2F824F" w:rsidR="00796980" w:rsidRPr="00551164" w:rsidRDefault="00796980" w:rsidP="00402D16">
      <w:pPr>
        <w:pStyle w:val="FootnoteText"/>
        <w:jc w:val="both"/>
        <w:rPr>
          <w:color w:val="000000" w:themeColor="text1"/>
        </w:rPr>
      </w:pPr>
      <w:r w:rsidRPr="00551164">
        <w:rPr>
          <w:rStyle w:val="FootnoteReference"/>
          <w:color w:val="000000" w:themeColor="text1"/>
        </w:rPr>
        <w:footnoteRef/>
      </w:r>
      <w:r w:rsidRPr="00551164">
        <w:rPr>
          <w:color w:val="000000" w:themeColor="text1"/>
        </w:rPr>
        <w:t xml:space="preserve"> </w:t>
      </w:r>
      <w:r w:rsidRPr="00551164">
        <w:rPr>
          <w:color w:val="000000" w:themeColor="text1"/>
        </w:rPr>
        <w:fldChar w:fldCharType="begin"/>
      </w:r>
      <w:r w:rsidR="00503F61" w:rsidRPr="00551164">
        <w:rPr>
          <w:color w:val="000000" w:themeColor="text1"/>
        </w:rPr>
        <w:instrText xml:space="preserve"> ADDIN ZOTERO_ITEM CSL_CITATION {"citationID":"L8GPhLV3","properties":{"formattedCitation":"Soekanto, {\\i{}Meninjau Hukum Adat Indonesia} (Jakarta, Indonesia: CV. Rajawali, 1981).","plainCitation":"Soekanto, Meninjau Hukum Adat Indonesia (Jakarta, Indonesia: CV. Rajawali, 1981).","noteIndex":3},"citationItems":[{"id":1184,"uris":["http://zotero.org/users/local/YyjvkUwP/items/SP3FEG7V"],"itemData":{"id":1184,"type":"book","event-place":"Jakarta, Indonesia","language":"in","publisher":"CV. Rajawali","publisher-place":"Jakarta, Indonesia","title":"Meninjau Hukum Adat Indonesia","author":[{"family":"Soekanto","given":""}],"issued":{"date-parts":[["1981"]]}}}],"schema":"https://github.com/citation-style-language/schema/raw/master/csl-citation.json"} </w:instrText>
      </w:r>
      <w:r w:rsidRPr="00551164">
        <w:rPr>
          <w:color w:val="000000" w:themeColor="text1"/>
        </w:rPr>
        <w:fldChar w:fldCharType="separate"/>
      </w:r>
      <w:r w:rsidR="00503F61" w:rsidRPr="00551164">
        <w:rPr>
          <w:color w:val="000000" w:themeColor="text1"/>
        </w:rPr>
        <w:t xml:space="preserve">Soekanto, </w:t>
      </w:r>
      <w:r w:rsidR="00503F61" w:rsidRPr="00551164">
        <w:rPr>
          <w:i/>
          <w:iCs/>
          <w:color w:val="000000" w:themeColor="text1"/>
        </w:rPr>
        <w:t>Meninjau Hukum Adat Indonesia</w:t>
      </w:r>
      <w:r w:rsidR="00503F61" w:rsidRPr="00551164">
        <w:rPr>
          <w:color w:val="000000" w:themeColor="text1"/>
        </w:rPr>
        <w:t xml:space="preserve"> (Jakarta, Indonesia: CV. Rajawali, 1981).</w:t>
      </w:r>
      <w:r w:rsidRPr="00551164">
        <w:rPr>
          <w:color w:val="000000" w:themeColor="text1"/>
        </w:rPr>
        <w:fldChar w:fldCharType="end"/>
      </w:r>
    </w:p>
  </w:footnote>
  <w:footnote w:id="4">
    <w:p w14:paraId="366B5102" w14:textId="3A43CE10" w:rsidR="00145B78" w:rsidRPr="00551164" w:rsidRDefault="00145B78" w:rsidP="00402D16">
      <w:pPr>
        <w:pStyle w:val="FootnoteText"/>
        <w:jc w:val="both"/>
        <w:rPr>
          <w:color w:val="000000" w:themeColor="text1"/>
        </w:rPr>
      </w:pPr>
      <w:r w:rsidRPr="00551164">
        <w:rPr>
          <w:rStyle w:val="FootnoteReference"/>
          <w:color w:val="000000" w:themeColor="text1"/>
        </w:rPr>
        <w:footnoteRef/>
      </w:r>
      <w:r w:rsidRPr="00551164">
        <w:rPr>
          <w:color w:val="000000" w:themeColor="text1"/>
        </w:rPr>
        <w:t xml:space="preserve"> </w:t>
      </w:r>
      <w:r w:rsidRPr="00551164">
        <w:rPr>
          <w:color w:val="000000" w:themeColor="text1"/>
        </w:rPr>
        <w:fldChar w:fldCharType="begin"/>
      </w:r>
      <w:r w:rsidRPr="00551164">
        <w:rPr>
          <w:color w:val="000000" w:themeColor="text1"/>
        </w:rPr>
        <w:instrText xml:space="preserve"> ADDIN ZOTERO_ITEM CSL_CITATION {"citationID":"BwlMJcrb","properties":{"formattedCitation":"Theresa Nutz, Anika Nelles, and Philipp M. Lersch, \\uc0\\u8220{}Who Opts Out? The Customisation of Marriage in the German Matrimonial Property Regime,\\uc0\\u8221{} {\\i{}European Journal of Population} 38, no. 3 (2022), https://doi.org/10.1007/s10680-022-09613-8.","plainCitation":"Theresa Nutz, Anika Nelles, and Philipp M. Lersch, “Who Opts Out? The Customisation of Marriage in the German Matrimonial Property Regime,” European Journal of Population 38, no. 3 (2022), https://doi.org/10.1007/s10680-022-09613-8.","noteIndex":4},"citationItems":[{"id":1185,"uris":["http://zotero.org/users/local/YyjvkUwP/items/8934IQZY"],"itemData":{"id":1185,"type":"article-journal","abstract":"This study examines the prevalence of marital contracts across marriage cohorts (1990–2019) in Germany. We further investigate the characteristics of spouses who signed a marital contract. Using cross-sectional data from the German Family Panel (pairfam, 2018/19), we employ complementary log–log and multinomial logistic regression models to predict the prevalence and the type of marital contracts. The results show that 5% of all married couples opt out of the default matrimonial property regime by signing a contract in Germany. Differentiating between contract types, most couples either specify a separation of property (40%) or modify the default community of accrued gains (31%). We find an increase in the prevalence of marital contracts across marriage cohorts. The decision to opt out of the default is strongly positively associated with self-employment that often requires the customisation of asset ownership structures within marriage. Married individuals with prior divorce experiences are more likely to opt for the separation of property, indicating that the awareness of the economic consequences of divorce promotes the individualisation of marriage. Our results are in line with the cross-national trend towards customised marriages, although the trend in Germany is less pronounced than in other countries.","container-title":"European Journal of Population","DOI":"10.1007/s10680-022-09613-8","issue":"3","language":"en","source":"scite.ai","title":"Who Opts Out? The Customisation of Marriage in the German Matrimonial Property Regime","title-short":"Who Opts Out?","URL":"https://doi.org/10.1007/s10680-022-09613-8","volume":"38","author":[{"family":"Nutz","given":"Theresa"},{"family":"Nelles","given":"Anika"},{"family":"Lersch","given":"Philipp M."}],"accessed":{"date-parts":[["2024",6,8]]},"issued":{"date-parts":[["2022"]]}}}],"schema":"https://github.com/citation-style-language/schema/raw/master/csl-citation.json"} </w:instrText>
      </w:r>
      <w:r w:rsidRPr="00551164">
        <w:rPr>
          <w:color w:val="000000" w:themeColor="text1"/>
        </w:rPr>
        <w:fldChar w:fldCharType="separate"/>
      </w:r>
      <w:r w:rsidRPr="00551164">
        <w:rPr>
          <w:color w:val="000000" w:themeColor="text1"/>
        </w:rPr>
        <w:t xml:space="preserve">Theresa Nutz, Anika Nelles, and Philipp M. Lersch, “Who Opts Out? The Customisation of Marriage in the German Matrimonial Property Regime,” </w:t>
      </w:r>
      <w:r w:rsidRPr="00551164">
        <w:rPr>
          <w:i/>
          <w:iCs/>
          <w:color w:val="000000" w:themeColor="text1"/>
        </w:rPr>
        <w:t>European Journal of Population</w:t>
      </w:r>
      <w:r w:rsidRPr="00551164">
        <w:rPr>
          <w:color w:val="000000" w:themeColor="text1"/>
        </w:rPr>
        <w:t xml:space="preserve"> 38, no. 3 (2022), https://doi.org/10.1007/s10680-022-09613-8.</w:t>
      </w:r>
      <w:r w:rsidRPr="00551164">
        <w:rPr>
          <w:color w:val="000000" w:themeColor="text1"/>
        </w:rPr>
        <w:fldChar w:fldCharType="end"/>
      </w:r>
    </w:p>
  </w:footnote>
  <w:footnote w:id="5">
    <w:p w14:paraId="4BCC2FD7" w14:textId="384CD2F2" w:rsidR="00503F61" w:rsidRPr="00551164" w:rsidRDefault="00503F61" w:rsidP="00402D16">
      <w:pPr>
        <w:pStyle w:val="FootnoteText"/>
        <w:jc w:val="both"/>
        <w:rPr>
          <w:color w:val="000000" w:themeColor="text1"/>
        </w:rPr>
      </w:pPr>
      <w:r w:rsidRPr="00551164">
        <w:rPr>
          <w:rStyle w:val="FootnoteReference"/>
          <w:color w:val="000000" w:themeColor="text1"/>
        </w:rPr>
        <w:footnoteRef/>
      </w:r>
      <w:r w:rsidRPr="00551164">
        <w:rPr>
          <w:color w:val="000000" w:themeColor="text1"/>
        </w:rPr>
        <w:t xml:space="preserve"> </w:t>
      </w:r>
      <w:r w:rsidRPr="00551164">
        <w:rPr>
          <w:color w:val="000000" w:themeColor="text1"/>
        </w:rPr>
        <w:fldChar w:fldCharType="begin"/>
      </w:r>
      <w:r w:rsidRPr="00551164">
        <w:rPr>
          <w:color w:val="000000" w:themeColor="text1"/>
        </w:rPr>
        <w:instrText xml:space="preserve"> ADDIN ZOTERO_ITEM CSL_CITATION {"citationID":"hPJPFThG","properties":{"formattedCitation":"Hadenan Towpek, Ahmad Shah Affandie, and Zainudin Hudi Prasojo, \\uc0\\u8220{}Amalan Pengurusan Sulh Di Jabatan Kehakiman Syariah,\\uc0\\u8221{} {\\i{}Journal of Shariah Law Research} 8, no. 1 (2023), https://ejournal.um.edu.my/index.php/JSLR/article/view/44944.","plainCitation":"Hadenan Towpek, Ahmad Shah Affandie, and Zainudin Hudi Prasojo, “Amalan Pengurusan Sulh Di Jabatan Kehakiman Syariah,” Journal of Shariah Law Research 8, no. 1 (2023), https://ejournal.um.edu.my/index.php/JSLR/article/view/44944.","noteIndex":5},"citationItems":[{"id":1188,"uris":["http://zotero.org/users/local/YyjvkUwP/items/YW7S6L6C"],"itemData":{"id":1188,"type":"article-journal","abstract":"Nowadays Sulh is one of the methods of Alternative Dispute Resolution (ADR) which is much appreciated in Malaysia, especially in the Shariah Court. Therefore, this article analyzes the Sulh administration’s practices at the Department of Sarawak Shariah Judiciary (DSSJ), Kuching Division, Sarawak. This study aims to three main objectives, which are analyzing the definition, theory, concept, and practices of Sulh in Islamic jurisprudence as well as at DSSJ Kuching Division; and analyzing the administration aspect of Sulh Unit at the same location. The study applies three categories of previous literature sources, namely 8 sources of open literature, 19 sources of special literature, and 12 official sources from agencies with jurisdiction in Shariah law in Malaysia. Furthermore, this article uses three main methods in the data collection process: library research, interview, and document analysis. While the data collected for this study is from 2014 to 2020, which is for 7 years only. While the data analysis method uses three main methods, namely the inductive method, deductive method, and comparative method. The results of this study provide a summary of the three key findings. Firstly, the method of sulh has been successfully developed based on sources from the Qur’an, al-Sunnah, and the treasures of Islamic jurisprudence. Secondly, the sulh method is enabled as one of the methods in the ADR. Finally, this article also confirms the importance of specialization in the field of work as a Sulh Officer, especially the strengthening of soft skills such as communication skills, psychology, and counseling.","container-title":"Journal of Shariah Law Research","issue":"1","title":"Amalan Pengurusan Sulh di Jabatan Kehakiman Syariah","URL":"https://ejournal.um.edu.my/index.php/JSLR/article/view/44944","volume":"8","author":[{"family":"Towpek","given":"Hadenan"},{"family":"Affandie","given":"Ahmad Shah"},{"family":"Prasojo","given":"Zainudin Hudi"}],"accessed":{"date-parts":[["2024",6,9]]},"issued":{"date-parts":[["2023"]]}}}],"schema":"https://github.com/citation-style-language/schema/raw/master/csl-citation.json"} </w:instrText>
      </w:r>
      <w:r w:rsidRPr="00551164">
        <w:rPr>
          <w:color w:val="000000" w:themeColor="text1"/>
        </w:rPr>
        <w:fldChar w:fldCharType="separate"/>
      </w:r>
      <w:r w:rsidRPr="00551164">
        <w:rPr>
          <w:color w:val="000000" w:themeColor="text1"/>
        </w:rPr>
        <w:t xml:space="preserve">Hadenan Towpek, Ahmad Shah Affandie, and Zainudin Hudi Prasojo, “Amalan Pengurusan Sulh Di Jabatan Kehakiman Syariah,” </w:t>
      </w:r>
      <w:r w:rsidRPr="00551164">
        <w:rPr>
          <w:i/>
          <w:iCs/>
          <w:color w:val="000000" w:themeColor="text1"/>
        </w:rPr>
        <w:t>Journal of Shariah Law Research</w:t>
      </w:r>
      <w:r w:rsidRPr="00551164">
        <w:rPr>
          <w:color w:val="000000" w:themeColor="text1"/>
        </w:rPr>
        <w:t xml:space="preserve"> 8, no. 1 (2023), https://ejournal.um.edu.my/index.php/JSLR/article/view/44944.</w:t>
      </w:r>
      <w:r w:rsidRPr="00551164">
        <w:rPr>
          <w:color w:val="000000" w:themeColor="text1"/>
        </w:rPr>
        <w:fldChar w:fldCharType="end"/>
      </w:r>
    </w:p>
  </w:footnote>
  <w:footnote w:id="6">
    <w:p w14:paraId="6490336B" w14:textId="595E323E" w:rsidR="00CD1AE4" w:rsidRPr="00551164" w:rsidRDefault="00CD1AE4" w:rsidP="00402D16">
      <w:pPr>
        <w:pStyle w:val="FootnoteText"/>
        <w:jc w:val="both"/>
        <w:rPr>
          <w:color w:val="000000" w:themeColor="text1"/>
        </w:rPr>
      </w:pPr>
      <w:r w:rsidRPr="00551164">
        <w:rPr>
          <w:rStyle w:val="FootnoteReference"/>
          <w:color w:val="000000" w:themeColor="text1"/>
        </w:rPr>
        <w:footnoteRef/>
      </w:r>
      <w:r w:rsidRPr="00551164">
        <w:rPr>
          <w:color w:val="000000" w:themeColor="text1"/>
        </w:rPr>
        <w:t xml:space="preserve"> </w:t>
      </w:r>
      <w:r w:rsidRPr="00551164">
        <w:rPr>
          <w:color w:val="000000" w:themeColor="text1"/>
        </w:rPr>
        <w:fldChar w:fldCharType="begin"/>
      </w:r>
      <w:r w:rsidR="00474E08" w:rsidRPr="00551164">
        <w:rPr>
          <w:color w:val="000000" w:themeColor="text1"/>
        </w:rPr>
        <w:instrText xml:space="preserve"> ADDIN ZOTERO_ITEM CSL_CITATION {"citationID":"nieZvfYu","properties":{"formattedCitation":"Noraini M. Noor and Chan-Hoong Leong, \\uc0\\u8220{}Multiculturalism in Malaysia and Singapore: Contesting Models,\\uc0\\u8221{} {\\i{}International Journal of Intercultural Relations}, Multiculturalism, beyond ethnocultural diversity and contestations, 37, no. 6 (November 1, 2013): 714\\uc0\\u8211{}26, https://doi.org/10.1016/j.ijintrel.2013.09.009.","plainCitation":"Noraini M. Noor and Chan-Hoong Leong, “Multiculturalism in Malaysia and Singapore: Contesting Models,” International Journal of Intercultural Relations, Multiculturalism, beyond ethnocultural diversity and contestations, 37, no. 6 (November 1, 2013): 714–26, https://doi.org/10.1016/j.ijintrel.2013.09.009.","noteIndex":6},"citationItems":[{"id":1200,"uris":["http://zotero.org/users/local/YyjvkUwP/items/W8K6BBPC"],"itemData":{"id":1200,"type":"article-journal","abstract":"Malaysia and Singapore are good examples of multicultural societies albeit with different acculturation ideologies. Both countries comprise three main ethnic groups but in diametrically opposite proportion. In Malaysia, 50.4% of the population is Malay, 23.7% Chinese, 11% indigenous peoples, 7.1% Indian, and 7.8% other races. In Singapore, the ratio is 74.1% Chinese, 13.4% Malay, 9.2% Indian and 3.3% other races. Due to its colonial past, “ethnicity” has been the central policy issue in Malaysia and remains so up to this day. The dominance of communal politics can be understood in Stephan and Stephan's (2000) model of integrated threat theory. In Singapore, the city-state does not believe in affirmative action and it prefers to manage cultural identities on the basis of a multicultural ideology (Berry and Kalin, 1995, Berry et al., 1977). In this article, multiculturalism is used to refer to public policies carried out by the two countries to manage their plural societies. We will discuss the development of the multicultural models that have evolved in the two countries. While Malaysia's model of multiculturalism is based on policies that have been instituted to manage inter-group tensions, prevent violence, and pursue social justice between the ethnic groups as a result of its past, Singapore's model is guided by pragmatic realism and market fundamentals associated with the needs of a global city. Both models will face challenges in the coming years as they each adapt to the seismic shifts in the geo-economic landscapes.","collection-title":"Multiculturalism, beyond ethnocultural diversity and contestations","container-title":"International Journal of Intercultural Relations","DOI":"10.1016/j.ijintrel.2013.09.009","ISSN":"0147-1767","issue":"6","journalAbbreviation":"International Journal of Intercultural Relations","page":"714-726","source":"ScienceDirect","title":"Multiculturalism in Malaysia and Singapore: Contesting models","title-short":"Multiculturalism in Malaysia and Singapore","volume":"37","author":[{"family":"Noor","given":"Noraini M."},{"family":"Leong","given":"Chan-Hoong"}],"issued":{"date-parts":[["2013",11,1]]}}}],"schema":"https://github.com/citation-style-language/schema/raw/master/csl-citation.json"} </w:instrText>
      </w:r>
      <w:r w:rsidRPr="00551164">
        <w:rPr>
          <w:color w:val="000000" w:themeColor="text1"/>
        </w:rPr>
        <w:fldChar w:fldCharType="separate"/>
      </w:r>
      <w:r w:rsidR="00474E08" w:rsidRPr="00551164">
        <w:rPr>
          <w:color w:val="000000" w:themeColor="text1"/>
        </w:rPr>
        <w:t xml:space="preserve">Noraini M. Noor and Chan-Hoong Leong, “Multiculturalism in Malaysia and Singapore: Contesting Models,” </w:t>
      </w:r>
      <w:r w:rsidR="00474E08" w:rsidRPr="00551164">
        <w:rPr>
          <w:i/>
          <w:iCs/>
          <w:color w:val="000000" w:themeColor="text1"/>
        </w:rPr>
        <w:t>International Journal of Intercultural Relations</w:t>
      </w:r>
      <w:r w:rsidR="00474E08" w:rsidRPr="00551164">
        <w:rPr>
          <w:color w:val="000000" w:themeColor="text1"/>
        </w:rPr>
        <w:t>, Multiculturalism, beyond ethnocultural diversity and contestations, 37, no. 6 (November 1, 2013): 714–26, https://doi.org/10.1016/j.ijintrel.2013.09.009.</w:t>
      </w:r>
      <w:r w:rsidRPr="00551164">
        <w:rPr>
          <w:color w:val="000000" w:themeColor="text1"/>
        </w:rPr>
        <w:fldChar w:fldCharType="end"/>
      </w:r>
    </w:p>
  </w:footnote>
  <w:footnote w:id="7">
    <w:p w14:paraId="434FC36B" w14:textId="23D34746" w:rsidR="00731293" w:rsidRPr="00551164" w:rsidRDefault="00731293" w:rsidP="00402D16">
      <w:pPr>
        <w:pStyle w:val="FootnoteText"/>
        <w:jc w:val="both"/>
        <w:rPr>
          <w:color w:val="000000" w:themeColor="text1"/>
        </w:rPr>
      </w:pPr>
      <w:r w:rsidRPr="00551164">
        <w:rPr>
          <w:rStyle w:val="FootnoteReference"/>
          <w:color w:val="000000" w:themeColor="text1"/>
        </w:rPr>
        <w:footnoteRef/>
      </w:r>
      <w:r w:rsidRPr="00551164">
        <w:rPr>
          <w:color w:val="000000" w:themeColor="text1"/>
        </w:rPr>
        <w:t xml:space="preserve"> </w:t>
      </w:r>
      <w:r w:rsidRPr="00551164">
        <w:rPr>
          <w:color w:val="000000" w:themeColor="text1"/>
        </w:rPr>
        <w:fldChar w:fldCharType="begin"/>
      </w:r>
      <w:r w:rsidR="00B137AA">
        <w:rPr>
          <w:color w:val="000000" w:themeColor="text1"/>
        </w:rPr>
        <w:instrText xml:space="preserve"> ADDIN ZOTERO_ITEM CSL_CITATION {"citationID":"OR7fwJjy","properties":{"formattedCitation":"Mualimin Mochammad Sahid, Setiyawan Gunardi, and Nur Muhammad Hadi Zahalan, \\uc0\\u8220{}Konsep Uruf Dan Maslahah Sebagai Sumber Rujukan: Status Wanita Terhadap Harta Sepencarian Dalam Perundangan Islam Di Malaysia,\\uc0\\u8221{} {\\i{}\\uc0\\u8216{}Abqari Journal} 23, no. 2 (2020), https://doi.org/10.33102/abqari.vol23no2.357.","plainCitation":"Mualimin Mochammad Sahid, Setiyawan Gunardi, and Nur Muhammad Hadi Zahalan, “Konsep Uruf Dan Maslahah Sebagai Sumber Rujukan: Status Wanita Terhadap Harta Sepencarian Dalam Perundangan Islam Di Malaysia,” ‘Abqari Journal 23, no. 2 (2020), https://doi.org/10.33102/abqari.vol23no2.357.","noteIndex":7},"citationItems":[{"id":1190,"uris":["http://zotero.org/users/local/YyjvkUwP/items/RR9X5G6U"],"itemData":{"id":1190,"type":"article-journal","abstract":"Harta Sepencarian bermaksud harta yang diperolehi dalam masa perkahwinan seorang suami dengan isterinya hasil daripada sumber-sumber atau usaha mereka bersama. Dalam khazanah fiqh, jenis harta ini tidak dijelaskan oleh ulama. Dalam amalannya, status harta ini akan dituntut oleh salah seorang pasangan suami isteri ini selepas berlakunya perceraian, kematian, atau kerana suami yang berkahwin dengan dengan isteri kedua. Salah satu daripada mereka berhak ke atas separuh harta atau kurang daripada itu dari harta pasangannya. Artikel ini bertujuan untuk menjelaskan status harta sepencarian menurut pandangan syarak dan amalannya dalam perundangan Islam di Malaysia. Dengan menggunakan kaedah kajian analisa dan perbandingan, penulis mengkaji status hukum harta ini dan menganalisis pelaksanaannya dalam masyarakat untuk mengetahui hubungannya dengan jenis-jenis harta lain dalam hukum syarak, seperti: Hibah, Nafkah, Maskahwin, wasiat, mut’ah dan juga harta warisan. Hasil kajian mandapati bahawa harta sepencarian satu amalan masyarakat melayu yang telah lama diamalkan. Ia diiktiraf oleh mahkamah Syariah di Malaysia berdasarkan dua dalil iatu uruf dan maslahah yang merupakan sumber hukum syarak yang berlandaskan Al-Quran dan As-Sunnah. Berpandukan itu, Islam dikenali sebagai agama yang memberikan perhatian ke atas hal-ehwal keluarga khasnya wanita dengan meletakkan mereka dalam kedudukan yang tinggi, menjaga maruah mereka, dan memelihara hak-hak seperti hak harta sepencarian ini.&amp;#x0D; The matrimonial property (harta sepencarian) means the property acquired during the marriage of a husband and his wife as a result of their shared resources or efforts. There is no explanation about this kind of property in the classical fiqh studies. In practice, the property will be claimed by one of the spouses after the divorce, death, or the occurrence of second marriage. This article aims to study this type of property based on Islamic jurisprudence and law in Malaysia. Based on analytical and comparative methods, the researcher analyzes its legal status, implementation in society, and relationship between this kind of property and other types of properties in Islamic law, such as: hibah, nafkah, dowry, wasiat, mut'ah and even inheritance. Results of the study showed that harta sepencarian is a practice in Malay society since long time ago. It has been recognized by the Syariah court in Malaysia based on two sources of Islamic law ‘Uruf and Maslahah which referred to Qur’an and Sunnah. Guided by this, Islam is known as a religion that cares about family affairs especially women by placing them in high regard, maintaining their dignity, and preserving such rights as the right harta sepencarian.","container-title":"‘Abqari Journal","DOI":"10.33102/abqari.vol23no2.357","issue":"2","language":"en","source":"scite.ai","title":"Konsep Uruf dan Maslahah Sebagai Sumber Rujukan: Status Wanita Terhadap Harta Sepencarian dalam Perundangan Islam di Malaysia","title-short":"Konsep Uruf dan Maslahah Sebagai Sumber Rujukan","URL":"https://doi.org/10.33102/abqari.vol23no2.357","volume":"23","author":[{"family":"Sahid","given":"Mualimin Mochammad"},{"family":"Gunardi","given":"Setiyawan"},{"family":"Zahalan","given":"Nur Muhammad Hadi"}],"accessed":{"date-parts":[["2024",6,9]]},"issued":{"date-parts":[["2020"]]}}}],"schema":"https://github.com/citation-style-language/schema/raw/master/csl-citation.json"} </w:instrText>
      </w:r>
      <w:r w:rsidRPr="00551164">
        <w:rPr>
          <w:color w:val="000000" w:themeColor="text1"/>
        </w:rPr>
        <w:fldChar w:fldCharType="separate"/>
      </w:r>
      <w:r w:rsidRPr="00551164">
        <w:rPr>
          <w:color w:val="000000" w:themeColor="text1"/>
        </w:rPr>
        <w:t xml:space="preserve">Mualimin Mochammad Sahid, Setiyawan Gunardi, and Nur Muhammad Hadi Zahalan, “Konsep Uruf Dan Maslahah Sebagai Sumber Rujukan: Status Wanita Terhadap Harta Sepencarian Dalam Perundangan Islam Di Malaysia,” </w:t>
      </w:r>
      <w:r w:rsidRPr="00551164">
        <w:rPr>
          <w:i/>
          <w:iCs/>
          <w:color w:val="000000" w:themeColor="text1"/>
        </w:rPr>
        <w:t>‘Abqari Journal</w:t>
      </w:r>
      <w:r w:rsidRPr="00551164">
        <w:rPr>
          <w:color w:val="000000" w:themeColor="text1"/>
        </w:rPr>
        <w:t xml:space="preserve"> 23, no. 2 (2020), https://doi.org/10.33102/abqari.vol23no2.357.</w:t>
      </w:r>
      <w:r w:rsidRPr="00551164">
        <w:rPr>
          <w:color w:val="000000" w:themeColor="text1"/>
        </w:rPr>
        <w:fldChar w:fldCharType="end"/>
      </w:r>
    </w:p>
  </w:footnote>
  <w:footnote w:id="8">
    <w:p w14:paraId="5CDFED48" w14:textId="6CFD92CB" w:rsidR="00CE6FCA" w:rsidRDefault="00CE6FCA" w:rsidP="00402D16">
      <w:pPr>
        <w:pStyle w:val="FootnoteText"/>
        <w:jc w:val="both"/>
      </w:pPr>
      <w:r>
        <w:rPr>
          <w:rStyle w:val="FootnoteReference"/>
        </w:rPr>
        <w:footnoteRef/>
      </w:r>
      <w:r>
        <w:t xml:space="preserve"> </w:t>
      </w:r>
      <w:r>
        <w:fldChar w:fldCharType="begin"/>
      </w:r>
      <w:r>
        <w:instrText xml:space="preserve"> ADDIN ZOTERO_ITEM CSL_CITATION {"citationID":"V05hTw1f","properties":{"formattedCitation":"Derita Prapti Rahayu et al., \\uc0\\u8220{}Countering Illegal Tin Mining with a Legal Formulation of Law Based on Local Wisdom in Bangka Belitung, Indonesia,\\uc0\\u8221{} {\\i{}Cogent Social Sciences} 10, no. 1 (December 31, 2024): 2311053, https://doi.org/10.1080/23311886.2024.2311053.","plainCitation":"Derita Prapti Rahayu et al., “Countering Illegal Tin Mining with a Legal Formulation of Law Based on Local Wisdom in Bangka Belitung, Indonesia,” Cogent Social Sciences 10, no. 1 (December 31, 2024): 2311053, https://doi.org/10.1080/23311886.2024.2311053.","noteIndex":8},"citationItems":[{"id":1415,"uris":["http://zotero.org/users/local/YyjvkUwP/items/JAPWPHAU"],"itemData":{"id":1415,"type":"article-journal","abstract":"Illegal mining is a latent problem that cannot be overcome since the Reformation era until today in Bangka Belitung, with widespread impacts on environmental, social and financial losses. Indications of mining management failure are due to ineffective legal arrangements by the government. The analysis of article aims to test the effectiveness of law and regulations related to locals tin mining carried out in Bangka Belitung, the regulation of local wisdom by the community, and the potential to integrate these two aspects in an ideal law enforcement perspective. The interests of environmental conservation and limiting the rate of illegal tin mining are two aspects that are currently fundamental needs, while still requiring the presence of economic and cultural considerations of the community. Through a socio-legal approach, it can be seen that the people of Bangka Belitung have implemented a unique ecoliteracy concept through local wisdom applied in the living culture of the community. The ecoliteracy that is carried out through the active participation of the people is timah ampak. The results of the study, it was found the condition that ampak is very prospective to be integrated in legislation, as well as being a solution to the phenomenon of ‘lame-duck’ regulations that have not been sufficiently implemented due to substance issues. The recommendation of this study is the transformation of local wisdom in local regulations to re-streamline the management of illegal tin mining in Bangka Belitung.","container-title":"Cogent Social Sciences","DOI":"10.1080/23311886.2024.2311053","ISSN":"null","issue":"1","note":"publisher: Cogent OA\n_eprint: https://doi.org/10.1080/23311886.2024.2311053","page":"2311053","source":"Taylor and Francis+NEJM","title":"Countering illegal tin mining with a legal formulation of law based on local wisdom in Bangka Belitung, Indonesia","volume":"10","author":[{"family":"Rahayu","given":"Derita Prapti"},{"family":"Rahayu","given":"Sri"},{"literal":"Faisal"},{"family":"Yanto","given":"Andri"}],"issued":{"date-parts":[["2024",12,31]]}}}],"schema":"https://github.com/citation-style-language/schema/raw/master/csl-citation.json"} </w:instrText>
      </w:r>
      <w:r>
        <w:fldChar w:fldCharType="separate"/>
      </w:r>
      <w:r w:rsidRPr="00CE6FCA">
        <w:t xml:space="preserve">Derita Prapti Rahayu et al., “Countering Illegal Tin Mining with a Legal Formulation of Law Based on Local Wisdom in Bangka Belitung, Indonesia,” </w:t>
      </w:r>
      <w:r w:rsidRPr="00CE6FCA">
        <w:rPr>
          <w:i/>
          <w:iCs/>
        </w:rPr>
        <w:t>Cogent Social Sciences</w:t>
      </w:r>
      <w:r w:rsidRPr="00CE6FCA">
        <w:t xml:space="preserve"> 10, no. 1 (December 31, 2024): 2311053, https://doi.org/10.1080/23311886.2024.2311053.</w:t>
      </w:r>
      <w:r>
        <w:fldChar w:fldCharType="end"/>
      </w:r>
    </w:p>
  </w:footnote>
  <w:footnote w:id="9">
    <w:p w14:paraId="659CD20F" w14:textId="22813CC5" w:rsidR="0037096D" w:rsidRDefault="0037096D" w:rsidP="00402D16">
      <w:pPr>
        <w:pStyle w:val="FootnoteText"/>
        <w:jc w:val="both"/>
      </w:pPr>
      <w:r>
        <w:rPr>
          <w:rStyle w:val="FootnoteReference"/>
        </w:rPr>
        <w:footnoteRef/>
      </w:r>
      <w:r>
        <w:t xml:space="preserve"> </w:t>
      </w:r>
      <w:r>
        <w:fldChar w:fldCharType="begin"/>
      </w:r>
      <w:r>
        <w:instrText xml:space="preserve"> ADDIN ZOTERO_ITEM CSL_CITATION {"citationID":"GxlQRNSY","properties":{"formattedCitation":"David J. Banks, \\uc0\\u8220{}Islam and Inheritance in Malaya: Culture Conflict or Islamic Revolution?,\\uc0\\u8221{} {\\i{}American Ethnologist} 3, no. 4 (1976): 573\\uc0\\u8211{}86.","plainCitation":"David J. Banks, “Islam and Inheritance in Malaya: Culture Conflict or Islamic Revolution?,” American Ethnologist 3, no. 4 (1976): 573–86.","noteIndex":9},"citationItems":[{"id":1414,"uris":["http://zotero.org/users/local/YyjvkUwP/items/6DTFWYTL"],"itemData":{"id":1414,"type":"article-journal","abstract":"This essay examines the impact of the Islamic legal tradition on Malay ideas about the inheritance of property. It concludes that Muslim legal concepts have been fully incorporated into a Malay framework for the analysis of society and how it does and should work. Previous writers have seen Islam as part of a conflicting legal cultural dualism which opposes a harsh, male chauvinist and foreign Islamic law to a general fund of humane, Malay folk wisdom, implying inherent rural factionalism and a split peasant legal personality. The essay presents data from the West Malaysian state of Kedah to explicate the \"typical\" Malay case, in which Islam is said to give a bilateral kinship system a patrilateral bias. This analysis cites three interdependent factors in folk ideology which provide rationales for the distribution of property and have bases in peasant knowledge of Islam. The essay finds that Islamic law is so thoroughly part of Malay life that one may consider Malay culture part of a Southeast Asian Islamic Great Tradition. It concludes by exploring reasons for the appeal of legal dualism and discusses possible changes in Malay ideas about the morality of property distribution.","container-title":"American Ethnologist","ISSN":"0094-0496","issue":"4","note":"publisher: [Wiley, American Anthropological Association]","page":"573-586","source":"JSTOR","title":"Islam and Inheritance in Malaya: Culture Conflict or Islamic Revolution?","title-short":"Islam and Inheritance in Malaya","volume":"3","author":[{"family":"Banks","given":"David J."}],"issued":{"date-parts":[["1976"]]}}}],"schema":"https://github.com/citation-style-language/schema/raw/master/csl-citation.json"} </w:instrText>
      </w:r>
      <w:r>
        <w:fldChar w:fldCharType="separate"/>
      </w:r>
      <w:r w:rsidR="00B06650" w:rsidRPr="00B06650">
        <w:t xml:space="preserve">David J. Banks, “Islam and Inheritance in Malaya: Culture Conflict or Islamic Revolution?,” </w:t>
      </w:r>
      <w:r w:rsidR="00B06650" w:rsidRPr="00B06650">
        <w:rPr>
          <w:i/>
          <w:iCs/>
        </w:rPr>
        <w:t>American Ethnologist</w:t>
      </w:r>
      <w:r w:rsidR="00B06650" w:rsidRPr="00B06650">
        <w:t xml:space="preserve"> 3, no. 4 (1976): 573–86.</w:t>
      </w:r>
      <w:r>
        <w:fldChar w:fldCharType="end"/>
      </w:r>
    </w:p>
  </w:footnote>
  <w:footnote w:id="10">
    <w:p w14:paraId="4A8FB0CC" w14:textId="045F310C" w:rsidR="0037096D" w:rsidRDefault="0037096D" w:rsidP="00402D16">
      <w:pPr>
        <w:pStyle w:val="FootnoteText"/>
        <w:jc w:val="both"/>
      </w:pPr>
      <w:r>
        <w:rPr>
          <w:rStyle w:val="FootnoteReference"/>
        </w:rPr>
        <w:footnoteRef/>
      </w:r>
      <w:r>
        <w:t xml:space="preserve"> </w:t>
      </w:r>
      <w:r>
        <w:fldChar w:fldCharType="begin"/>
      </w:r>
      <w:r>
        <w:instrText xml:space="preserve"> ADDIN ZOTERO_ITEM CSL_CITATION {"citationID":"gnKmPKy8","properties":{"formattedCitation":"\\uc0\\u8220{}(PDF) Marital Property within the Marriage Law: A Debate on Legal Position and Actual Applications,\\uc0\\u8221{} {\\i{}ResearchGate}, December 9, 2024, https://doi.org/10.14421/ajis.2021.592.287-316.","plainCitation":"“(PDF) Marital Property within the Marriage Law: A Debate on Legal Position and Actual Applications,” ResearchGate, December 9, 2024, https://doi.org/10.14421/ajis.2021.592.287-316.","noteIndex":10},"citationItems":[{"id":1417,"uris":["http://zotero.org/users/local/YyjvkUwP/items/CN6E37H9"],"itemData":{"id":1417,"type":"article-journal","abstract":"PDF | This paper presents a debate on the legal posistion of marital property and its application. It begins with examining the legal position of... | Find, read and cite all the research you need on ResearchGate","container-title":"ResearchGate","DOI":"10.14421/ajis.2021.592.287-316","language":"en","source":"www.researchgate.net","title":"(PDF) Marital Property within the Marriage Law: A Debate on Legal Position and Actual Applications","title-short":"(PDF) Marital Property within the Marriage Law","URL":"https://www.researchgate.net/publication/361381592_Marital_Property_within_the_Marriage_Law_A_Debate_on_Legal_Position_and_Actual_Applications","accessed":{"date-parts":[["2024",12,11]]},"issued":{"date-parts":[["2024",12,9]]}}}],"schema":"https://github.com/citation-style-language/schema/raw/master/csl-citation.json"} </w:instrText>
      </w:r>
      <w:r>
        <w:fldChar w:fldCharType="separate"/>
      </w:r>
      <w:r w:rsidRPr="0037096D">
        <w:t xml:space="preserve">“(PDF) Marital Property within the Marriage Law: A Debate on Legal Position and Actual Applications,” </w:t>
      </w:r>
      <w:r w:rsidRPr="0037096D">
        <w:rPr>
          <w:i/>
          <w:iCs/>
        </w:rPr>
        <w:t>ResearchGate</w:t>
      </w:r>
      <w:r w:rsidRPr="0037096D">
        <w:t>, December 9, 2024, https://doi.org/10.14421/ajis.2021.592.287-316.</w:t>
      </w:r>
      <w:r>
        <w:fldChar w:fldCharType="end"/>
      </w:r>
    </w:p>
  </w:footnote>
  <w:footnote w:id="11">
    <w:p w14:paraId="629043A4" w14:textId="47E54C8F" w:rsidR="00C8502A" w:rsidRDefault="00C8502A" w:rsidP="00402D16">
      <w:pPr>
        <w:pStyle w:val="FootnoteText"/>
        <w:jc w:val="both"/>
      </w:pPr>
      <w:r>
        <w:rPr>
          <w:rStyle w:val="FootnoteReference"/>
        </w:rPr>
        <w:footnoteRef/>
      </w:r>
      <w:r>
        <w:t xml:space="preserve"> </w:t>
      </w:r>
      <w:r>
        <w:fldChar w:fldCharType="begin"/>
      </w:r>
      <w:r>
        <w:instrText xml:space="preserve"> ADDIN ZOTERO_ITEM CSL_CITATION {"citationID":"0VbCObik","properties":{"formattedCitation":"Siah Khosyi\\uc0\\u8217{}ah and Ayi Yunus Rusyana, \\uc0\\u8220{}Inheritance Settlement of Descendants of Children and Siblings in Islamic Law with Local Wisdom in Indonesia,\\uc0\\u8221{} {\\i{}Taylor &amp; Francis}, December 31, 2022, https://www.tandfonline.com/doi/abs/10.1080/23311886.2022.2126615.","plainCitation":"Siah Khosyi’ah and Ayi Yunus Rusyana, “Inheritance Settlement of Descendants of Children and Siblings in Islamic Law with Local Wisdom in Indonesia,” Taylor &amp; Francis, December 31, 2022, https://www.tandfonline.com/doi/abs/10.1080/23311886.2022.2126615.","noteIndex":11},"citationItems":[{"id":1412,"uris":["http://zotero.org/users/local/YyjvkUwP/items/NGBMU958"],"itemData":{"id":1412,"type":"article-journal","abstract":"Islamic inheritance law is one aspect that is regulated in Qur’an and Hadith. However, the inheritance distribution of the descendent of children and siblings is not explicitly explained in the Qur...","archive_location":"world","container-title":"Taylor &amp; Francis","ISSN":"2331-1886","language":"EN","license":"© 2022 The Author(s). This open access article is distributed under a Creative Commons Attribution (CC-BY) 4.0 license.","note":"publisher: Cogent","source":"www.tandfonline.com","title":"Inheritance settlement of descendants of children and siblings in Islamic law with local wisdom in Indonesia","URL":"https://www.tandfonline.com/doi/abs/10.1080/23311886.2022.2126615","author":[{"family":"Khosyi’ah","given":"Siah"},{"family":"Rusyana","given":"Ayi Yunus"}],"accessed":{"date-parts":[["2024",12,11]]},"issued":{"date-parts":[["2022",12,31]]}}}],"schema":"https://github.com/citation-style-language/schema/raw/master/csl-citation.json"} </w:instrText>
      </w:r>
      <w:r>
        <w:fldChar w:fldCharType="separate"/>
      </w:r>
      <w:r w:rsidRPr="00C8502A">
        <w:t xml:space="preserve">Siah Khosyi’ah and Ayi Yunus Rusyana, “Inheritance Settlement of Descendants of Children and Siblings in Islamic Law with Local Wisdom in Indonesia,” </w:t>
      </w:r>
      <w:r w:rsidRPr="00C8502A">
        <w:rPr>
          <w:i/>
          <w:iCs/>
        </w:rPr>
        <w:t>Taylor &amp; Francis</w:t>
      </w:r>
      <w:r w:rsidRPr="00C8502A">
        <w:t>, December 31, 2022, https://www.tandfonline.com/doi/abs/10.1080/23311886.2022.2126615.</w:t>
      </w:r>
      <w:r>
        <w:fldChar w:fldCharType="end"/>
      </w:r>
    </w:p>
  </w:footnote>
  <w:footnote w:id="12">
    <w:p w14:paraId="45467DC3" w14:textId="47300634" w:rsidR="00A067E6" w:rsidRDefault="00A067E6" w:rsidP="00402D16">
      <w:pPr>
        <w:pStyle w:val="FootnoteText"/>
        <w:jc w:val="both"/>
      </w:pPr>
      <w:r>
        <w:rPr>
          <w:rStyle w:val="FootnoteReference"/>
        </w:rPr>
        <w:footnoteRef/>
      </w:r>
      <w:r>
        <w:t xml:space="preserve"> </w:t>
      </w:r>
      <w:r>
        <w:fldChar w:fldCharType="begin"/>
      </w:r>
      <w:r>
        <w:instrText xml:space="preserve"> ADDIN ZOTERO_ITEM CSL_CITATION {"citationID":"n4ENSKDj","properties":{"formattedCitation":"Risma Nur Arifah, Siti Zulaichah, and M. Faiz Nasrullah, \\uc0\\u8220{}Membuka Rahasia Bank Dalam Pembagian Harta Bersama Perspektif Maqashid Syariah,\\uc0\\u8221{} {\\i{}De Jure: Jurnal Hukum dan Syar\\uc0\\u8217{}iah} 11, no. 2 (December 31, 2019): 113\\uc0\\u8211{}27, https://doi.org/10.18860/j-fsh.v11i2.7999.","plainCitation":"Risma Nur Arifah, Siti Zulaichah, and M. Faiz Nasrullah, “Membuka Rahasia Bank Dalam Pembagian Harta Bersama Perspektif Maqashid Syariah,” De Jure: Jurnal Hukum dan Syar’iah 11, no. 2 (December 31, 2019): 113–27, https://doi.org/10.18860/j-fsh.v11i2.7999.","noteIndex":12},"citationItems":[{"id":1422,"uris":["http://zotero.org/users/local/YyjvkUwP/items/T8XG9MJR"],"itemData":{"id":1422,"type":"article-journal","container-title":"De Jure: Jurnal Hukum dan Syar'iah","DOI":"10.18860/j-fsh.v11i2.7999","ISSN":"2528-1658, 2085-1618","issue":"2","journalAbbreviation":"J-FSH","language":"id","license":"http://creativecommons.org/licenses/by-nc-sa/4.0","page":"113-127","source":"DOI.org (Crossref)","title":"Membuka Rahasia Bank Dalam Pembagian Harta Bersama Perspektif Maqashid Syariah","volume":"11","author":[{"family":"Arifah","given":"Risma Nur"},{"family":"Zulaichah","given":"Siti"},{"family":"Nasrullah","given":"M. Faiz"}],"issued":{"date-parts":[["2019",12,31]]}}}],"schema":"https://github.com/citation-style-language/schema/raw/master/csl-citation.json"} </w:instrText>
      </w:r>
      <w:r>
        <w:fldChar w:fldCharType="separate"/>
      </w:r>
      <w:r w:rsidRPr="00A067E6">
        <w:t xml:space="preserve">Risma Nur Arifah, Siti Zulaichah, and M. Faiz Nasrullah, “Membuka Rahasia Bank Dalam Pembagian Harta Bersama Perspektif Maqashid Syariah,” </w:t>
      </w:r>
      <w:r w:rsidRPr="00A067E6">
        <w:rPr>
          <w:i/>
          <w:iCs/>
        </w:rPr>
        <w:t>De Jure: Jurnal Hukum dan Syar’iah</w:t>
      </w:r>
      <w:r w:rsidRPr="00A067E6">
        <w:t xml:space="preserve"> 11, no. 2 (December 31, 2019): 113–27, https://doi.org/10.18860/j-fsh.v11i2.7999.</w:t>
      </w:r>
      <w:r>
        <w:fldChar w:fldCharType="end"/>
      </w:r>
    </w:p>
  </w:footnote>
  <w:footnote w:id="13">
    <w:p w14:paraId="1E631C23" w14:textId="5F237C00" w:rsidR="00CF106B" w:rsidRPr="00551164" w:rsidRDefault="00CF106B" w:rsidP="00402D16">
      <w:pPr>
        <w:pStyle w:val="FootnoteText"/>
        <w:jc w:val="both"/>
        <w:rPr>
          <w:color w:val="000000" w:themeColor="text1"/>
        </w:rPr>
      </w:pPr>
      <w:r w:rsidRPr="00551164">
        <w:rPr>
          <w:rStyle w:val="FootnoteReference"/>
          <w:color w:val="000000" w:themeColor="text1"/>
        </w:rPr>
        <w:footnoteRef/>
      </w:r>
      <w:r w:rsidRPr="00551164">
        <w:rPr>
          <w:color w:val="000000" w:themeColor="text1"/>
        </w:rPr>
        <w:t xml:space="preserve"> </w:t>
      </w:r>
      <w:r w:rsidRPr="00551164">
        <w:rPr>
          <w:color w:val="000000" w:themeColor="text1"/>
        </w:rPr>
        <w:fldChar w:fldCharType="begin"/>
      </w:r>
      <w:r w:rsidR="00B06650">
        <w:rPr>
          <w:color w:val="000000" w:themeColor="text1"/>
        </w:rPr>
        <w:instrText xml:space="preserve"> ADDIN ZOTERO_ITEM CSL_CITATION {"citationID":"GBGV4IpM","properties":{"formattedCitation":"Mohd Norhusairi Mat Hussin and Muhammad Farid Aizat Fauzi, \\uc0\\u8220{}Alimony of Childern by Deducting of Employeess Provident Fund: An Alternative,\\uc0\\u8221{} {\\i{}UUM Journal of Legal Studies} 14, no. 1 (January 18, 2023): 333\\uc0\\u8211{}63, https://doi.org/10.32890/uumjls2023.14.1.13.","plainCitation":"Mohd Norhusairi Mat Hussin and Muhammad Farid Aizat Fauzi, “Alimony of Childern by Deducting of Employeess Provident Fund: An Alternative,” UUM Journal of Legal Studies 14, no. 1 (January 18, 2023): 333–63, https://doi.org/10.32890/uumjls2023.14.1.13.","noteIndex":13},"citationItems":[{"id":1193,"uris":["http://zotero.org/users/local/YyjvkUwP/items/8ZW5QG49"],"itemData":{"id":1193,"type":"article-journal","abstract":"Nafkah anak merupakan suatu kefarduan yang wajib ditunaikan secara berterusan oleh bapa atau penjaga menurut hukum syarakdan undang-undang. Namun begitu, tidak dinafikan bahawa wujudnya pengabaian nafkah daripada pihak bapa kepada anak-anakdisebabkan pelbagai faktor. Pengabaian nafkah ini menyebabkan kehidupan anak-anak terjejas dan tidak mendapat hak yangsepatutnya. Oleh itu, kajian ini bertujuan untuk menganalisis potongan Kumpulan Wang Simpanan Pekerja (KWSP) sebagai suatu alternatif untuk pembayaran nafkah anak di Mahkamah Syariah sekaligus mencadangkan potongan simpanan KWSP bapa sebagai salah satu mekanisma pembayaran nafkah. Data utama dalam kajian ini diperolehi melalui kajian perpustakaan dan juga kajian lapangan yang melibatkan temubual dengan Peguam Syarie bagi mendapatkan pandangan mereka berkenaan kaedah-kaedah pembayaran nafkah yang sedia ada serta keperluan pelaksanaan potongan KWSP sebagai kaedah alternatif. Metodologi yang digunakan ini boleh menyoroti potongan wang KWSP bagi tujuan nafkah dibuat melalui undang-undang seterusnya boleh mengesahkan kepentingan potongan wang KWSP bagi membela hak anak-anak untuk mendapatkan nafkah. Kajian ini penting khususnya kepada pihak kerajaan dan pembuat dasar di KWSP bagi meminda dasar yang sedia ada untuk membantu memelihara hak anak-anak daripada sikap culas bapa yang mencarum di KWSP.\n \nABSTRACT\nChild support is an obligation that must be fulfilled continuously by the father or the guardian according to the Syarak and common law. However, there is no denying that there is often the issue of neglect in the maintenance of child support from the father due to various factors. This neglect has certainly affected the lives of the children as they do not get the rights that they deserve. Therefore, this study aims to analyze the deduction from the Employees Provident Fund (EPF) as an alternative for the payment of child support in the Shariah Court. It is a proposal that the deduction of the father’s EPF savings can be one of the payment mechanisms for child support. The main data in this study was obtained through a library study and also a field study involving interviews with Sharie Counsel. The latter was carried out to obtain their views on the existing methods of payment for child support and the need to implement EPF deductions as an alternative method. The methodology used can highlight the deduction of EPF money for the purpose of child support made through the law. It will also further underscore the importance of the deduction of EPF money to protect the rights of children to obtain child support. This study is important to the government and policy makers as the amendment to the existing policy will go a long way to help protect the rights of children from the cavalier attitude of fathers toward payment for child support.","container-title":"UUM Journal of Legal Studies","DOI":"10.32890/uumjls2023.14.1.13","ISSN":"0127-9483","issue":"1","language":"en","license":"Copyright (c) 2023 UUM Journal of Legal Studies","note":"number: 1","page":"333-363","source":"e-journal.uum.edu.my","title":"Alimony of Childern by Deducting of Employeess Provident Fund: An Alternative","title-short":"Pembayaran Nafkah Anak Melalui Potongan Kumpulan Wang Simpanan Pekerja: Suatu Alternatif”","volume":"14","author":[{"family":"Hussin","given":"Mohd Norhusairi Mat"},{"family":"Fauzi","given":"Muhammad Farid Aizat"}],"issued":{"date-parts":[["2023",1,18]]}}}],"schema":"https://github.com/citation-style-language/schema/raw/master/csl-citation.json"} </w:instrText>
      </w:r>
      <w:r w:rsidRPr="00551164">
        <w:rPr>
          <w:color w:val="000000" w:themeColor="text1"/>
        </w:rPr>
        <w:fldChar w:fldCharType="separate"/>
      </w:r>
      <w:r w:rsidRPr="00B137AA">
        <w:rPr>
          <w:color w:val="000000"/>
        </w:rPr>
        <w:t xml:space="preserve">Mohd Norhusairi Mat Hussin and Muhammad Farid Aizat Fauzi, “Alimony of Childern by Deducting of Employeess Provident Fund: An Alternative,” </w:t>
      </w:r>
      <w:r w:rsidRPr="00B137AA">
        <w:rPr>
          <w:i/>
          <w:iCs/>
          <w:color w:val="000000"/>
        </w:rPr>
        <w:t>UUM Journal of Legal Studies</w:t>
      </w:r>
      <w:r w:rsidRPr="00B137AA">
        <w:rPr>
          <w:color w:val="000000"/>
        </w:rPr>
        <w:t xml:space="preserve"> 14, no. 1 (January 18, 2023): 333–63, https://doi.org/10.32890/uumjls2023.14.1.13.</w:t>
      </w:r>
      <w:r w:rsidRPr="00551164">
        <w:rPr>
          <w:color w:val="000000" w:themeColor="text1"/>
        </w:rPr>
        <w:fldChar w:fldCharType="end"/>
      </w:r>
    </w:p>
  </w:footnote>
  <w:footnote w:id="14">
    <w:p w14:paraId="723A8759" w14:textId="64EF5B56" w:rsidR="00CF106B" w:rsidRPr="00551164" w:rsidRDefault="00CF106B" w:rsidP="00402D16">
      <w:pPr>
        <w:pStyle w:val="FootnoteText"/>
        <w:jc w:val="both"/>
        <w:rPr>
          <w:color w:val="000000" w:themeColor="text1"/>
        </w:rPr>
      </w:pPr>
      <w:r w:rsidRPr="00551164">
        <w:rPr>
          <w:rStyle w:val="FootnoteReference"/>
          <w:color w:val="000000" w:themeColor="text1"/>
        </w:rPr>
        <w:footnoteRef/>
      </w:r>
      <w:r w:rsidRPr="00551164">
        <w:rPr>
          <w:color w:val="000000" w:themeColor="text1"/>
        </w:rPr>
        <w:t xml:space="preserve"> </w:t>
      </w:r>
      <w:r w:rsidRPr="00551164">
        <w:rPr>
          <w:color w:val="000000" w:themeColor="text1"/>
        </w:rPr>
        <w:fldChar w:fldCharType="begin"/>
      </w:r>
      <w:r w:rsidR="00B06650">
        <w:rPr>
          <w:color w:val="000000" w:themeColor="text1"/>
        </w:rPr>
        <w:instrText xml:space="preserve"> ADDIN ZOTERO_ITEM CSL_CITATION {"citationID":"L99xG1qG","properties":{"formattedCitation":"Mohd Hafiz Jamaludin et al., \\uc0\\u8220{}The Application of the Instrument ofAl-Istihsan Bi Al-\\uc0\\u8217{}Urf in Harta Sepencarian Practice in Malaysia,\\uc0\\u8221{} {\\i{}\\uc0\\u699{}Ul\\uc0\\u363{}m Isl\\uc0\\u257{}miyyah Journal} 14 (December 1, 2014): 69\\uc0\\u8211{}88, https://doi.org/10.12816/0012615.","plainCitation":"Mohd Hafiz Jamaludin et al., “The Application of the Instrument ofAl-Istihsan Bi Al-’Urf in Harta Sepencarian Practice in Malaysia,” ʻUlūm Islāmiyyah Journal 14 (December 1, 2014): 69–88, https://doi.org/10.12816/0012615.","noteIndex":14},"citationItems":[{"id":1195,"uris":["http://zotero.org/users/local/YyjvkUwP/items/JCJ948A8"],"itemData":{"id":1195,"type":"article-journal","abstract":"Kajian ini memfokuskan tentang pemakaian instrumen al-Istihsan bi al-`Urfi dalam justifikasi amalan harta sepencarian. Asasnya, instrumen ini bersumberkan usul daripada mazhab Hanafi. Namun secara teknikalnya, ia tidak jauh berbeza dengan instrumen urf menurut mazhab Syafi'i. Tambahan pula, amalan pembahagian harta sepencarian ini diamalkan dalam masyarakat Melayu khususnya di Nusantara yang majoritinya berpegang kepada mazhab Syafi'i. Kajian ini menggunakan metodologi kajian perpustakaan dengan merujuk kepada kitab-kitab tulisan para ulama dalam mazhab Hanafi dan mazhab Syafi'i dalam usaha untuk menjustifikasikan penerimaan amalan harta sepencarian dalam hukum syarak. Kajian cuba mencari justifikasi dalam mazhab yang lain dalam usaha untuk mengembangkan amalan yang memberi manfaat dan pembelaan kepada kaum wanita khususnya ke negara-negara Islam selain daripada masyarakat Muslim Nusantara. Meskipun kemungkinan penyertaan wanita dalam lapangan pekerjaan belum menjadi satu 'urf yang boleh diiktiraf untuk mendapatkan harta dalam perkahwinan, namun tugas-tugas domestik kaum wanita dalam pengurusan rumah tangga boleh dijadikan asas dalam pembahagian harta yang diperolehi dalam perkahwinan antara pasangan yang telah bercerai. Ini secara tidak langsung mampu memperlihatkan keindahan Islam dalam menjaga hak kaum wanita yang sering kali dilihat sebagai golongan yang lemah dan akan menjadi mangsa kepada sesebuah perceraian yang berlaku. Dalam memperkemaskan amalan pembahagian ini pula, teori dan praktis perundangan di Malaysia dapat menjadi contoh dan boleh dikembangkan ke negara-negara umat Islam yang lain. Hasil kajian telah mendapati bahawa pemakaian instrumen ini sesuai dengan furuk Syafìiyyah di samping dapat mengukuhkan lagi amalan harta sepencarian serta boleh diamalkan di negara-negara umat Islam lain termasuklah yang berpegang kepada mazhab Hanafi. \n(This study focuses on the application of the instrument al-Istihsan bi al-`Urfi in justification of “harta sepencarian” practice. Basically, this instrument motion derived from the Hanafi school. But technically, it's not dissimilar to the instrument `urf according to Shafi'i school. Furthermore, the concept of “harta sepencarian” division is practiced in the Malay community, especially in Nusantara, which is the majority, upholds the Shafi’i school. This study uses library research methodology with reference to the writings of scholars in the Hanafi and Shafi'i school in order to justify the acceptance of the practice of “harta sepencarian” in Shari'ah law. This study tries to find justification in the other school in an attempt to develop a practice that benefits and defense women, particularly to Muslim countries other than the Muslim community of the Nusantara. Despite the possibility of the participation of women in jobs has not become a custody or 'urf yet that can be recognized for the property in marriage, but domestic duties of women in household management can be the basis for the division of property acquired during a marriage between couples who divorce. This in turn can keep the beauty of Islam in which women's rights are often seen as the weak and will fall prey to a divorce case. In this division to streamline practice, the theory and practice of law in Malaysia can be an example and extended to other Muslims countries. The study has found that the application of these instruments is in accordance with furu‘ Shafi`iyyah as well as to strengthen the practice of “harta sepencarian” to be practiced in other Muslim countries including the country that adhere to the Hanafi school.)","container-title":"ʻUlūm Islāmiyyah Journal","DOI":"10.12816/0012615","journalAbbreviation":"ʻUlūm Islāmiyyah Journal","page":"69-88","source":"ResearchGate","title":"The Application of the Instrument ofAl-Istihsan bi Al-’Urf in Harta Sepencarian Practice in Malaysia","volume":"14","author":[{"family":"Jamaludin","given":"Mohd Hafiz"},{"family":"Hussin","given":"Mohd"},{"family":"Mohd Khambali @ Hambali","given":"Khadijah"},{"family":"Ramli","given":"Mohd Anuar"}],"issued":{"date-parts":[["2014",12,1]]}}}],"schema":"https://github.com/citation-style-language/schema/raw/master/csl-citation.json"} </w:instrText>
      </w:r>
      <w:r w:rsidRPr="00551164">
        <w:rPr>
          <w:color w:val="000000" w:themeColor="text1"/>
        </w:rPr>
        <w:fldChar w:fldCharType="separate"/>
      </w:r>
      <w:r w:rsidRPr="00551164">
        <w:rPr>
          <w:color w:val="000000" w:themeColor="text1"/>
        </w:rPr>
        <w:t xml:space="preserve">Mohd Hafiz Jamaludin et al., “The Application of the Instrument ofAl-Istihsan Bi Al-’Urf in Harta Sepencarian Practice in Malaysia,” </w:t>
      </w:r>
      <w:r w:rsidRPr="00551164">
        <w:rPr>
          <w:i/>
          <w:iCs/>
          <w:color w:val="000000" w:themeColor="text1"/>
        </w:rPr>
        <w:t>ʻUlūm Islāmiyyah Journal</w:t>
      </w:r>
      <w:r w:rsidRPr="00551164">
        <w:rPr>
          <w:color w:val="000000" w:themeColor="text1"/>
        </w:rPr>
        <w:t xml:space="preserve"> 14 (December 1, 2014): 69–88, https://doi.org/10.12816/0012615.</w:t>
      </w:r>
      <w:r w:rsidRPr="00551164">
        <w:rPr>
          <w:color w:val="000000" w:themeColor="text1"/>
        </w:rPr>
        <w:fldChar w:fldCharType="end"/>
      </w:r>
    </w:p>
  </w:footnote>
  <w:footnote w:id="15">
    <w:p w14:paraId="5B70E473" w14:textId="313D9254" w:rsidR="00CF106B" w:rsidRPr="00551164" w:rsidRDefault="00CF106B" w:rsidP="00402D16">
      <w:pPr>
        <w:pStyle w:val="FootnoteText"/>
        <w:jc w:val="both"/>
        <w:rPr>
          <w:color w:val="000000" w:themeColor="text1"/>
        </w:rPr>
      </w:pPr>
      <w:r w:rsidRPr="00551164">
        <w:rPr>
          <w:rStyle w:val="FootnoteReference"/>
          <w:color w:val="000000" w:themeColor="text1"/>
        </w:rPr>
        <w:footnoteRef/>
      </w:r>
      <w:r w:rsidRPr="00551164">
        <w:rPr>
          <w:color w:val="000000" w:themeColor="text1"/>
        </w:rPr>
        <w:t xml:space="preserve"> </w:t>
      </w:r>
      <w:r w:rsidRPr="00551164">
        <w:rPr>
          <w:color w:val="000000" w:themeColor="text1"/>
        </w:rPr>
        <w:fldChar w:fldCharType="begin"/>
      </w:r>
      <w:r w:rsidR="00B06650">
        <w:rPr>
          <w:color w:val="000000" w:themeColor="text1"/>
        </w:rPr>
        <w:instrText xml:space="preserve"> ADDIN ZOTERO_ITEM CSL_CITATION {"citationID":"F4YItaGC","properties":{"formattedCitation":"Raja Rohana Raja Mamat, {\\i{}Peranan Dan Status Wanita Melayu Di Malaysia\\uc0\\u8239{}: Daripada Perspektif Sosial Dan Undang-Undang} (Kuala Lumpur: Dewan Bahasa dan Pustaka, 1991), https://elib.usm.my/cgi-bin/koha/opac-detail.pl?biblionumber=62850&amp;query_desc=kw%2Cwrdl%3A%20raja%20melayu.","plainCitation":"Raja Rohana Raja Mamat, Peranan Dan Status Wanita Melayu Di Malaysia : Daripada Perspektif Sosial Dan Undang-Undang (Kuala Lumpur: Dewan Bahasa dan Pustaka, 1991), https://elib.usm.my/cgi-bin/koha/opac-detail.pl?biblionumber=62850&amp;query_desc=kw%2Cwrdl%3A%20raja%20melayu.","noteIndex":15},"citationItems":[{"id":1202,"uris":["http://zotero.org/users/local/YyjvkUwP/items/SXK5ZEB8"],"itemData":{"id":1202,"type":"book","event-place":"Kuala Lumpur","ISBN":"978-983-62-2179-7","number-of-pages":"110","publisher":"Dewan Bahasa dan Pustaka","publisher-place":"Kuala Lumpur","source":"melayu.library.uitm.edu.my","title":"Peranan dan Status Wanita Melayu di Malaysia : Daripada Perspektif Sosial dan Undang-Undang","title-short":"Peranan dan Status Wanita Melayu di Malaysia","URL":"https://elib.usm.my/cgi-bin/koha/opac-detail.pl?biblionumber=62850&amp;query_desc=kw%2Cwrdl%3A%20raja%20melayu","author":[{"family":"Raja Mamat","given":"Raja Rohana"}],"accessed":{"date-parts":[["2024",6,10]]},"issued":{"date-parts":[["1991"]]}}}],"schema":"https://github.com/citation-style-language/schema/raw/master/csl-citation.json"} </w:instrText>
      </w:r>
      <w:r w:rsidRPr="00551164">
        <w:rPr>
          <w:color w:val="000000" w:themeColor="text1"/>
        </w:rPr>
        <w:fldChar w:fldCharType="separate"/>
      </w:r>
      <w:r w:rsidRPr="00551164">
        <w:rPr>
          <w:color w:val="000000" w:themeColor="text1"/>
        </w:rPr>
        <w:t xml:space="preserve">Raja Rohana Raja Mamat, </w:t>
      </w:r>
      <w:r w:rsidRPr="00551164">
        <w:rPr>
          <w:i/>
          <w:iCs/>
          <w:color w:val="000000" w:themeColor="text1"/>
        </w:rPr>
        <w:t>Peranan Dan Status Wanita Melayu Di Malaysia : Daripada Perspektif Sosial Dan Undang-Undang</w:t>
      </w:r>
      <w:r w:rsidRPr="00551164">
        <w:rPr>
          <w:color w:val="000000" w:themeColor="text1"/>
        </w:rPr>
        <w:t xml:space="preserve"> (Kuala Lumpur: Dewan Bahasa dan Pustaka, 1991), https://elib.usm.my/cgi-bin/koha/opac-detail.pl?biblionumber=62850&amp;query_desc=kw%2Cwrdl%3A%20raja%20melayu.</w:t>
      </w:r>
      <w:r w:rsidRPr="00551164">
        <w:rPr>
          <w:color w:val="000000" w:themeColor="text1"/>
        </w:rPr>
        <w:fldChar w:fldCharType="end"/>
      </w:r>
    </w:p>
  </w:footnote>
  <w:footnote w:id="16">
    <w:p w14:paraId="1DC7F58B" w14:textId="6BEBB3F9" w:rsidR="00CF106B" w:rsidRPr="00551164" w:rsidRDefault="00CF106B" w:rsidP="00402D16">
      <w:pPr>
        <w:pStyle w:val="FootnoteText"/>
        <w:jc w:val="both"/>
        <w:rPr>
          <w:color w:val="000000" w:themeColor="text1"/>
        </w:rPr>
      </w:pPr>
      <w:r w:rsidRPr="00551164">
        <w:rPr>
          <w:rStyle w:val="FootnoteReference"/>
          <w:color w:val="000000" w:themeColor="text1"/>
        </w:rPr>
        <w:footnoteRef/>
      </w:r>
      <w:r w:rsidRPr="00551164">
        <w:rPr>
          <w:color w:val="000000" w:themeColor="text1"/>
        </w:rPr>
        <w:t xml:space="preserve"> </w:t>
      </w:r>
      <w:r w:rsidRPr="00551164">
        <w:rPr>
          <w:color w:val="000000" w:themeColor="text1"/>
        </w:rPr>
        <w:fldChar w:fldCharType="begin"/>
      </w:r>
      <w:r w:rsidR="00B06650">
        <w:rPr>
          <w:color w:val="000000" w:themeColor="text1"/>
        </w:rPr>
        <w:instrText xml:space="preserve"> ADDIN ZOTERO_ITEM CSL_CITATION {"citationID":"mD5HEWTq","properties":{"formattedCitation":"Ivan Szadv\\uc0\\u225{}ri, Daniela Ostatn\\uc0\\u237{}kov\\uc0\\u225{}, and Jaroslava Babkov\\uc0\\u225{} Durdiakov\\uc0\\u225{}, \\uc0\\u8220{}Sex Differences Matter: Males and Females Are Equal but Not the Same,\\uc0\\u8221{} {\\i{}Physiology &amp; Behavior} 259 (February 1, 2023): 114038, https://doi.org/10.1016/j.physbeh.2022.114038.","plainCitation":"Ivan Szadvári, Daniela Ostatníková, and Jaroslava Babková Durdiaková, “Sex Differences Matter: Males and Females Are Equal but Not the Same,” Physiology &amp; Behavior 259 (February 1, 2023): 114038, https://doi.org/10.1016/j.physbeh.2022.114038.","noteIndex":16},"citationItems":[{"id":1204,"uris":["http://zotero.org/users/local/YyjvkUwP/items/EDNAUPR3"],"itemData":{"id":1204,"type":"article-journal","abstract":"Sex differences between males and females can be detected early in life. They are present also later even to a much greater extent affecting our life in adulthood and a wide spectrum of physical, psychological, cognitive, and behavioral characteristics. Moreover, sex differences matter also in individual's health and disease. In this article, we reviewed at first the sex differences in brain organization and function with respect to the underlying biological mechanisms. Since the individual functional differences in the brain, in turn, shape the behavior, sex-specific psychological/behavioral differences that can be observed in infants but also adults are consequently addressed. Finally, we briefly mention sex-dependent variations in susceptibility to selected disorders as well as their pathophysiology, diagnosis, and response to therapy. The understanding of biologically determined variability between males and females can have important implications, especially in gender-specific health care. We have the impression that it is very important to emphasize that sex matters. Males and females are differently programmed by nature, and it must be respected. Even though we as males and females are not the same, we would like to emphasize that we are still equal and together form a worthy colorful continuum.","container-title":"Physiology &amp; Behavior","DOI":"10.1016/j.physbeh.2022.114038","ISSN":"0031-9384","journalAbbreviation":"Physiology &amp; Behavior","page":"114038","source":"ScienceDirect","title":"Sex Differences Matter: Males and Females are Equal but Not the Same","title-short":"Sex differences matter","volume":"259","author":[{"family":"Szadvári","given":"Ivan"},{"family":"Ostatníková","given":"Daniela"},{"family":"Babková Durdiaková","given":"Jaroslava"}],"issued":{"date-parts":[["2023",2,1]]}}}],"schema":"https://github.com/citation-style-language/schema/raw/master/csl-citation.json"} </w:instrText>
      </w:r>
      <w:r w:rsidRPr="00551164">
        <w:rPr>
          <w:color w:val="000000" w:themeColor="text1"/>
        </w:rPr>
        <w:fldChar w:fldCharType="separate"/>
      </w:r>
      <w:r w:rsidRPr="00551164">
        <w:rPr>
          <w:color w:val="000000" w:themeColor="text1"/>
        </w:rPr>
        <w:t xml:space="preserve">Ivan Szadvári, Daniela Ostatníková, and Jaroslava Babková Durdiaková, “Sex Differences Matter: Males and Females Are Equal but Not the Same,” </w:t>
      </w:r>
      <w:r w:rsidRPr="00551164">
        <w:rPr>
          <w:i/>
          <w:iCs/>
          <w:color w:val="000000" w:themeColor="text1"/>
        </w:rPr>
        <w:t>Physiology &amp; Behavior</w:t>
      </w:r>
      <w:r w:rsidRPr="00551164">
        <w:rPr>
          <w:color w:val="000000" w:themeColor="text1"/>
        </w:rPr>
        <w:t xml:space="preserve"> 259 (February 1, 2023): 114038, https://doi.org/10.1016/j.physbeh.2022.114038.</w:t>
      </w:r>
      <w:r w:rsidRPr="00551164">
        <w:rPr>
          <w:color w:val="000000" w:themeColor="text1"/>
        </w:rPr>
        <w:fldChar w:fldCharType="end"/>
      </w:r>
    </w:p>
  </w:footnote>
  <w:footnote w:id="17">
    <w:p w14:paraId="0A25B4D9" w14:textId="3B65B535" w:rsidR="000A004F" w:rsidRDefault="000A004F" w:rsidP="00402D16">
      <w:pPr>
        <w:pStyle w:val="FootnoteText"/>
        <w:jc w:val="both"/>
      </w:pPr>
      <w:r>
        <w:rPr>
          <w:rStyle w:val="FootnoteReference"/>
        </w:rPr>
        <w:footnoteRef/>
      </w:r>
      <w:r>
        <w:t xml:space="preserve"> </w:t>
      </w:r>
      <w:r>
        <w:fldChar w:fldCharType="begin"/>
      </w:r>
      <w:r w:rsidR="00B06650">
        <w:instrText xml:space="preserve"> ADDIN ZOTERO_ITEM CSL_CITATION {"citationID":"8NoVyHMH","properties":{"formattedCitation":"Fatima Abdullah, \\uc0\\u8220{}Wanita Dan Pekerjaan: Satu Analisis Konflik Peranan*,\\uc0\\u8221{} {\\i{}Akademika}, July 1, 1985, https://www.semanticscholar.org/paper/WANITA-DAN-PEKERJAAN%3A-SATU-ANALISIS-KONFLIK-Abdullah/fbc9a4633aafe2de3656ce898b1cb5ba2d863a2f#citing-papers.","plainCitation":"Fatima Abdullah, “Wanita Dan Pekerjaan: Satu Analisis Konflik Peranan*,” Akademika, July 1, 1985, https://www.semanticscholar.org/paper/WANITA-DAN-PEKERJAAN%3A-SATU-ANALISIS-KONFLIK-Abdullah/fbc9a4633aafe2de3656ce898b1cb5ba2d863a2f#citing-papers.","noteIndex":17},"citationItems":[{"id":1207,"uris":["http://zotero.org/users/local/YyjvkUwP/items/HGU5YXKD"],"itemData":{"id":1207,"type":"article-journal","abstract":"Social and economic chnn,qes in this cotmtvl have ctursed a diuersficali~~n ofrolu nmr1tr.q rcwma. Owing to their incolc(7n(+1/ in the public .rphm, wwomm not only oc(:lrpy .sf(rttr.v/,.t as mothers and wiues but also (1s professionals in their rr.~p~~ctiuefields.. A s n r/,.rr~lt ?f this. working women find if d$jcult fo meef the demands and role ~~xprcfafiotr.~ o f the given stasuses. T h q a d i u ~ t o the new situafion by adopting certain .slr(~t~;qir:v and in so doing reduce the role conflict that most of them experience.","container-title":"Akademika","source":"Semantic Scholar","title":"Wanita Dan Pekerjaan: Satu Analisis Konflik Peranan*","title-short":"Wanita dan Pekerjaan","URL":"https://www.semanticscholar.org/paper/WANITA-DAN-PEKERJAAN%3A-SATU-ANALISIS-KONFLIK-Abdullah/fbc9a4633aafe2de3656ce898b1cb5ba2d863a2f#citing-papers","author":[{"family":"Abdullah","given":"Fatima"}],"accessed":{"date-parts":[["2024",6,10]]},"issued":{"date-parts":[["1985",7,1]]}}}],"schema":"https://github.com/citation-style-language/schema/raw/master/csl-citation.json"} </w:instrText>
      </w:r>
      <w:r>
        <w:fldChar w:fldCharType="separate"/>
      </w:r>
      <w:r w:rsidRPr="004740A2">
        <w:t xml:space="preserve">Fatima Abdullah, “Wanita Dan Pekerjaan: Satu Analisis Konflik Peranan*,” </w:t>
      </w:r>
      <w:r w:rsidRPr="004740A2">
        <w:rPr>
          <w:i/>
          <w:iCs/>
        </w:rPr>
        <w:t>Akademika</w:t>
      </w:r>
      <w:r w:rsidRPr="004740A2">
        <w:t>, July 1, 1985, https://www.semanticscholar.org/paper/WANITA-DAN-PEKERJAAN%3A-SATU-ANALISIS-KONFLIK-Abdullah/fbc9a4633aafe2de3656ce898b1cb5ba2d863a2f#citing-papers.</w:t>
      </w:r>
      <w:r>
        <w:fldChar w:fldCharType="end"/>
      </w:r>
    </w:p>
  </w:footnote>
  <w:footnote w:id="18">
    <w:p w14:paraId="3630CC59" w14:textId="3F7A4753" w:rsidR="00C435F2" w:rsidRDefault="00C435F2" w:rsidP="00402D16">
      <w:pPr>
        <w:pStyle w:val="FootnoteText"/>
        <w:jc w:val="both"/>
      </w:pPr>
      <w:r>
        <w:rPr>
          <w:rStyle w:val="FootnoteReference"/>
        </w:rPr>
        <w:footnoteRef/>
      </w:r>
      <w:r>
        <w:t xml:space="preserve"> </w:t>
      </w:r>
      <w:r>
        <w:fldChar w:fldCharType="begin"/>
      </w:r>
      <w:r w:rsidR="00B06650">
        <w:instrText xml:space="preserve"> ADDIN ZOTERO_ITEM CSL_CITATION {"citationID":"Ksfjlww0","properties":{"formattedCitation":"Mohamed Nazreen Shahul Hamid et al., \\uc0\\u8220{}Malay Women\\uc0\\u8217{}s Challenges in Balancing Careers and Households: A Textual Analysis Study of Selected Short Stories by Zurinah Hassan,\\uc0\\u8221{} {\\i{}Cogent Arts &amp; Humanities} 10, no. 1 (December 31, 2023): 2259663, https://doi.org/10.1080/23311983.2023.2259663.","plainCitation":"Mohamed Nazreen Shahul Hamid et al., “Malay Women’s Challenges in Balancing Careers and Households: A Textual Analysis Study of Selected Short Stories by Zurinah Hassan,” Cogent Arts &amp; Humanities 10, no. 1 (December 31, 2023): 2259663, https://doi.org/10.1080/23311983.2023.2259663.","noteIndex":18},"citationItems":[{"id":1209,"uris":["http://zotero.org/users/local/YyjvkUwP/items/8ZMXSM9W"],"itemData":{"id":1209,"type":"article-journal","abstract":"Malay women today have experienced major changes in their careers. However, unlike men, they are still bound by the responsibility of managing their households, even though they have careers. Balancing between their careers and households is difficult, and they face various challenges, which have been highlighted by Malay women authors, the most prominent one being Zurinah Hassan. However, Zurinah Hassan’s short stories that discuss these issues have been scarcely studied, leaving a large research gap. As such, this study discusses the challenges faced by Malay women when balancing between their careers and households, as in Zurinah Hassan’s selected short stories. Guided by the conceptual framework of work-life balance, a textual analysis of Zurinah Hassan’s selected short stories shows that Malay women find it difficult to balance between their careers and home making. This is mainly because of challenges such as responsibility pressure from families and careers, lack of efficient time management, lack of support from family, and gender equality issues in the employment sector. This study is important as it show the issues and challenges faced by Malay women in maintaining and balancing their careers and households, from the perspective of women and based on the literature.","container-title":"Cogent Arts &amp; Humanities","DOI":"10.1080/23311983.2023.2259663","ISSN":"null","issue":"1","note":"publisher: Cogent OA\n_eprint: https://doi.org/10.1080/23311983.2023.2259663","page":"2259663","source":"Taylor and Francis+NEJM","title":"Malay Women’s Challenges in Balancing Careers and Households: A Textual Analysis Study of Selected Short Stories by Zurinah Hassan","title-short":"Malay women’s challenges in balancing careers and households","volume":"10","author":[{"family":"Shahul Hamid","given":"Mohamed Nazreen"},{"family":"Abdul Rahman","given":"Nadiatul Shakinah"},{"family":"Ali","given":"Rohaya Md."},{"family":"Karimon","given":"Jacquelina"}],"issued":{"date-parts":[["2023",12,31]]}}}],"schema":"https://github.com/citation-style-language/schema/raw/master/csl-citation.json"} </w:instrText>
      </w:r>
      <w:r>
        <w:fldChar w:fldCharType="separate"/>
      </w:r>
      <w:r w:rsidRPr="004740A2">
        <w:t xml:space="preserve">Mohamed Nazreen Shahul Hamid et al., “Malay Women’s Challenges in Balancing Careers and Households: A Textual Analysis Study of Selected Short Stories by Zurinah Hassan,” </w:t>
      </w:r>
      <w:r w:rsidRPr="004740A2">
        <w:rPr>
          <w:i/>
          <w:iCs/>
        </w:rPr>
        <w:t>Cogent Arts &amp; Humanities</w:t>
      </w:r>
      <w:r w:rsidRPr="004740A2">
        <w:t xml:space="preserve"> 10, no. 1 (December 31, 2023): 2259663, https://doi.org/10.1080/23311983.2023.2259663.</w:t>
      </w:r>
      <w:r>
        <w:fldChar w:fldCharType="end"/>
      </w:r>
    </w:p>
  </w:footnote>
  <w:footnote w:id="19">
    <w:p w14:paraId="3844F55E" w14:textId="22CDAEA8" w:rsidR="00C435F2" w:rsidRDefault="00C435F2" w:rsidP="00402D16">
      <w:pPr>
        <w:pStyle w:val="FootnoteText"/>
        <w:jc w:val="both"/>
      </w:pPr>
      <w:r>
        <w:rPr>
          <w:rStyle w:val="FootnoteReference"/>
        </w:rPr>
        <w:footnoteRef/>
      </w:r>
      <w:r>
        <w:t xml:space="preserve"> </w:t>
      </w:r>
      <w:r>
        <w:fldChar w:fldCharType="begin"/>
      </w:r>
      <w:r w:rsidR="00B06650">
        <w:instrText xml:space="preserve"> ADDIN ZOTERO_ITEM CSL_CITATION {"citationID":"Po9FtcGF","properties":{"formattedCitation":"Abdullah, \\uc0\\u8220{}Wanita Dan Pekerjaan.\\uc0\\u8221{}","plainCitation":"Abdullah, “Wanita Dan Pekerjaan.”","noteIndex":19},"citationItems":[{"id":1207,"uris":["http://zotero.org/users/local/YyjvkUwP/items/HGU5YXKD"],"itemData":{"id":1207,"type":"article-journal","abstract":"Social and economic chnn,qes in this cotmtvl have ctursed a diuersficali~~n ofrolu nmr1tr.q rcwma. Owing to their incolc(7n(+1/ in the public .rphm, wwomm not only oc(:lrpy .sf(rttr.v/,.t as mothers and wiues but also (1s professionals in their rr.~p~~ctiuefields.. A s n r/,.rr~lt ?f this. working women find if d$jcult fo meef the demands and role ~~xprcfafiotr.~ o f the given stasuses. T h q a d i u ~ t o the new situafion by adopting certain .slr(~t~;qir:v and in so doing reduce the role conflict that most of them experience.","container-title":"Akademika","source":"Semantic Scholar","title":"Wanita Dan Pekerjaan: Satu Analisis Konflik Peranan*","title-short":"Wanita dan Pekerjaan","URL":"https://www.semanticscholar.org/paper/WANITA-DAN-PEKERJAAN%3A-SATU-ANALISIS-KONFLIK-Abdullah/fbc9a4633aafe2de3656ce898b1cb5ba2d863a2f#citing-papers","author":[{"family":"Abdullah","given":"Fatima"}],"accessed":{"date-parts":[["2024",6,10]]},"issued":{"date-parts":[["1985",7,1]]}}}],"schema":"https://github.com/citation-style-language/schema/raw/master/csl-citation.json"} </w:instrText>
      </w:r>
      <w:r>
        <w:fldChar w:fldCharType="separate"/>
      </w:r>
      <w:r w:rsidRPr="0049065F">
        <w:t>Abdullah, “Wanita Dan Pekerjaan.”</w:t>
      </w:r>
      <w:r>
        <w:fldChar w:fldCharType="end"/>
      </w:r>
    </w:p>
  </w:footnote>
  <w:footnote w:id="20">
    <w:p w14:paraId="22E4B951" w14:textId="31F281C7" w:rsidR="00331642" w:rsidRDefault="00331642" w:rsidP="00402D16">
      <w:pPr>
        <w:pStyle w:val="FootnoteText"/>
        <w:jc w:val="both"/>
      </w:pPr>
      <w:r>
        <w:rPr>
          <w:rStyle w:val="FootnoteReference"/>
        </w:rPr>
        <w:footnoteRef/>
      </w:r>
      <w:r>
        <w:t xml:space="preserve"> </w:t>
      </w:r>
      <w:r>
        <w:fldChar w:fldCharType="begin"/>
      </w:r>
      <w:r w:rsidR="00B06650">
        <w:instrText xml:space="preserve"> ADDIN ZOTERO_ITEM CSL_CITATION {"citationID":"pAwqsgO1","properties":{"formattedCitation":"Peter J. Wilson, {\\i{}Malay Village and Malaysia: Social Values and Rural Development} (Human Relations Area Files, 1968).","plainCitation":"Peter J. Wilson, Malay Village and Malaysia: Social Values and Rural Development (Human Relations Area Files, 1968).","noteIndex":20},"citationItems":[{"id":1215,"uris":["http://zotero.org/users/local/YyjvkUwP/items/R8RYZ2FT"],"itemData":{"id":1215,"type":"book","abstract":"Book by Wilson, Peter J.","ISBN":"978-0-87536-322-6","language":"English","publisher":"Human Relations Area Files","source":"Amazon","title":"Malay Village and Malaysia: Social Values and Rural Development","title-short":"Malay Village and Malaysia","author":[{"family":"Wilson","given":"Peter J."}],"issued":{"date-parts":[["1968",1,1]]}}}],"schema":"https://github.com/citation-style-language/schema/raw/master/csl-citation.json"} </w:instrText>
      </w:r>
      <w:r>
        <w:fldChar w:fldCharType="separate"/>
      </w:r>
      <w:r w:rsidRPr="005D3CBF">
        <w:t xml:space="preserve">Peter J. Wilson, </w:t>
      </w:r>
      <w:r w:rsidRPr="005D3CBF">
        <w:rPr>
          <w:i/>
          <w:iCs/>
        </w:rPr>
        <w:t>Malay Village and Malaysia: Social Values and Rural Development</w:t>
      </w:r>
      <w:r w:rsidRPr="005D3CBF">
        <w:t xml:space="preserve"> (Human Relations Area Files, 1968).</w:t>
      </w:r>
      <w:r>
        <w:fldChar w:fldCharType="end"/>
      </w:r>
    </w:p>
  </w:footnote>
  <w:footnote w:id="21">
    <w:p w14:paraId="3C35918B" w14:textId="181AF138" w:rsidR="007E6CF9" w:rsidRDefault="007E6CF9" w:rsidP="00402D16">
      <w:pPr>
        <w:pStyle w:val="FootnoteText"/>
        <w:jc w:val="both"/>
      </w:pPr>
      <w:r>
        <w:rPr>
          <w:rStyle w:val="FootnoteReference"/>
        </w:rPr>
        <w:footnoteRef/>
      </w:r>
      <w:r>
        <w:t xml:space="preserve"> </w:t>
      </w:r>
      <w:r>
        <w:fldChar w:fldCharType="begin"/>
      </w:r>
      <w:r w:rsidR="00B06650">
        <w:instrText xml:space="preserve"> ADDIN ZOTERO_ITEM CSL_CITATION {"citationID":"A4Z6Hho8","properties":{"formattedCitation":"Tasnim Khan and Rana Ejaz Ali Khan, \\uc0\\u8220{}Urban Informal Sector: How Much Women Are Struggling for Family Survival,\\uc0\\u8221{} {\\i{}The Pakistan Development Review}, 2022, https://doi.org/10.30541/v48i1pp.67-95.","plainCitation":"Tasnim Khan and Rana Ejaz Ali Khan, “Urban Informal Sector: How Much Women Are Struggling for Family Survival,” The Pakistan Development Review, 2022, https://doi.org/10.30541/v48i1pp.67-95.","noteIndex":21},"citationItems":[{"id":1217,"uris":["http://zotero.org/users/local/YyjvkUwP/items/673G82V9"],"itemData":{"id":1217,"type":"article-journal","abstract":"The paper analyzed the contribution of informally employed women (for the age group of 16-60 years) in their household budget. The urban informal sector absorbs the women workers largely. What are the determinants of their contribution in their household budgets to make survival of the families is the core of the study. Applying OLS model on 937 observations it is found that women as head of household, women's education, and ownership of assets by woman have positive effect on contribution. The burden of the large family size, household poverty and loan availed by the household is shared by the informally employed women, as these variables positively affect their contribution. Age of the woman has a non-linear effect on woman's contribution. First the contribution increases and then decreases by increase in age of the woman. Married women and women living in nuclear families contribute more to household budget. The household per capita income and number of children (5-15 years) in the household have shown negative effect on contribution of women in household budget. The household's economic vulnerability due to unemployment of husband and lower productivity caused by lower education of husband is also largely shared by the urban informally employed women, i.e. they struggle more for family survival. However, number of adult males in the household decreases the volume of contribution of woman and burden on woman is relaxed.","container-title":"The Pakistan Development Review","DOI":"10.30541/v48i1pp.67-95","language":"en","source":"scite.ai","title":"Urban Informal Sector: How Much Women Are Struggling for Family Survival","title-short":"Urban Informal Sector","URL":"https://doi.org/10.30541/v48i1pp.67-95","author":[{"family":"Khan","given":"Tasnim"},{"family":"Khan","given":"Rana Ejaz Ali"}],"accessed":{"date-parts":[["2024",6,10]]},"issued":{"date-parts":[["2022"]]}}}],"schema":"https://github.com/citation-style-language/schema/raw/master/csl-citation.json"} </w:instrText>
      </w:r>
      <w:r>
        <w:fldChar w:fldCharType="separate"/>
      </w:r>
      <w:r w:rsidRPr="009B1129">
        <w:t xml:space="preserve">Tasnim Khan and Rana Ejaz Ali Khan, “Urban Informal Sector: How Much Women Are Struggling for Family Survival,” </w:t>
      </w:r>
      <w:r w:rsidRPr="009B1129">
        <w:rPr>
          <w:i/>
          <w:iCs/>
        </w:rPr>
        <w:t>The Pakistan Development Review</w:t>
      </w:r>
      <w:r w:rsidRPr="009B1129">
        <w:t>, 2022, https://doi.org/10.30541/v48i1pp.67-95.</w:t>
      </w:r>
      <w:r>
        <w:fldChar w:fldCharType="end"/>
      </w:r>
    </w:p>
  </w:footnote>
  <w:footnote w:id="22">
    <w:p w14:paraId="5D71EF40" w14:textId="6116DCCE" w:rsidR="00C966FF" w:rsidRDefault="00C966FF" w:rsidP="00402D16">
      <w:pPr>
        <w:pStyle w:val="FootnoteText"/>
        <w:jc w:val="both"/>
      </w:pPr>
      <w:r>
        <w:rPr>
          <w:rStyle w:val="FootnoteReference"/>
        </w:rPr>
        <w:footnoteRef/>
      </w:r>
      <w:r>
        <w:t xml:space="preserve"> </w:t>
      </w:r>
      <w:r>
        <w:fldChar w:fldCharType="begin"/>
      </w:r>
      <w:r w:rsidR="00B06650">
        <w:instrText xml:space="preserve"> ADDIN ZOTERO_ITEM CSL_CITATION {"citationID":"3dnyaSI3","properties":{"formattedCitation":"Sonia Akter et al., \\uc0\\u8220{}Women\\uc0\\u8217{}s Empowerment and Gender Equity in Agriculture: A Different Perspective from Southeast Asia,\\uc0\\u8221{} {\\i{}Food Policy} 69 (May 1, 2017): 270\\uc0\\u8211{}79, https://doi.org/10.1016/j.foodpol.2017.05.003.","plainCitation":"Sonia Akter et al., “Women’s Empowerment and Gender Equity in Agriculture: A Different Perspective from Southeast Asia,” Food Policy 69 (May 1, 2017): 270–79, https://doi.org/10.1016/j.foodpol.2017.05.003.","noteIndex":22},"citationItems":[{"id":1230,"uris":["http://zotero.org/users/local/YyjvkUwP/items/HUMVBIEP"],"itemData":{"id":1230,"type":"article-journal","abstract":"Women’s empowerment is considered a ‘prerequisite’ to achieving global food security. Gender systems, however, are diverse and complex. The nature and extent of gender inequity and the conditions necessary to empower women vary across countries, communities and regions. The study of different gender systems is thus fundamental to capture cross-cultural variations in gender specific needs and constraints to effectively address gender gaps. Although the status of women in agriculture has received extensive attention in the literature in recent decades, a research gap persists regarding the state of gender inequity in Southeast Asian agriculture. The current paper contributes to the geographical scope of the literature by presenting empirical evidence of gender inequity from four Southeast Asian countries: Myanmar, Thailand, Indonesia and the Philippines. Using the framework recommended by the Women’s Empowerment in Agriculture Index (WEAI), 37 focus group discussions were conducted with 290 women farmers in the above mentioned countries. The results reveal trends that contradict the conventional narratives of gender inequity in agriculture in certain domains of empowerment. In all four countries, women appear to have equal access to productive resources such as land and inputs, and greater control over household income than men. Important intra-regional heterogeneity is observed in terms of community-level empowerment. While women play an active role in agricultural groups in Thailand and in the Philippines, this is predominantly men’s territory in Indonesia and Myanmar. These findings imply that country-specific gender intervention frameworks are necessary to overcome gender gaps in agriculture.","container-title":"Food Policy","DOI":"10.1016/j.foodpol.2017.05.003","ISSN":"0306-9192","journalAbbreviation":"Food Policy","page":"270-279","source":"ScienceDirect","title":"Women’s Empowerment and Gender Equity in Agriculture: A Different Perspective from Southeast Asia","title-short":"Women’s empowerment and gender equity in agriculture","volume":"69","author":[{"family":"Akter","given":"Sonia"},{"family":"Rutsaert","given":"Pieter"},{"family":"Luis","given":"Joyce"},{"family":"Htwe","given":"Nyo Me"},{"family":"San","given":"Su Su"},{"family":"Raharjo","given":"Budi"},{"family":"Pustika","given":"Arlyna"}],"issued":{"date-parts":[["2017",5,1]]}}}],"schema":"https://github.com/citation-style-language/schema/raw/master/csl-citation.json"} </w:instrText>
      </w:r>
      <w:r>
        <w:fldChar w:fldCharType="separate"/>
      </w:r>
      <w:r w:rsidRPr="00DB06FC">
        <w:t xml:space="preserve">Sonia Akter et al., “Women’s Empowerment and Gender Equity in Agriculture: A Different Perspective from Southeast Asia,” </w:t>
      </w:r>
      <w:r w:rsidRPr="00DB06FC">
        <w:rPr>
          <w:i/>
          <w:iCs/>
        </w:rPr>
        <w:t>Food Policy</w:t>
      </w:r>
      <w:r w:rsidRPr="00DB06FC">
        <w:t xml:space="preserve"> 69 (May 1, 2017): 270–79, https://doi.org/10.1016/j.foodpol.2017.05.003.</w:t>
      </w:r>
      <w:r>
        <w:fldChar w:fldCharType="end"/>
      </w:r>
    </w:p>
  </w:footnote>
  <w:footnote w:id="23">
    <w:p w14:paraId="0D250891" w14:textId="59938B2B" w:rsidR="007E6CF9" w:rsidRDefault="007E6CF9" w:rsidP="00402D16">
      <w:pPr>
        <w:pStyle w:val="FootnoteText"/>
        <w:jc w:val="both"/>
      </w:pPr>
      <w:r>
        <w:rPr>
          <w:rStyle w:val="FootnoteReference"/>
        </w:rPr>
        <w:footnoteRef/>
      </w:r>
      <w:r>
        <w:t xml:space="preserve"> </w:t>
      </w:r>
      <w:r>
        <w:fldChar w:fldCharType="begin"/>
      </w:r>
      <w:r w:rsidR="00B06650">
        <w:instrText xml:space="preserve"> ADDIN ZOTERO_ITEM CSL_CITATION {"citationID":"5VIAOv9V","properties":{"formattedCitation":"Raihan Chaerani Putri Budiman, Dhara Cita Rafeina, and Amelia PSDA Arintyas, \\uc0\\u8220{}Gender-Based Development Discourse and Its Impact on Women Informal Workers in Yogyakarta,\\uc0\\u8221{} {\\i{}Populasi} 31, no. 2 (2023), https://jurnal.ugm.ac.id/populasi/article/download/92550/38238.","plainCitation":"Raihan Chaerani Putri Budiman, Dhara Cita Rafeina, and Amelia PSDA Arintyas, “Gender-Based Development Discourse and Its Impact on Women Informal Workers in Yogyakarta,” Populasi 31, no. 2 (2023), https://jurnal.ugm.ac.id/populasi/article/download/92550/38238.","noteIndex":23},"citationItems":[{"id":1220,"uris":["http://zotero.org/users/local/YyjvkUwP/items/QR3EJS8Z"],"itemData":{"id":1220,"type":"article-journal","abstract":"Gender-based development in its implementation has challenges along with its\ncharacteristics, to be specific in efforts to achieve gender equality. Gender discrimination still\noccurs in Indonesia. It has become a culture in society which increasingly places women in a\nmarginalized position. In this case, gender-based development is one of the main goals of the\ncountry’s development, as stated in the 2005-2025 RPJPN. Gender-appropriate roles need\nto be supported by efforts to optimize the role of women to bring about active participation\nin the development and eliminate inequality experienced by women. One way to realize\ngender-based development is through empowering women in informal work. The method\nused is qualitative, and data collection is carried out through semi-structured interviews\nand content analysis on media which that refer to the topic. The data is analyzed using\nthe Miles and Huberman models with data reduction, data display, conclusions drawing/\nverification, and given recommendations. The results of this study indicate that genderbased development in D.I. Yogyakarta has yet to succeed in reaching the understanding of\nthe community, especially women informal workers.","container-title":"Populasi","issue":"2","title":"Gender-Based Development Discourse and Its Impact on Women Informal Workers in Yogyakarta","URL":"https://jurnal.ugm.ac.id/populasi/article/download/92550/38238","volume":"31","author":[{"family":"Budiman","given":"Raihan Chaerani Putri"},{"family":"Rafeina","given":"Dhara Cita"},{"family":"Arintyas","given":"Amelia PSDA"}],"issued":{"date-parts":[["2023"]]}}}],"schema":"https://github.com/citation-style-language/schema/raw/master/csl-citation.json"} </w:instrText>
      </w:r>
      <w:r>
        <w:fldChar w:fldCharType="separate"/>
      </w:r>
      <w:r w:rsidRPr="00B137AA">
        <w:t xml:space="preserve">Raihan Chaerani Putri Budiman, Dhara Cita Rafeina, and Amelia PSDA Arintyas, “Gender-Based Development Discourse and Its Impact on Women Informal Workers in Yogyakarta,” </w:t>
      </w:r>
      <w:r w:rsidRPr="00B137AA">
        <w:rPr>
          <w:i/>
          <w:iCs/>
        </w:rPr>
        <w:t>Populasi</w:t>
      </w:r>
      <w:r w:rsidRPr="00B137AA">
        <w:t xml:space="preserve"> 31, no. 2 (2023), https://jurnal.ugm.ac.id/populasi/article/download/92550/38238.</w:t>
      </w:r>
      <w:r>
        <w:fldChar w:fldCharType="end"/>
      </w:r>
    </w:p>
  </w:footnote>
  <w:footnote w:id="24">
    <w:p w14:paraId="0622992A" w14:textId="01708E91" w:rsidR="00895327" w:rsidRDefault="00895327" w:rsidP="00402D16">
      <w:pPr>
        <w:pStyle w:val="FootnoteText"/>
        <w:jc w:val="both"/>
      </w:pPr>
      <w:r>
        <w:rPr>
          <w:rStyle w:val="FootnoteReference"/>
        </w:rPr>
        <w:footnoteRef/>
      </w:r>
      <w:r>
        <w:t xml:space="preserve"> </w:t>
      </w:r>
      <w:r>
        <w:fldChar w:fldCharType="begin"/>
      </w:r>
      <w:r w:rsidR="00B06650">
        <w:instrText xml:space="preserve"> ADDIN ZOTERO_ITEM CSL_CITATION {"citationID":"bXQTf8CI","properties":{"formattedCitation":"Mohammad Enamul Hoque and Mohd Azlan Shah Zaidi, \\uc0\\u8220{}The Impacts of Global Economic Policy Uncertainty on Stock Market Returns in Regime Switching Environment: Evidence from Sectoral Perspectives,\\uc0\\u8221{} {\\i{}International Journal of Finance &amp;Amp; Economics} 24, no. 2 (2018), https://doi.org/10.1002/ijfe.1702.","plainCitation":"Mohammad Enamul Hoque and Mohd Azlan Shah Zaidi, “The Impacts of Global Economic Policy Uncertainty on Stock Market Returns in Regime Switching Environment: Evidence from Sectoral Perspectives,” International Journal of Finance &amp;Amp; Economics 24, no. 2 (2018), https://doi.org/10.1002/ijfe.1702.","noteIndex":24},"citationItems":[{"id":1221,"uris":["http://zotero.org/users/local/YyjvkUwP/items/J9SPY7XY"],"itemData":{"id":1221,"type":"article-journal","abstract":"This study contributes in building emerging literature by investigating the impacts of global economic policy uncertainty on Malaysian sectoral stock performance. This study models sectoral stock returns as time‐varying transition probability Markovian processes and employs two‐stage Markov‐switching model for findings impacts of global economic policy uncertainty on sectoral stock returns in regime switching environment. The empirical results reveal that linear framework unable to detect the effects global economic policy uncertainty, and the Markov‐switching model exhibits significant effects of global economic policy uncertainty on all sectoral stock returns excluding technology sector in Malaysia stock market. The findings also expose that the effects of global economic policy uncertainty vary across regime states, sectors, and nature of effects, where the negative effects of global economic policy uncertainty dominate over positive effects. The global economic policy uncertainty exhibits greater impacts on stock returns in high‐volatility regime. Thus, the findings confirm the existence of asymmetric, nonlinear, nonmonotonic, and state‐dependent relationship between global economic policy uncertainty and sectoral stock returns in Malaysia. Therefore, the overall empirical findings can be applied in asset pricing and investment decision‐making purposes. The findings also suggest that global economic policy uncertainty can be a systemic risk factor and predictor of stock market returns.","container-title":"International Journal of Finance &amp;Amp; Economics","DOI":"10.1002/ijfe.1702","issue":"2","language":"en","source":"scite.ai","title":"The Impacts of Global Economic Policy Uncertainty on Stock market returns in regime Switching Environment: Evidence from Sectoral Perspectives","title-short":"The impacts of global economic policy uncertainty on stock market returns in regime switching environment","URL":"https://doi.org/10.1002/ijfe.1702","volume":"24","author":[{"family":"Hoque","given":"Mohammad Enamul"},{"family":"Zaidi","given":"Mohd Azlan Shah"}],"accessed":{"date-parts":[["2024",6,11]]},"issued":{"date-parts":[["2018"]]}}}],"schema":"https://github.com/citation-style-language/schema/raw/master/csl-citation.json"} </w:instrText>
      </w:r>
      <w:r>
        <w:fldChar w:fldCharType="separate"/>
      </w:r>
      <w:r w:rsidRPr="00896362">
        <w:t xml:space="preserve">Mohammad Enamul Hoque and Mohd Azlan Shah Zaidi, “The Impacts of Global Economic Policy Uncertainty on Stock Market Returns in Regime Switching Environment: Evidence from Sectoral Perspectives,” </w:t>
      </w:r>
      <w:r w:rsidRPr="00896362">
        <w:rPr>
          <w:i/>
          <w:iCs/>
        </w:rPr>
        <w:t>International Journal of Finance &amp;Amp; Economics</w:t>
      </w:r>
      <w:r w:rsidRPr="00896362">
        <w:t xml:space="preserve"> 24, no. 2 (2018), https://doi.org/10.1002/ijfe.1702.</w:t>
      </w:r>
      <w:r>
        <w:fldChar w:fldCharType="end"/>
      </w:r>
    </w:p>
  </w:footnote>
  <w:footnote w:id="25">
    <w:p w14:paraId="26CEBCED" w14:textId="020BDC44" w:rsidR="00FF545E" w:rsidRDefault="00FF545E" w:rsidP="00402D16">
      <w:pPr>
        <w:pStyle w:val="FootnoteText"/>
        <w:jc w:val="both"/>
      </w:pPr>
      <w:r>
        <w:rPr>
          <w:rStyle w:val="FootnoteReference"/>
        </w:rPr>
        <w:footnoteRef/>
      </w:r>
      <w:r>
        <w:t xml:space="preserve"> </w:t>
      </w:r>
      <w:r>
        <w:fldChar w:fldCharType="begin"/>
      </w:r>
      <w:r w:rsidR="00B06650">
        <w:instrText xml:space="preserve"> ADDIN ZOTERO_ITEM CSL_CITATION {"citationID":"Sks2aDbZ","properties":{"formattedCitation":"Akter et al., \\uc0\\u8220{}Women\\uc0\\u8217{}s Empowerment and Gender Equity in Agriculture.\\uc0\\u8221{}","plainCitation":"Akter et al., “Women’s Empowerment and Gender Equity in Agriculture.”","noteIndex":25},"citationItems":[{"id":1230,"uris":["http://zotero.org/users/local/YyjvkUwP/items/HUMVBIEP"],"itemData":{"id":1230,"type":"article-journal","abstract":"Women’s empowerment is considered a ‘prerequisite’ to achieving global food security. Gender systems, however, are diverse and complex. The nature and extent of gender inequity and the conditions necessary to empower women vary across countries, communities and regions. The study of different gender systems is thus fundamental to capture cross-cultural variations in gender specific needs and constraints to effectively address gender gaps. Although the status of women in agriculture has received extensive attention in the literature in recent decades, a research gap persists regarding the state of gender inequity in Southeast Asian agriculture. The current paper contributes to the geographical scope of the literature by presenting empirical evidence of gender inequity from four Southeast Asian countries: Myanmar, Thailand, Indonesia and the Philippines. Using the framework recommended by the Women’s Empowerment in Agriculture Index (WEAI), 37 focus group discussions were conducted with 290 women farmers in the above mentioned countries. The results reveal trends that contradict the conventional narratives of gender inequity in agriculture in certain domains of empowerment. In all four countries, women appear to have equal access to productive resources such as land and inputs, and greater control over household income than men. Important intra-regional heterogeneity is observed in terms of community-level empowerment. While women play an active role in agricultural groups in Thailand and in the Philippines, this is predominantly men’s territory in Indonesia and Myanmar. These findings imply that country-specific gender intervention frameworks are necessary to overcome gender gaps in agriculture.","container-title":"Food Policy","DOI":"10.1016/j.foodpol.2017.05.003","ISSN":"0306-9192","journalAbbreviation":"Food Policy","page":"270-279","source":"ScienceDirect","title":"Women’s Empowerment and Gender Equity in Agriculture: A Different Perspective from Southeast Asia","title-short":"Women’s empowerment and gender equity in agriculture","volume":"69","author":[{"family":"Akter","given":"Sonia"},{"family":"Rutsaert","given":"Pieter"},{"family":"Luis","given":"Joyce"},{"family":"Htwe","given":"Nyo Me"},{"family":"San","given":"Su Su"},{"family":"Raharjo","given":"Budi"},{"family":"Pustika","given":"Arlyna"}],"issued":{"date-parts":[["2017",5,1]]}}}],"schema":"https://github.com/citation-style-language/schema/raw/master/csl-citation.json"} </w:instrText>
      </w:r>
      <w:r>
        <w:fldChar w:fldCharType="separate"/>
      </w:r>
      <w:r w:rsidRPr="001F30B1">
        <w:t>Akter et al., “Women’s Empowerment and Gender Equity in Agriculture.”</w:t>
      </w:r>
      <w:r>
        <w:fldChar w:fldCharType="end"/>
      </w:r>
    </w:p>
  </w:footnote>
  <w:footnote w:id="26">
    <w:p w14:paraId="61FE31B4" w14:textId="3E60358D" w:rsidR="00C966FF" w:rsidRDefault="00C966FF" w:rsidP="00402D16">
      <w:pPr>
        <w:pStyle w:val="FootnoteText"/>
        <w:jc w:val="both"/>
      </w:pPr>
      <w:r>
        <w:rPr>
          <w:rStyle w:val="FootnoteReference"/>
        </w:rPr>
        <w:footnoteRef/>
      </w:r>
      <w:r>
        <w:t xml:space="preserve"> </w:t>
      </w:r>
      <w:r>
        <w:fldChar w:fldCharType="begin"/>
      </w:r>
      <w:r w:rsidR="00B06650">
        <w:instrText xml:space="preserve"> ADDIN ZOTERO_ITEM CSL_CITATION {"citationID":"NJhMIQqd","properties":{"formattedCitation":"Pitrotussaadah Pitrotussaadah, Eva Fadhilah, and Faisal Zulfikar, \\uc0\\u8220{}Islamic Law and Gender: A Misconception of Roles and Responsibilities in Parenting,\\uc0\\u8221{} {\\i{}De Jure: Jurnal Hukum Dan Syar\\uc0\\u8217{}iah} 15, no. 2 (December 31, 2023): 331\\uc0\\u8211{}42, https://doi.org/10.18860/j-fsh.v15i2.23868.","plainCitation":"Pitrotussaadah Pitrotussaadah, Eva Fadhilah, and Faisal Zulfikar, “Islamic Law and Gender: A Misconception of Roles and Responsibilities in Parenting,” De Jure: Jurnal Hukum Dan Syar’iah 15, no. 2 (December 31, 2023): 331–42, https://doi.org/10.18860/j-fsh.v15i2.23868.","noteIndex":26},"citationItems":[{"id":1246,"uris":["http://zotero.org/users/local/YyjvkUwP/items/W8ALMQI5"],"itemData":{"id":1246,"type":"article-journal","abstract":"Parenting roles and responsibilities are often influenced by gender stereotypes that exist in society. There are different expectations and demands on the roles of men and women in parenting. For instance, women (mothers) are often considered primarily responsible for caring for and educating children, while men (fathers) are considered more as breadwinners and leaders of the family. Additionally, it is frequently questioned when a father bears a child while away from the child's mother. This study seeks to evaluate and examine the notion of roles and responsibilities in parenting from the perspective of gender equality and Islamic law, employing a library research method (descriptive analysis research) that involves objectively assessing and describing occurrences. According to the findings of the study, parenting plays a significant role in the personality development and formation of children. According to a gender perspective, both mothers and fathers have the same role in raising children. According to the perspective of Islamic law, parenting is based on religious teachings which provide guidelines on how to educate children in an Islamic way. Parents are expected to carry out parenting responsibilities by taking into account Islamic values, including respecting children's rights under religious teachings. Keywords: parenting; Islamic law; gender.","container-title":"De Jure: Jurnal Hukum dan Syar'iah","DOI":"10.18860/j-fsh.v15i2.23868","ISSN":"2528-1658","issue":"2","language":"en","license":"Copyright (c) 2023 Pitrotussaadah et al","note":"number: 2","page":"331-342","source":"ejournal.uin-malang.ac.id","title":"Islamic Law and Gender: a Misconception of Roles and Responsibilities in Parenting","title-short":"Islamic Law and Gender","volume":"15","author":[{"family":"Pitrotussaadah","given":"Pitrotussaadah"},{"family":"Fadhilah","given":"Eva"},{"family":"Zulfikar","given":"Faisal"}],"issued":{"date-parts":[["2023",12,31]]}}}],"schema":"https://github.com/citation-style-language/schema/raw/master/csl-citation.json"} </w:instrText>
      </w:r>
      <w:r>
        <w:fldChar w:fldCharType="separate"/>
      </w:r>
      <w:r w:rsidRPr="001F30B1">
        <w:t xml:space="preserve">Pitrotussaadah Pitrotussaadah, Eva Fadhilah, and Faisal Zulfikar, “Islamic Law and Gender: A Misconception of Roles and Responsibilities in Parenting,” </w:t>
      </w:r>
      <w:r w:rsidRPr="001F30B1">
        <w:rPr>
          <w:i/>
          <w:iCs/>
        </w:rPr>
        <w:t>De Jure: Jurnal Hukum Dan Syar’iah</w:t>
      </w:r>
      <w:r w:rsidRPr="001F30B1">
        <w:t xml:space="preserve"> 15, no. 2 (December 31, 2023): 331–42, https://doi.org/10.18860/j-fsh.v15i2.23868.</w:t>
      </w:r>
      <w:r>
        <w:fldChar w:fldCharType="end"/>
      </w:r>
    </w:p>
  </w:footnote>
  <w:footnote w:id="27">
    <w:p w14:paraId="1DAAC242" w14:textId="04F41AC6" w:rsidR="00FF545E" w:rsidRDefault="00FF545E" w:rsidP="00402D16">
      <w:pPr>
        <w:pStyle w:val="FootnoteText"/>
        <w:jc w:val="both"/>
      </w:pPr>
      <w:r>
        <w:rPr>
          <w:rStyle w:val="FootnoteReference"/>
        </w:rPr>
        <w:footnoteRef/>
      </w:r>
      <w:r>
        <w:t xml:space="preserve"> </w:t>
      </w:r>
      <w:r>
        <w:fldChar w:fldCharType="begin"/>
      </w:r>
      <w:r w:rsidR="00B06650">
        <w:instrText xml:space="preserve"> ADDIN ZOTERO_ITEM CSL_CITATION {"citationID":"f013zqnf","properties":{"formattedCitation":"Shinta Dewi Rismawati et al., \\uc0\\u8220{}Legal Practices of Employment Agreements, Power Relations, and Identity Politics of Indonesian Women Domestic Workers,\\uc0\\u8221{} {\\i{}Samarah: Jurnal Hukum Keluarga Dan Hukum Islam} 7, no. 2 (May 9, 2023): 801, https://doi.org/10.22373/sjhk.v7i2.15349.","plainCitation":"Shinta Dewi Rismawati et al., “Legal Practices of Employment Agreements, Power Relations, and Identity Politics of Indonesian Women Domestic Workers,” Samarah: Jurnal Hukum Keluarga Dan Hukum Islam 7, no. 2 (May 9, 2023): 801, https://doi.org/10.22373/sjhk.v7i2.15349.","noteIndex":27},"citationItems":[{"id":1251,"uris":["http://zotero.org/users/local/YyjvkUwP/items/XVCS47DH"],"itemData":{"id":1251,"type":"article-journal","abstract":"This research aims to analyze the legal practice of the employment agreement of women domestic workers when they enter into a work contract with their employers in Surakarta City, then to identify patterns of power relations between women domestic workers and their employers when they make their work agreements, and finally to explain the identity politics that attached to women domestic workers when they work in their employer's family. To analyze this phenomenon, a socio-legal study with a qualitative research approach is used. The results of the study show that the practice of working agreements between women domestic workers and their employers even though the work agreements are made in unwriiten, but in fact the values are in accordance with the essence of contract law as regulated in the provisions of the Civil Code (KUHPerdata).  The work agreement shows a contractual and contextual dimension. The working relationship between them is based on a sense of interdependence and high trust between one another. This pattern of giving and receiving can ultimately able to reflect the existence of an equal power relationship between the two when making a work agreement. Even though women domestic workers have been labeled as helpless, they have a confident character and are autonomous in completing their work agreements. This equal relationship can make the relationship between the two very close and intense. This condition has implications for the political transformation of the identity of women domestic workers from outsiders who become part of the insider of the temporary employer's family","container-title":"Samarah: Jurnal Hukum Keluarga dan Hukum Islam","DOI":"10.22373/sjhk.v7i2.15349","ISSN":"2549-3167, 2549-3132","issue":"2","journalAbbreviation":"SAMARAH","language":"en","license":"http://creativecommons.org/licenses/by-sa/4.0","page":"801","source":"DOI.org (Crossref)","title":"Legal Practices of Employment Agreements, Power Relations, and Identity Politics of Indonesian Women Domestic Workers","volume":"7","author":[{"family":"Rismawati","given":"Shinta Dewi"},{"family":"Rahmawati","given":"Rita"},{"family":"Devy","given":"Happy Sista"},{"family":"Septiadi","given":"Muhammad Andi"},{"family":"Thoha","given":"Silvia Milady Azkiya"}],"issued":{"date-parts":[["2023",5,9]]}}}],"schema":"https://github.com/citation-style-language/schema/raw/master/csl-citation.json"} </w:instrText>
      </w:r>
      <w:r>
        <w:fldChar w:fldCharType="separate"/>
      </w:r>
      <w:r w:rsidRPr="000B22A6">
        <w:t xml:space="preserve">Shinta Dewi Rismawati et al., “Legal Practices of Employment Agreements, Power Relations, and Identity Politics of Indonesian Women Domestic Workers,” </w:t>
      </w:r>
      <w:r w:rsidRPr="000B22A6">
        <w:rPr>
          <w:i/>
          <w:iCs/>
        </w:rPr>
        <w:t>Samarah: Jurnal Hukum Keluarga Dan Hukum Islam</w:t>
      </w:r>
      <w:r w:rsidRPr="000B22A6">
        <w:t xml:space="preserve"> 7, no. 2 (May 9, 2023): 801, https://doi.org/10.22373/sjhk.v7i2.15349.</w:t>
      </w:r>
      <w:r>
        <w:fldChar w:fldCharType="end"/>
      </w:r>
    </w:p>
  </w:footnote>
  <w:footnote w:id="28">
    <w:p w14:paraId="6027392E" w14:textId="1ECD8945" w:rsidR="00FF545E" w:rsidRDefault="00FF545E" w:rsidP="00402D16">
      <w:pPr>
        <w:pStyle w:val="FootnoteText"/>
        <w:jc w:val="both"/>
      </w:pPr>
      <w:r>
        <w:rPr>
          <w:rStyle w:val="FootnoteReference"/>
        </w:rPr>
        <w:footnoteRef/>
      </w:r>
      <w:r>
        <w:t xml:space="preserve"> </w:t>
      </w:r>
      <w:r>
        <w:fldChar w:fldCharType="begin"/>
      </w:r>
      <w:r w:rsidR="00B06650">
        <w:instrText xml:space="preserve"> ADDIN ZOTERO_ITEM CSL_CITATION {"citationID":"eBwjplOQ","properties":{"formattedCitation":"Harn Shian Boo, \\uc0\\u8220{}Gender Norms and Gender Inequality in Unpaid Domestic Work among Malay Couples in Malaysia,\\uc0\\u8221{} {\\i{}Pertanika Journal of Social Sciences and Humanities} 29, no. 4 (December 3, 2021): 2353\\uc0\\u8211{}69, https://doi.org/10.47836/pjssh.29.4.14.","plainCitation":"Harn Shian Boo, “Gender Norms and Gender Inequality in Unpaid Domestic Work among Malay Couples in Malaysia,” Pertanika Journal of Social Sciences and Humanities 29, no. 4 (December 3, 2021): 2353–69, https://doi.org/10.47836/pjssh.29.4.14.","noteIndex":28},"citationItems":[{"id":1235,"uris":["http://zotero.org/users/local/YyjvkUwP/items/HSFBSMK8"],"itemData":{"id":1235,"type":"article-journal","abstract":"This article explores how gender norms rooted in culture and religion influence gender inequality among Malay couples in Malaysia. Studies on the unbalanced division of unpaid domestic work are pivotal because they negatively affect women’s economic status, wellbeing and life. Many studies have indicated that gender inequality in the division of household labour persists even after accounting for paid work time and resources, suggesting that gender norms lead to the unequal division in unpaid domestic work. By using gender perspective as the theoretical perspective, this study explores how men and women behave according to cultural and religious defined gender roles and are expected to behave as such. In this qualitative study, semi-structured interviews were conducted with nine Malay couples in Malaysia. The study suggests that women shoulder a disproportionate amount of housework and childcare due to the cultural and religious gender norms that foster the prescribed roles, emphasising men’s role as the primary breadwinners and women’s role as the homemakers. This study highlights that gender norms rooted in culture and religion plays vital roles in creating gender inequality among Malay couples. Moreover, this study adds support to the gender perspective that not only gender role ideology matter, but also highlights that religiosity matters when accounting for gender norms in Malay society. This study implies that recognising the importance of cultural and religious gender norms around domestic work as women’s work is crucial in narrowing the gender gap in unpaid domestic work.","container-title":"Pertanika Journal of Social Sciences and Humanities","DOI":"10.47836/pjssh.29.4.14","ISSN":"2231-8534","issue":"4","journalAbbreviation":"JSSH","language":"en","page":"2353-2369","source":"DOI.org (Crossref)","title":"Gender Norms and Gender Inequality in Unpaid Domestic Work among Malay Couples in Malaysia","volume":"29","author":[{"family":"Boo","given":"Harn Shian"}],"issued":{"date-parts":[["2021",12,3]]}}}],"schema":"https://github.com/citation-style-language/schema/raw/master/csl-citation.json"} </w:instrText>
      </w:r>
      <w:r>
        <w:fldChar w:fldCharType="separate"/>
      </w:r>
      <w:r w:rsidRPr="00762EA9">
        <w:t xml:space="preserve">Harn Shian Boo, “Gender Norms and Gender Inequality in Unpaid Domestic Work among Malay Couples in Malaysia,” </w:t>
      </w:r>
      <w:r w:rsidRPr="00762EA9">
        <w:rPr>
          <w:i/>
          <w:iCs/>
        </w:rPr>
        <w:t>Pertanika Journal of Social Sciences and Humanities</w:t>
      </w:r>
      <w:r w:rsidRPr="00762EA9">
        <w:t xml:space="preserve"> 29, no. 4 (December 3, 2021): 2353–69, https://doi.org/10.47836/pjssh.29.4.14.</w:t>
      </w:r>
      <w:r>
        <w:fldChar w:fldCharType="end"/>
      </w:r>
    </w:p>
  </w:footnote>
  <w:footnote w:id="29">
    <w:p w14:paraId="2B9CC08B" w14:textId="77777777" w:rsidR="00FF545E" w:rsidRDefault="00FF545E" w:rsidP="00402D16">
      <w:pPr>
        <w:pStyle w:val="FootnoteText"/>
        <w:jc w:val="both"/>
      </w:pPr>
      <w:r>
        <w:rPr>
          <w:rStyle w:val="FootnoteReference"/>
        </w:rPr>
        <w:footnoteRef/>
      </w:r>
      <w:r>
        <w:t xml:space="preserve"> </w:t>
      </w:r>
      <w:r>
        <w:fldChar w:fldCharType="begin"/>
      </w:r>
      <w:r>
        <w:instrText xml:space="preserve"> ADDIN ZOTERO_ITEM CSL_CITATION {"citationID":"r7xrSb1Y","properties":{"formattedCitation":"Siti Zulaikha, Muhamad Nasrudin, and Enny Puji Lestari, \\uc0\\u8220{}Dialectic of Public Sphere vs. Private Sphere in Millennial Families in Lampung Customary Law Community,\\uc0\\u8221{} {\\i{}Samarah: Jurnal Hukum Keluarga Dan Hukum Islam} 5, no. 2 (December 26, 2021): 928, https://doi.org/10.22373/sjhk.v5i2.9150.","plainCitation":"Siti Zulaikha, Muhamad Nasrudin, and Enny Puji Lestari, “Dialectic of Public Sphere vs. Private Sphere in Millennial Families in Lampung Customary Law Community,” Samarah: Jurnal Hukum Keluarga Dan Hukum Islam 5, no. 2 (December 26, 2021): 928, https://doi.org/10.22373/sjhk.v5i2.9150.","noteIndex":29},"citationItems":[{"id":1253,"uris":["http://zotero.org/users/local/YyjvkUwP/items/XM2DP5UY"],"itemData":{"id":1253,"type":"article-journal","abstract":"Lampung’s patriarchal customary law faces severe challenges from the millennial generation, who constitute more than 29% of the total population of Lampung. This challenge is based on the fundamental character of the millennial generation, who are open-minded and obtain the opportunity of having an interethnic marriage. This article maps the dialectic of the public sphere vs. private sphere in millennial families in the Lampung customary law community and how women’s strategies survive the confines of patriarchy. This article explored data from a millennial married couple who live in four districts/cities in Lampung using a qualitative, socio-legal study approach standing with ten principles of marriage on happy family (SMART)’s Khoiruddin Nasution. The findings: The boundaries between the public and the private were no longer tight because husband and wife could work collaboratively, even though there were some challenges due to the dominance of patriarchal mindset in extended families, which was sometimes affirmed, even enjoyed by the husband. However, the subconscious of the millennial family was still patriarchal even though it no longer applied strictly at the practical level. Meanwhile, women survived passively by taking advantage of the economic conditions of their families or changing environments. In addition, the active strategy is to improve formal education; live separately from the extended family; have a stable job (before marriage) and manage working time.","container-title":"Samarah: Jurnal Hukum Keluarga dan Hukum Islam","DOI":"10.22373/sjhk.v5i2.9150","ISSN":"2549-3167, 2549-3132","issue":"2","journalAbbreviation":"SAMARAH","language":"en","license":"http://creativecommons.org/licenses/by-sa/4.0","page":"928","source":"DOI.org (Crossref)","title":"Dialectic of Public Sphere vs. Private Sphere in Millennial Families in Lampung Customary Law Community","volume":"5","author":[{"family":"Zulaikha","given":"Siti"},{"family":"Nasrudin","given":"Muhamad"},{"family":"Lestari","given":"Enny Puji"}],"issued":{"date-parts":[["2021",12,26]]}}}],"schema":"https://github.com/citation-style-language/schema/raw/master/csl-citation.json"} </w:instrText>
      </w:r>
      <w:r>
        <w:fldChar w:fldCharType="separate"/>
      </w:r>
      <w:r w:rsidRPr="00311170">
        <w:t xml:space="preserve">Siti Zulaikha, Muhamad Nasrudin, and Enny Puji Lestari, “Dialectic of Public Sphere vs. Private Sphere in Millennial Families in Lampung Customary Law Community,” </w:t>
      </w:r>
      <w:r w:rsidRPr="00311170">
        <w:rPr>
          <w:i/>
          <w:iCs/>
        </w:rPr>
        <w:t>Samarah: Jurnal Hukum Keluarga Dan Hukum Islam</w:t>
      </w:r>
      <w:r w:rsidRPr="00311170">
        <w:t xml:space="preserve"> 5, no. 2 (December 26, 2021): 928, https://doi.org/10.22373/sjhk.v5i2.9150.</w:t>
      </w:r>
      <w:r>
        <w:fldChar w:fldCharType="end"/>
      </w:r>
    </w:p>
  </w:footnote>
  <w:footnote w:id="30">
    <w:p w14:paraId="4BFF4625" w14:textId="25B9EE56" w:rsidR="004C7D72" w:rsidRDefault="004C7D72" w:rsidP="00402D16">
      <w:pPr>
        <w:pStyle w:val="FootnoteText"/>
        <w:jc w:val="both"/>
      </w:pPr>
      <w:r>
        <w:rPr>
          <w:rStyle w:val="FootnoteReference"/>
        </w:rPr>
        <w:footnoteRef/>
      </w:r>
      <w:r>
        <w:t xml:space="preserve"> </w:t>
      </w:r>
      <w:r>
        <w:fldChar w:fldCharType="begin"/>
      </w:r>
      <w:r w:rsidR="00B06650">
        <w:instrText xml:space="preserve"> ADDIN ZOTERO_ITEM CSL_CITATION {"citationID":"ACvb6HkO","properties":{"formattedCitation":"Mohd Amirul Hussain et al., \\uc0\\u8220{}A Review of the Elements of Nature and the Malay Cultural Landscape through Malay Literature\\uc0\\u8221{} 12, no. 6 (March 11, 2020), https://doi.org/10.3390/su12062154.","plainCitation":"Mohd Amirul Hussain et al., “A Review of the Elements of Nature and the Malay Cultural Landscape through Malay Literature” 12, no. 6 (March 11, 2020), https://doi.org/10.3390/su12062154.","noteIndex":30},"citationItems":[{"id":1239,"uris":["http://zotero.org/users/local/YyjvkUwP/items/CTI9L59K"],"itemData":{"id":1239,"type":"article-journal","abstract":"Research on the Malay cultural landscape in the Malay Archipelago is based on several factors, which include function, tradition, and the Malay culture. These factors are widely found in Malay literature, which plays a significant role in designing the landscape of Malay culture. Malay literature includes Old Malay manuscripts, Hikayat Melayu (Malay folktales), and Malay poetry, all of which are based on the beliefs, mindsets, and culture of the Malay community. These are demonstrated in a tangible or intangible manner through the environment of the traditional Malay lifestyle, inherent in Malay life values and in the symbolism of places. This review employed a document analysis to identify the elements and components of the Malay cultural landscape and its metaphorical aspects, as reflected in the aforementioned four types of Malay literature. Moreover, this review obtained information on the elements of the Malay cultural landscape that determine and explain the nature, function, and similarity of these aspects through symbolism in the landscape and culture of the Malays in Malaysia. Indirectly, this review proved the long existence of a systematic Malay cultural landscape throughout the Malay Archipelago that remains essential for future cultural sustainability. Finally, elements of the Malay landscape were identified, which could be applied as guidelines for designers in outlining a Malay cultural landscape.","DOI":"https://doi.org/10.3390/su12062154","issue":"6","language":"en","title":"A Review of the Elements of Nature and the Malay Cultural Landscape through Malay Literature","URL":"https://www.mdpi.com/2071-1050/12/6/2154","volume":"12","author":[{"family":"Hussain","given":"Mohd Amirul"},{"family":"Yunos","given":"Mohd Yazid Mohd"},{"family":"Ismail","given":"Nor Atiah"},{"family":"Nor Fazamimah Mohd","given":"Ariffin"},{"family":"Ismail","given":"Sumarni"}],"accessed":{"date-parts":[["2024",6,17]]},"issued":{"date-parts":[["2020",3,11]]}}}],"schema":"https://github.com/citation-style-language/schema/raw/master/csl-citation.json"} </w:instrText>
      </w:r>
      <w:r>
        <w:fldChar w:fldCharType="separate"/>
      </w:r>
      <w:r w:rsidR="00C037EB" w:rsidRPr="00C037EB">
        <w:t>Mohd Amirul Hussain et al., “A Review of the Elements of Nature and the Malay Cultural Landscape through Malay Literature” 12, no. 6 (March 11, 2020), https://doi.org/10.3390/su12062154.</w:t>
      </w:r>
      <w:r>
        <w:fldChar w:fldCharType="end"/>
      </w:r>
    </w:p>
  </w:footnote>
  <w:footnote w:id="31">
    <w:p w14:paraId="1AA51F03" w14:textId="2F3F527A" w:rsidR="00A4385C" w:rsidRDefault="00A4385C" w:rsidP="00402D16">
      <w:pPr>
        <w:pStyle w:val="FootnoteText"/>
        <w:jc w:val="both"/>
      </w:pPr>
      <w:r>
        <w:rPr>
          <w:rStyle w:val="FootnoteReference"/>
        </w:rPr>
        <w:footnoteRef/>
      </w:r>
      <w:r>
        <w:t xml:space="preserve"> </w:t>
      </w:r>
      <w:r>
        <w:fldChar w:fldCharType="begin"/>
      </w:r>
      <w:r w:rsidR="00B06650">
        <w:instrText xml:space="preserve"> ADDIN ZOTERO_ITEM CSL_CITATION {"citationID":"9SPddkMB","properties":{"formattedCitation":"Zainal Abidin Borhan, {\\i{}Adat istiadat Melayu Melaka\\uc0\\u8239{}: OPAC USU Library} (Institut Kajian Sejarah dan Patriotisme Malaysia, 1996), http://sipus.usu.ac.id/opac2.2/buku/34618/Adat-istiadat-Melayu-Melaka.html.","plainCitation":"Zainal Abidin Borhan, Adat istiadat Melayu Melaka : OPAC USU Library (Institut Kajian Sejarah dan Patriotisme Malaysia, 1996), http://sipus.usu.ac.id/opac2.2/buku/34618/Adat-istiadat-Melayu-Melaka.html.","noteIndex":31},"citationItems":[{"id":1241,"uris":["http://zotero.org/users/local/YyjvkUwP/items/LKNZBI38"],"itemData":{"id":1241,"type":"book","ISBN":"983-99155-1-7","language":"Indonesia","number-of-pages":"xviii, 196 p. ; 24 cm.","publisher":"Institut Kajian Sejarah dan Patriotisme Malaysia","title":"Adat istiadat Melayu Melaka : OPAC USU Library","URL":"http://sipus.usu.ac.id/opac2.2/buku/34618/Adat-istiadat-Melayu-Melaka.html","author":[{"family":"Borhan","given":"Zainal Abidin"}],"accessed":{"date-parts":[["2024",6,17]]},"issued":{"date-parts":[["1996"]]}}}],"schema":"https://github.com/citation-style-language/schema/raw/master/csl-citation.json"} </w:instrText>
      </w:r>
      <w:r>
        <w:fldChar w:fldCharType="separate"/>
      </w:r>
      <w:r w:rsidR="00B06650" w:rsidRPr="00B06650">
        <w:t xml:space="preserve">Zainal Abidin Borhan, </w:t>
      </w:r>
      <w:r w:rsidR="00B06650" w:rsidRPr="00B06650">
        <w:rPr>
          <w:i/>
          <w:iCs/>
        </w:rPr>
        <w:t>Adat istiadat Melayu Melaka : OPAC USU Library</w:t>
      </w:r>
      <w:r w:rsidR="00B06650" w:rsidRPr="00B06650">
        <w:t xml:space="preserve"> (Institut Kajian Sejarah dan Patriotisme Malaysia, 1996), http://sipus.usu.ac.id/opac2.2/buku/34618/Adat-istiadat-Melayu-Melaka.html.</w:t>
      </w:r>
      <w:r>
        <w:fldChar w:fldCharType="end"/>
      </w:r>
    </w:p>
  </w:footnote>
  <w:footnote w:id="32">
    <w:p w14:paraId="3FCC0E75" w14:textId="4E7D64F9" w:rsidR="00335CF3" w:rsidRDefault="00335CF3" w:rsidP="00402D16">
      <w:pPr>
        <w:pStyle w:val="FootnoteText"/>
        <w:jc w:val="both"/>
      </w:pPr>
      <w:r>
        <w:rPr>
          <w:rStyle w:val="FootnoteReference"/>
        </w:rPr>
        <w:footnoteRef/>
      </w:r>
      <w:r>
        <w:t xml:space="preserve"> </w:t>
      </w:r>
      <w:r>
        <w:fldChar w:fldCharType="begin"/>
      </w:r>
      <w:r w:rsidR="00B06650">
        <w:instrText xml:space="preserve"> ADDIN ZOTERO_ITEM CSL_CITATION {"citationID":"oT5hZ5Mq","properties":{"formattedCitation":"ID Supaat et al., \\uc0\\u8220{}Customary Land and the Claim of Matrimonial Property: Ingenta Connect,\\uc0\\u8221{} {\\i{}American Scientific Publisher}, May 1, 2017, https://doi.org/10.1166/asl.2017.8920.","plainCitation":"ID Supaat et al., “Customary Land and the Claim of Matrimonial Property: Ingenta Connect,” American Scientific Publisher, May 1, 2017, https://doi.org/10.1166/asl.2017.8920.","noteIndex":32},"citationItems":[{"id":1256,"uris":["http://zotero.org/users/local/YyjvkUwP/items/7IT2MY7G"],"itemData":{"id":1256,"type":"article-journal","abstract":"Malay adat and culture have a significant influence in domestic law and this is reflected in the position of customary law within Malaysian legal framework. The customary land in Negeri Sembilan assumes exceptional characteristics that make certain transaction and claim against the land to be difficult or cannot be executed. The aim of this study is to analyze the position of a customary land in marriage and the claim against the land upon divorce using legal analysis method. It first discusses the concept of matrimonial property from legal and Islamic perspectives and the judicial application of legal provisions on the subject matter. The main dimension of this paper is the claim of matrimonial property on customary land. The study found that customary land is subject to some legal impediment that makes it insusceptible to the operation of specific laws.","container-title":"American Scientific Publisher","DOI":"https://doi.org/10.1166/asl.2017.8920","title":"Customary Land and the Claim of Matrimonial Property: Ingenta Connect","URL":"https://www.ingentaconnect.com/contentone/asp/asl/2017/00000023/00000005/art00227","author":[{"family":"Supaat","given":"ID"},{"family":"Abidah","given":"Abdul"},{"family":"Adzizah","given":"Yakoob"},{"family":"Abdur Rahman","given":"Shah Hendun"},{"family":"Yusof","given":"Yusof"},{"family":"Md","given":"Arif Fahmi"},{"family":"Muda","given":"Muda"},{"family":"Salwani","given":"Farah"},{"family":"Ali","given":"Nufadilah Mohd"},{"family":"Shukor","given":"Shukor"},{"family":"Syahirah","given":"Abdul"},{"family":"Osman","given":"Osman"},{"family":"Suraiya","given":"Suraiya"}],"accessed":{"date-parts":[["2024",6,21]]},"issued":{"date-parts":[["2017",5,1]]}}}],"schema":"https://github.com/citation-style-language/schema/raw/master/csl-citation.json"} </w:instrText>
      </w:r>
      <w:r>
        <w:fldChar w:fldCharType="separate"/>
      </w:r>
      <w:r w:rsidR="00EB41FD" w:rsidRPr="00EB41FD">
        <w:t xml:space="preserve">ID Supaat et al., “Customary Land and the Claim of Matrimonial Property: Ingenta Connect,” </w:t>
      </w:r>
      <w:r w:rsidR="00EB41FD" w:rsidRPr="00EB41FD">
        <w:rPr>
          <w:i/>
          <w:iCs/>
        </w:rPr>
        <w:t>American Scientific Publisher</w:t>
      </w:r>
      <w:r w:rsidR="00EB41FD" w:rsidRPr="00EB41FD">
        <w:t>, May 1, 2017, https://doi.org/10.1166/asl.2017.8920.</w:t>
      </w:r>
      <w:r>
        <w:fldChar w:fldCharType="end"/>
      </w:r>
    </w:p>
  </w:footnote>
  <w:footnote w:id="33">
    <w:p w14:paraId="2F5E16BC" w14:textId="5DABC87E" w:rsidR="00355FE3" w:rsidRDefault="00355FE3" w:rsidP="00402D16">
      <w:pPr>
        <w:pStyle w:val="FootnoteText"/>
        <w:jc w:val="both"/>
      </w:pPr>
      <w:r>
        <w:rPr>
          <w:rStyle w:val="FootnoteReference"/>
        </w:rPr>
        <w:footnoteRef/>
      </w:r>
      <w:r>
        <w:t xml:space="preserve"> </w:t>
      </w:r>
      <w:r>
        <w:fldChar w:fldCharType="begin"/>
      </w:r>
      <w:r w:rsidR="00B06650">
        <w:instrText xml:space="preserve"> ADDIN ZOTERO_ITEM CSL_CITATION {"citationID":"nG9QHfXQ","properties":{"formattedCitation":"Nur Hidayah, \\uc0\\u8220{}Gender, Economy, and the Law: Women Entrepreneurs in Indonesian and Islamic Legal Perspectives,\\uc0\\u8221{} {\\i{}Samarah: Jurnal Hukum Keluarga Dan Hukum Islam} 7, no. 2 (June 20, 2023): 1171, https://doi.org/10.22373/sjhk.v7i2.17944.","plainCitation":"Nur Hidayah, “Gender, Economy, and the Law: Women Entrepreneurs in Indonesian and Islamic Legal Perspectives,” Samarah: Jurnal Hukum Keluarga Dan Hukum Islam 7, no. 2 (June 20, 2023): 1171, https://doi.org/10.22373/sjhk.v7i2.17944.","noteIndex":33},"citationItems":[{"id":1249,"uris":["http://zotero.org/users/local/YyjvkUwP/items/5EHB6YMT"],"itemData":{"id":1249,"type":"article-journal","abstract":"The relationship between women, the economy, and state law in Muslim countries has generated intense debate about whether such laws have promoted or inversely impeded women's rights and gender equality. This study aims to assess women's economic rights, especially in entrepreneurship, in Indonesia from the state and Islamic legal perspectives. It is qualitative research with the juridical and sociological legal approach by analyzing the dimensions of report on entrepreneurship in Women, Business, and the Law 2023 achieved by Indonesia, Law state-related, and Islamic Law. It finds that Indonesia has promoted women's economic rights, including entrepreneurship, in the state law, despite some room for improvement. Women have the same rights to business licenses, enter into contracts or agreements, and open bank accounts, despite a lack of affirmative actions for access to credits for women entrepreneurs. As the biggest Muslim country in the world, Islamic law has influenced such state law. Islam has granted women the right to be self-employed, despite some cultural barriers to achieving gender equality. The government is expected to promote women's economic rights, including the ones on entrepreneurship, and needs to overturn the prevailing gender norms that assign women multiple burdens.","container-title":"Samarah: Jurnal Hukum Keluarga dan Hukum Islam","DOI":"10.22373/sjhk.v7i2.17944","ISSN":"2549-3167, 2549-3132","issue":"2","journalAbbreviation":"SAMARAH","language":"en","license":"http://creativecommons.org/licenses/by-sa/4.0","page":"1171","source":"DOI.org (Crossref)","title":"Gender, Economy, and the Law: Women Entrepreneurs in Indonesian and Islamic Legal Perspectives","title-short":"Gender, Economy, and the Law","volume":"7","author":[{"family":"Hidayah","given":"Nur"}],"issued":{"date-parts":[["2023",6,20]]}}}],"schema":"https://github.com/citation-style-language/schema/raw/master/csl-citation.json"} </w:instrText>
      </w:r>
      <w:r>
        <w:fldChar w:fldCharType="separate"/>
      </w:r>
      <w:r w:rsidRPr="00355FE3">
        <w:t xml:space="preserve">Nur Hidayah, “Gender, Economy, and the Law: Women Entrepreneurs in Indonesian and Islamic Legal Perspectives,” </w:t>
      </w:r>
      <w:r w:rsidRPr="00355FE3">
        <w:rPr>
          <w:i/>
          <w:iCs/>
        </w:rPr>
        <w:t>Samarah: Jurnal Hukum Keluarga Dan Hukum Islam</w:t>
      </w:r>
      <w:r w:rsidRPr="00355FE3">
        <w:t xml:space="preserve"> 7, no. 2 (June 20, 2023): 1171, https://doi.org/10.22373/sjhk.v7i2.17944.</w:t>
      </w:r>
      <w:r>
        <w:fldChar w:fldCharType="end"/>
      </w:r>
    </w:p>
  </w:footnote>
  <w:footnote w:id="34">
    <w:p w14:paraId="6BF5BB75" w14:textId="1096E610" w:rsidR="003B1B73" w:rsidRDefault="003B1B73" w:rsidP="00402D16">
      <w:pPr>
        <w:pStyle w:val="FootnoteText"/>
        <w:jc w:val="both"/>
      </w:pPr>
      <w:r>
        <w:rPr>
          <w:rStyle w:val="FootnoteReference"/>
        </w:rPr>
        <w:footnoteRef/>
      </w:r>
      <w:r>
        <w:t xml:space="preserve"> </w:t>
      </w:r>
      <w:r>
        <w:fldChar w:fldCharType="begin"/>
      </w:r>
      <w:r w:rsidR="00B06650">
        <w:instrText xml:space="preserve"> ADDIN ZOTERO_ITEM CSL_CITATION {"citationID":"PGdT3sNu","properties":{"formattedCitation":"E. N. Taylor, {\\i{}Malay Family Law}, vol. 15, 1 (Singapore: The Malaysian Branch of the Royal Asiatic Society, 1937), https://www.jstor.org/stable/41559883.","plainCitation":"E. N. Taylor, Malay Family Law, vol. 15, 1 (Singapore: The Malaysian Branch of the Royal Asiatic Society, 1937), https://www.jstor.org/stable/41559883.","noteIndex":34},"citationItems":[{"id":1258,"uris":["http://zotero.org/users/local/YyjvkUwP/items/SPVDQBNL"],"itemData":{"id":1258,"type":"book","collection-number":"1","event-place":"Singapore","language":"EN","note":"publisher: Malaysian Branch of the Royal Asiatic Society","number-of-pages":"pp. viii-ix, 1-78","publisher":"The Malaysian Branch of the Royal Asiatic Society","publisher-place":"Singapore","source":"JSTOR","title":"Malay Family Law","URL":"https://www.jstor.org/stable/41559883","volume":"15","author":[{"family":"Taylor","given":"E. N."}],"accessed":{"date-parts":[["2024",6,21]]},"issued":{"date-parts":[["1937"]]}}}],"schema":"https://github.com/citation-style-language/schema/raw/master/csl-citation.json"} </w:instrText>
      </w:r>
      <w:r>
        <w:fldChar w:fldCharType="separate"/>
      </w:r>
      <w:r w:rsidRPr="003B1B73">
        <w:t xml:space="preserve">E. N. Taylor, </w:t>
      </w:r>
      <w:r w:rsidRPr="003B1B73">
        <w:rPr>
          <w:i/>
          <w:iCs/>
        </w:rPr>
        <w:t>Malay Family Law</w:t>
      </w:r>
      <w:r w:rsidRPr="003B1B73">
        <w:t>, vol. 15, 1 (Singapore: The Malaysian Branch of the Royal Asiatic Society, 1937), https://www.jstor.org/stable/41559883.</w:t>
      </w:r>
      <w:r>
        <w:fldChar w:fldCharType="end"/>
      </w:r>
    </w:p>
  </w:footnote>
  <w:footnote w:id="35">
    <w:p w14:paraId="0BE1D92F" w14:textId="12B69844" w:rsidR="00890FDD" w:rsidRDefault="00890FDD" w:rsidP="00402D16">
      <w:pPr>
        <w:pStyle w:val="FootnoteText"/>
        <w:jc w:val="both"/>
      </w:pPr>
      <w:r>
        <w:rPr>
          <w:rStyle w:val="FootnoteReference"/>
        </w:rPr>
        <w:footnoteRef/>
      </w:r>
      <w:r>
        <w:t xml:space="preserve"> </w:t>
      </w:r>
      <w:fldSimple w:instr=" ADDIN ZOTERO_TEMP ">
        <w:r>
          <w:t xml:space="preserve">Fauzul Hanif Noor Athief and Resti Hedi Juwanti, “Court Decisions on Post-Divorce Children’s Livelihood: Islamic Law Analysis on Their Practices in Indonesia and Malaysia,” </w:t>
        </w:r>
        <w:r>
          <w:rPr>
            <w:i/>
            <w:iCs/>
          </w:rPr>
          <w:t>Ijtihad: Jurnal Wacana Hukum Islam Dan Kemanusiaan</w:t>
        </w:r>
        <w:r>
          <w:t xml:space="preserve"> 20, no. 2 (December 29, 2020): 151–73, https://doi.org/10.18326/ijtihad.v20i2.151-173.</w:t>
        </w:r>
      </w:fldSimple>
    </w:p>
  </w:footnote>
  <w:footnote w:id="36">
    <w:p w14:paraId="40496E94" w14:textId="682107CB" w:rsidR="00890FDD" w:rsidRDefault="00890FDD" w:rsidP="00402D16">
      <w:pPr>
        <w:pStyle w:val="FootnoteText"/>
        <w:jc w:val="both"/>
      </w:pPr>
      <w:r>
        <w:rPr>
          <w:rStyle w:val="FootnoteReference"/>
        </w:rPr>
        <w:footnoteRef/>
      </w:r>
      <w:r>
        <w:t xml:space="preserve"> </w:t>
      </w:r>
      <w:r>
        <w:fldChar w:fldCharType="begin"/>
      </w:r>
      <w:r w:rsidR="00B06650">
        <w:instrText xml:space="preserve"> ADDIN ZOTERO_ITEM CSL_CITATION {"citationID":"lzGIyluE","properties":{"formattedCitation":"Abdul Mutakabbir, Hastuti Hastuti, and Mikdar Rusdi, \\uc0\\u8220{}The System of Inheritance Distribution in South Sulawesi,\\uc0\\u8221{} {\\i{}Ijtihad\\uc0\\u8239{}: Jurnal Wacana Hukum Islam Dan Kemanusiaan} 23, no. 1 (June 22, 2023): 57\\uc0\\u8211{}76, https://doi.org/10.18326/ijtihad.v23i1.57-76.","plainCitation":"Abdul Mutakabbir, Hastuti Hastuti, and Mikdar Rusdi, “The System of Inheritance Distribution in South Sulawesi,” Ijtihad : Jurnal Wacana Hukum Islam Dan Kemanusiaan 23, no. 1 (June 22, 2023): 57–76, https://doi.org/10.18326/ijtihad.v23i1.57-76.","noteIndex":36},"citationItems":[{"id":1259,"uris":["http://zotero.org/users/local/YyjvkUwP/items/3HXTE3I3"],"itemData":{"id":1259,"type":"article-journal","abstract":"This article describes the inheritance distribution system of the people of South Sulawesi. This research uses interviews with several community and religious leaders who understand inheritance law. The research sites are Makassar, Pinrang, Palopo and Bone. The theory used is maṣlaḥah mursalah, which analyzes data about the inheritance system, starting from the process of inheritance division and the number of heirs' shares, as well as the interplay between customary law and Islam in the inheritance distribution system in South Sulawesi. Without removing the core of inheritance law, the South Sulawesi people's way of distributing inheritance makes use of the customary law known as ade' in the pangadereng system. There are three types of distribution, depending on whether the family is still together, whether one parent has deceased, or whether both parents have deceased. The nominal distribution varies, sometimes it is equal and other times it is based on fairness, which means that heirs who have invested a lot of money, such as those who go to high school and live well, give up their rights to relatives who are less established or who remain with the parents in the village. According to the benefit principle, men typically receive a plot of land because they have the energy to cultivate it, while women typically receive a house. This study shows how the customary division system emphasizes the common good in order to fulfill a number of maqāṣid al-shari’ah ideals, including the protection of property, honor, and life (soul).","container-title":"Ijtihad : Jurnal Wacana Hukum Islam dan Kemanusiaan","DOI":"10.18326/ijtihad.v23i1.57-76","ISSN":"2477-8036","issue":"1","language":"en","license":"Copyright (c) 2023 Ijtihad : Jurnal Wacana Hukum Islam dan Kemanusiaan","note":"number: 1","page":"57-76","source":"ijtihad.iainsalatiga.ac.id","title":"The System of Inheritance Distribution in South Sulawesi","volume":"23","author":[{"family":"Mutakabbir","given":"Abdul"},{"family":"Hastuti","given":"Hastuti"},{"family":"Rusdi","given":"Mikdar"}],"issued":{"date-parts":[["2023",6,22]]}}}],"schema":"https://github.com/citation-style-language/schema/raw/master/csl-citation.json"} </w:instrText>
      </w:r>
      <w:r>
        <w:fldChar w:fldCharType="separate"/>
      </w:r>
      <w:r w:rsidR="00CE6FCA" w:rsidRPr="00CE6FCA">
        <w:t xml:space="preserve">Abdul Mutakabbir, Hastuti Hastuti, and Mikdar Rusdi, “The System of Inheritance Distribution in South Sulawesi,” </w:t>
      </w:r>
      <w:r w:rsidR="00CE6FCA" w:rsidRPr="00CE6FCA">
        <w:rPr>
          <w:i/>
          <w:iCs/>
        </w:rPr>
        <w:t>Ijtihad : Jurnal Wacana Hukum Islam Dan Kemanusiaan</w:t>
      </w:r>
      <w:r w:rsidR="00CE6FCA" w:rsidRPr="00CE6FCA">
        <w:t xml:space="preserve"> 23, no. 1 (June 22, 2023): 57–76, https://doi.org/10.18326/ijtihad.v23i1.57-76.</w:t>
      </w:r>
      <w:r>
        <w:fldChar w:fldCharType="end"/>
      </w:r>
    </w:p>
  </w:footnote>
  <w:footnote w:id="37">
    <w:p w14:paraId="7A4517D4" w14:textId="5B72470F" w:rsidR="00647D98" w:rsidRDefault="00647D98" w:rsidP="00402D16">
      <w:pPr>
        <w:pStyle w:val="FootnoteText"/>
        <w:jc w:val="both"/>
      </w:pPr>
      <w:r>
        <w:rPr>
          <w:rStyle w:val="FootnoteReference"/>
        </w:rPr>
        <w:footnoteRef/>
      </w:r>
      <w:r>
        <w:t xml:space="preserve"> </w:t>
      </w:r>
      <w:r>
        <w:fldChar w:fldCharType="begin"/>
      </w:r>
      <w:r w:rsidR="00B06650">
        <w:instrText xml:space="preserve"> ADDIN ZOTERO_ITEM CSL_CITATION {"citationID":"BNmgvSNP","properties":{"formattedCitation":"Center for General Studies and Co-Curriculum, Universiti Tun Hussein Onn Malaysia, Johor, MALAYSIA et al., \\uc0\\u8220{}Budaya Masyarakat Bugis dalam Aspek Perkahwinan, Komunikasi dan Makanan Warisan,\\uc0\\u8221{} {\\i{}Kajian Malaysia} 40, no. 2 (October 31, 2022): 227\\uc0\\u8211{}53, https://doi.org/10.21315/km2022.40.2.10.","plainCitation":"Center for General Studies and Co-Curriculum, Universiti Tun Hussein Onn Malaysia, Johor, MALAYSIA et al., “Budaya Masyarakat Bugis dalam Aspek Perkahwinan, Komunikasi dan Makanan Warisan,” Kajian Malaysia 40, no. 2 (October 31, 2022): 227–53, https://doi.org/10.21315/km2022.40.2.10.","noteIndex":37},"citationItems":[{"id":1280,"uris":["http://zotero.org/users/local/YyjvkUwP/items/9TL9X7GY"],"itemData":{"id":1280,"type":"article-journal","abstract":"The Bugis tribe’s customs, culture and heritage must be preserved because they have a distinct and valuable value and identity. However, many generations, particularly the young, are increasingly hazy about and unaware of the Bugis tribe’s customs and culture. Many younger generations appear to have forgotten their ancestors and origins, which is causing this phenomenon. Thus, this study highlights three main objectives of the culture of the Bugis community in aspects of daily life, namely, identifying the Bugis tribe’s wedding culture, identifying communication among the Bugis tribe and identifying the Bugis tribe’s heritage food. This study was conducted both quantitatively and qualitatively. The questionnaire was distributed to social media respondents by the researcher using the Google Forms application. The questionnaire was distributed using a purposive sampling method to only Bugis tribe respondents. According to the findings of the study, 69 people completed the questionnaire. An observational study was also conducted by the researcher in Kampung Tampok Laut, Benut, Johor. The researchers participated in several ceremonies and gatherings in order to strengthen their research findings. The study’s findings show that the Bugis still maintain their customs and culture, whether in the context of marriage culture, communication, or heritage food. This study may have an indirect impact on the Bugis community and ensure that each generation can maintain the Bugis tribe’s identity, particularly in the aspects studied.","container-title":"Kajian Malaysia","DOI":"10.21315/km2022.40.2.10","ISSN":"01274082, 21804273","issue":"2","journalAbbreviation":"KM","language":"ms","page":"227-253","source":"DOI.org (Crossref)","title":"Budaya Masyarakat Bugis dalam Aspek Perkahwinan, Komunikasi dan Makanan Warisan","volume":"40","author":[{"literal":"Center for General Studies and Co-Curriculum, Universiti Tun Hussein Onn Malaysia, Johor, MALAYSIA"},{"family":"Saleh","given":"Nor Shela"},{"family":"Rosli","given":"Mohd Shafie"},{"literal":"Faculty of Social Sciences and Humanities, Universiti Teknologi Malaysia, Johor, Malaysia"},{"family":"Syamsuri","given":"Andi Sukri"},{"literal":"Fakultas Adab dan Humaniora, Universitas Islam Negeri Alauddin Makassar, Sulawesi Selatan, Indonesia"}],"issued":{"date-parts":[["2022",10,31]]}}}],"schema":"https://github.com/citation-style-language/schema/raw/master/csl-citation.json"} </w:instrText>
      </w:r>
      <w:r>
        <w:fldChar w:fldCharType="separate"/>
      </w:r>
      <w:r w:rsidRPr="00647D98">
        <w:t xml:space="preserve">Center for General Studies and Co-Curriculum, Universiti Tun Hussein Onn Malaysia, Johor, MALAYSIA et al., “Budaya Masyarakat Bugis dalam Aspek Perkahwinan, Komunikasi dan Makanan Warisan,” </w:t>
      </w:r>
      <w:r w:rsidRPr="00647D98">
        <w:rPr>
          <w:i/>
          <w:iCs/>
        </w:rPr>
        <w:t>Kajian Malaysia</w:t>
      </w:r>
      <w:r w:rsidRPr="00647D98">
        <w:t xml:space="preserve"> 40, no. 2 (October 31, 2022): 227–53, https://doi.org/10.21315/km2022.40.2.10.</w:t>
      </w:r>
      <w:r>
        <w:fldChar w:fldCharType="end"/>
      </w:r>
    </w:p>
  </w:footnote>
  <w:footnote w:id="38">
    <w:p w14:paraId="7E0F76FA" w14:textId="56A2F1D9" w:rsidR="004277A7" w:rsidRDefault="004277A7" w:rsidP="00402D16">
      <w:pPr>
        <w:pStyle w:val="FootnoteText"/>
        <w:jc w:val="both"/>
      </w:pPr>
      <w:r>
        <w:rPr>
          <w:rStyle w:val="FootnoteReference"/>
        </w:rPr>
        <w:footnoteRef/>
      </w:r>
      <w:r>
        <w:t xml:space="preserve"> </w:t>
      </w:r>
      <w:r>
        <w:fldChar w:fldCharType="begin"/>
      </w:r>
      <w:r w:rsidR="00B06650">
        <w:instrText xml:space="preserve"> ADDIN ZOTERO_ITEM CSL_CITATION {"citationID":"K6wwmOEu","properties":{"formattedCitation":"Zaleha Kamaruddin, Zati Ilham Abdul Manaf, and Nadhilah A.Kadir, \\uc0\\u8220{}The Necessity for the Formulation of an Online Family Dispute Resolution Management Framework in Malaysia,\\uc0\\u8221{} {\\i{}Journal of Information Systems and Digital Technologies} 2, no. 1 (May 13, 2020): 1\\uc0\\u8211{}15, https://doi.org/10.31436/jisdt.v2i1.125.","plainCitation":"Zaleha Kamaruddin, Zati Ilham Abdul Manaf, and Nadhilah A.Kadir, “The Necessity for the Formulation of an Online Family Dispute Resolution Management Framework in Malaysia,” Journal of Information Systems and Digital Technologies 2, no. 1 (May 13, 2020): 1–15, https://doi.org/10.31436/jisdt.v2i1.125.","noteIndex":38},"citationItems":[{"id":1281,"uris":["http://zotero.org/users/local/YyjvkUwP/items/898672X6"],"itemData":{"id":1281,"type":"article-journal","abstract":"This article discusses the need for the formulation of an online family dispute resolution management framework in Malaysia. One of the main reasons is that young married couples need assistance to resolve challenges that they faced in their marriage. Researches have shown that the first five years is the most difficult period in a marriage. An initial study conducted by National Population and Family Development Board also known as Lembaga Penduduk dan Pembangunan Keluarga Negara (LPPKN) has shown that in 2014, more than one third of a first marriage that were less than 5 years ended in divorce or separation. With the prominent role that technology plays in our society, it is hypothesized that the internet can be used as a tool to reach out to couples who are experiencing marital discords. Professional intervention is often needed to address such disagreements before it escalates into separation or divorce. Through a survey of literatures and a series of discussions gathered from workshops, it has been found that a more effective method of outreach is needed for younger couples in Malaysia who are in need of professional marital advice. This article therefore proposes for the use of an online family dispute resolution management framework as an outreach tool which can connect marriage professionals and couples who are in need of professional intervention. This Online Dispute Resolution framework will act as a guided pathway of information and advice to young couples who are considering separation or divorce.","container-title":"Journal of Information Systems and Digital Technologies","DOI":"10.31436/jisdt.v2i1.125","ISSN":"2682-8790","issue":"1","language":"en","license":"Copyright (c) 2020 Journal of Information Systems and Digital Technologies","note":"number: 1","page":"1-15","source":"journals.iium.edu.my","title":"The Necessity for the Formulation of an Online Family Dispute Resolution Management Framework in Malaysia","volume":"2","author":[{"family":"Kamaruddin","given":"Zaleha"},{"family":"Manaf","given":"Zati Ilham Abdul"},{"family":"A.Kadir","given":"Nadhilah"}],"issued":{"date-parts":[["2020",5,13]]}}}],"schema":"https://github.com/citation-style-language/schema/raw/master/csl-citation.json"} </w:instrText>
      </w:r>
      <w:r>
        <w:fldChar w:fldCharType="separate"/>
      </w:r>
      <w:r w:rsidRPr="004277A7">
        <w:t xml:space="preserve">Zaleha Kamaruddin, Zati Ilham Abdul Manaf, and Nadhilah A.Kadir, “The Necessity for the Formulation of an Online Family Dispute Resolution Management Framework in Malaysia,” </w:t>
      </w:r>
      <w:r w:rsidRPr="004277A7">
        <w:rPr>
          <w:i/>
          <w:iCs/>
        </w:rPr>
        <w:t>Journal of Information Systems and Digital Technologies</w:t>
      </w:r>
      <w:r w:rsidRPr="004277A7">
        <w:t xml:space="preserve"> 2, no. 1 (May 13, 2020): 1–15, https://doi.org/10.31436/jisdt.v2i1.125.</w:t>
      </w:r>
      <w:r>
        <w:fldChar w:fldCharType="end"/>
      </w:r>
    </w:p>
  </w:footnote>
  <w:footnote w:id="39">
    <w:p w14:paraId="4AC68696" w14:textId="05696AAF" w:rsidR="00DC1662" w:rsidRDefault="00DC1662" w:rsidP="00402D16">
      <w:pPr>
        <w:pStyle w:val="FootnoteText"/>
        <w:jc w:val="both"/>
      </w:pPr>
      <w:r>
        <w:rPr>
          <w:rStyle w:val="FootnoteReference"/>
        </w:rPr>
        <w:footnoteRef/>
      </w:r>
      <w:r>
        <w:t xml:space="preserve"> </w:t>
      </w:r>
      <w:r>
        <w:fldChar w:fldCharType="begin"/>
      </w:r>
      <w:r w:rsidR="00B06650">
        <w:instrText xml:space="preserve"> ADDIN ZOTERO_ITEM CSL_CITATION {"citationID":"5iVR98WW","properties":{"formattedCitation":"Othman Mohd Nor and R. N. R. Shahminan, \\uc0\\u8220{}The Influence of Perpatih Custom on the Design of Traditional Malay Houses in Negeri Sembilan, Malaysia,\\uc0\\u8221{} {\\i{}Research on Humanities and Social Sciences}, 2016, https://www.semanticscholar.org/paper/The-Influence-of-Perpatih-Custom-on-the-Design-of-Nor-Shahminan/dccb83ad40614111c343a67f51c1977893109361.","plainCitation":"Othman Mohd Nor and R. N. R. Shahminan, “The Influence of Perpatih Custom on the Design of Traditional Malay Houses in Negeri Sembilan, Malaysia,” Research on Humanities and Social Sciences, 2016, https://www.semanticscholar.org/paper/The-Influence-of-Perpatih-Custom-on-the-Design-of-Nor-Shahminan/dccb83ad40614111c343a67f51c1977893109361.","noteIndex":39},"citationItems":[{"id":1283,"uris":["http://zotero.org/users/local/YyjvkUwP/items/L736H9UN"],"itemData":{"id":1283,"type":"article-journal","abstract":"The migration of the community of Minangkabau to Tanah Melayu had brought with them several influences into the local community such as culture and architecture. A significant cultural essence that had influenced the community in Negeri Sembilan is Pepatih Custom which is still practiced by the community nowadays. It plays various roles in the people’s lives including unity, family units according to the “suku”, marriages, deaths and how to inherit land and houses. In designing the traditional Malay houses in Negeri Sembilan, the family activities, as well as the community as a whole are thoroughly considered. A house is not perceived only as a place to stay but also a gathering place for other occasions such as weddings, funerals and deaths. The private and public areas are separated harmoniously from the aspects of architecture and religion. The strength of the design of the traditional Malay houses is also frequently depicted in verses and proverbs in the system of Pepatih Custom that relates to “kuat rumah kerana sendi rosak sendi rumah binasa” which means the community has to stand together in whatever situation and if they do not they will be weak and chaotic. Just like the role of “sendi” or joints of a house, they have to be designed perfectly because if the joints are loosely built the whole structure of the house would collapse. Keywords: Minangkabau, Perpatih Custom, traditional malay house, Negeri Sembilan","container-title":"Research on humanities and social sciences","source":"Semantic Scholar","title":"The Influence of Perpatih Custom on the Design of Traditional Malay Houses in Negeri Sembilan, Malaysia","URL":"https://www.semanticscholar.org/paper/The-Influence-of-Perpatih-Custom-on-the-Design-of-Nor-Shahminan/dccb83ad40614111c343a67f51c1977893109361","author":[{"family":"Nor","given":"Othman Mohd"},{"family":"Shahminan","given":"R. N. R."}],"accessed":{"date-parts":[["2024",6,24]]},"issued":{"date-parts":[["2016"]]}}}],"schema":"https://github.com/citation-style-language/schema/raw/master/csl-citation.json"} </w:instrText>
      </w:r>
      <w:r>
        <w:fldChar w:fldCharType="separate"/>
      </w:r>
      <w:r w:rsidRPr="00DC1662">
        <w:t xml:space="preserve">Othman Mohd Nor and R. N. R. Shahminan, “The Influence of Perpatih Custom on the Design of Traditional Malay Houses in Negeri Sembilan, Malaysia,” </w:t>
      </w:r>
      <w:r w:rsidRPr="00DC1662">
        <w:rPr>
          <w:i/>
          <w:iCs/>
        </w:rPr>
        <w:t>Research on Humanities and Social Sciences</w:t>
      </w:r>
      <w:r w:rsidRPr="00DC1662">
        <w:t>, 2016, https://www.semanticscholar.org/paper/The-Influence-of-Perpatih-Custom-on-the-Design-of-Nor-Shahminan/dccb83ad40614111c343a67f51c1977893109361.</w:t>
      </w:r>
      <w:r>
        <w:fldChar w:fldCharType="end"/>
      </w:r>
    </w:p>
  </w:footnote>
  <w:footnote w:id="40">
    <w:p w14:paraId="51B91BED" w14:textId="75A88683" w:rsidR="00C352FC" w:rsidRDefault="00C352FC" w:rsidP="00402D16">
      <w:pPr>
        <w:pStyle w:val="FootnoteText"/>
        <w:jc w:val="both"/>
      </w:pPr>
      <w:r>
        <w:rPr>
          <w:rStyle w:val="FootnoteReference"/>
        </w:rPr>
        <w:footnoteRef/>
      </w:r>
      <w:r>
        <w:t xml:space="preserve"> </w:t>
      </w:r>
      <w:r>
        <w:fldChar w:fldCharType="begin"/>
      </w:r>
      <w:r w:rsidR="00B06650">
        <w:instrText xml:space="preserve"> ADDIN ZOTERO_ITEM CSL_CITATION {"citationID":"UucBgk7D","properties":{"formattedCitation":"Alexander Wain and Norliza Saleh, \\uc0\\u8220{}Adat Perpatih in Malaysia: Nature, History, Practice, and Contemporary Issues,\\uc0\\u8221{} in {\\i{}Matrilineal, Matriarchal, and Matrifocal Islam: The World of Women-Centric Islam}, ed. Abbas Panakkal and Nasr M. Arif (Cham: Springer Nature Switzerland, 2024), 43\\uc0\\u8211{}75, https://doi.org/10.1007/978-3-031-51749-5_2.","plainCitation":"Alexander Wain and Norliza Saleh, “Adat Perpatih in Malaysia: Nature, History, Practice, and Contemporary Issues,” in Matrilineal, Matriarchal, and Matrifocal Islam: The World of Women-Centric Islam, ed. Abbas Panakkal and Nasr M. Arif (Cham: Springer Nature Switzerland, 2024), 43–75, https://doi.org/10.1007/978-3-031-51749-5_2.","noteIndex":40},"citationItems":[{"id":1261,"uris":["http://zotero.org/users/local/YyjvkUwP/items/EXPGP386"],"itemData":{"id":1261,"type":"chapter","abstract":"This chapter explores the nature and evolution of adat perpatih, the traditional matrilineal system found primarily across Negeri Sembilan, Malaysia. A complex social and legal system with its origins in the Minangkabau highlands of Sumatra, Indonesia, adat perpatih first began to evolve over the fifteenth and sixteenth centuries, combining pre-existing customs with recently introduced Islamic practices to form a unique Muslim matrilineal tradition. This chapter begins by briefly outlining the nature and history of adat perpatih before proceeding to consider how that system approaches issues of community leadership, marriage, and property ownership (including inheritance). Drawing particular attention to how adat perpatih both converges with and diverges from Islamic orthopraxis, we argue that, regardless of any superficial differences, the core of each tradition shares the same desire to protect the status of women as mothers of society. Finally, we consider adat perpatih’s decline from the mid-nineteenth century onwards, as societal changes linked to colonialism began to manifest across Southeast Asia.","container-title":"Matrilineal, Matriarchal, and Matrifocal Islam: The World of Women-Centric Islam","event-place":"Cham","ISBN":"978-3-031-51749-5","language":"en","note":"DOI: 10.1007/978-3-031-51749-5_2","page":"43-75","publisher":"Springer Nature Switzerland","publisher-place":"Cham","source":"Springer Link","title":"Adat Perpatih in Malaysia: Nature, History, Practice, and Contemporary Issues","title-short":"Adat Perpatih in Malaysia","URL":"https://doi.org/10.1007/978-3-031-51749-5_2","author":[{"family":"Wain","given":"Alexander"},{"family":"Saleh","given":"Norliza"}],"editor":[{"family":"Panakkal","given":"Abbas"},{"family":"Arif","given":"Nasr M."}],"accessed":{"date-parts":[["2024",6,21]]},"issued":{"date-parts":[["2024"]]}}}],"schema":"https://github.com/citation-style-language/schema/raw/master/csl-citation.json"} </w:instrText>
      </w:r>
      <w:r>
        <w:fldChar w:fldCharType="separate"/>
      </w:r>
      <w:r w:rsidRPr="00C352FC">
        <w:t xml:space="preserve">Alexander Wain and Norliza Saleh, “Adat Perpatih in Malaysia: Nature, History, Practice, and Contemporary Issues,” in </w:t>
      </w:r>
      <w:r w:rsidRPr="00C352FC">
        <w:rPr>
          <w:i/>
          <w:iCs/>
        </w:rPr>
        <w:t>Matrilineal, Matriarchal, and Matrifocal Islam: The World of Women-Centric Islam</w:t>
      </w:r>
      <w:r w:rsidRPr="00C352FC">
        <w:t>, ed. Abbas Panakkal and Nasr M. Arif (Cham: Springer Nature Switzerland, 2024), 43–75, https://doi.org/10.1007/978-3-031-51749-5_2.</w:t>
      </w:r>
      <w:r>
        <w:fldChar w:fldCharType="end"/>
      </w:r>
    </w:p>
  </w:footnote>
  <w:footnote w:id="41">
    <w:p w14:paraId="2B2CEB57" w14:textId="44566D78" w:rsidR="004F797C" w:rsidRDefault="004F797C" w:rsidP="00402D16">
      <w:pPr>
        <w:pStyle w:val="FootnoteText"/>
        <w:jc w:val="both"/>
      </w:pPr>
      <w:r>
        <w:rPr>
          <w:rStyle w:val="FootnoteReference"/>
        </w:rPr>
        <w:footnoteRef/>
      </w:r>
      <w:r>
        <w:t xml:space="preserve"> </w:t>
      </w:r>
      <w:r>
        <w:fldChar w:fldCharType="begin"/>
      </w:r>
      <w:r w:rsidR="00B06650">
        <w:instrText xml:space="preserve"> ADDIN ZOTERO_ITEM CSL_CITATION {"citationID":"DQP00n2H","properties":{"formattedCitation":"Nor and Shahminan, \\uc0\\u8220{}The Influence of Perpatih Custom on the Design of Traditional Malay Houses in Negeri Sembilan, Malaysia.\\uc0\\u8221{}","plainCitation":"Nor and Shahminan, “The Influence of Perpatih Custom on the Design of Traditional Malay Houses in Negeri Sembilan, Malaysia.”","noteIndex":41},"citationItems":[{"id":1283,"uris":["http://zotero.org/users/local/YyjvkUwP/items/L736H9UN"],"itemData":{"id":1283,"type":"article-journal","abstract":"The migration of the community of Minangkabau to Tanah Melayu had brought with them several influences into the local community such as culture and architecture. A significant cultural essence that had influenced the community in Negeri Sembilan is Pepatih Custom which is still practiced by the community nowadays. It plays various roles in the people’s lives including unity, family units according to the “suku”, marriages, deaths and how to inherit land and houses. In designing the traditional Malay houses in Negeri Sembilan, the family activities, as well as the community as a whole are thoroughly considered. A house is not perceived only as a place to stay but also a gathering place for other occasions such as weddings, funerals and deaths. The private and public areas are separated harmoniously from the aspects of architecture and religion. The strength of the design of the traditional Malay houses is also frequently depicted in verses and proverbs in the system of Pepatih Custom that relates to “kuat rumah kerana sendi rosak sendi rumah binasa” which means the community has to stand together in whatever situation and if they do not they will be weak and chaotic. Just like the role of “sendi” or joints of a house, they have to be designed perfectly because if the joints are loosely built the whole structure of the house would collapse. Keywords: Minangkabau, Perpatih Custom, traditional malay house, Negeri Sembilan","container-title":"Research on humanities and social sciences","source":"Semantic Scholar","title":"The Influence of Perpatih Custom on the Design of Traditional Malay Houses in Negeri Sembilan, Malaysia","URL":"https://www.semanticscholar.org/paper/The-Influence-of-Perpatih-Custom-on-the-Design-of-Nor-Shahminan/dccb83ad40614111c343a67f51c1977893109361","author":[{"family":"Nor","given":"Othman Mohd"},{"family":"Shahminan","given":"R. N. R."}],"accessed":{"date-parts":[["2024",6,24]]},"issued":{"date-parts":[["2016"]]}}}],"schema":"https://github.com/citation-style-language/schema/raw/master/csl-citation.json"} </w:instrText>
      </w:r>
      <w:r>
        <w:fldChar w:fldCharType="separate"/>
      </w:r>
      <w:r w:rsidRPr="004F797C">
        <w:t>Nor and Shahminan, “The Influence of Perpatih Custom on the Design of Traditional Malay Houses in Negeri Sembilan, Malaysia.”</w:t>
      </w:r>
      <w:r>
        <w:fldChar w:fldCharType="end"/>
      </w:r>
    </w:p>
  </w:footnote>
  <w:footnote w:id="42">
    <w:p w14:paraId="28A21611" w14:textId="302FB947" w:rsidR="00CE0628" w:rsidRDefault="00CE0628" w:rsidP="00402D16">
      <w:pPr>
        <w:pStyle w:val="FootnoteText"/>
        <w:jc w:val="both"/>
      </w:pPr>
      <w:r>
        <w:rPr>
          <w:rStyle w:val="FootnoteReference"/>
        </w:rPr>
        <w:footnoteRef/>
      </w:r>
      <w:r>
        <w:t xml:space="preserve"> </w:t>
      </w:r>
      <w:r>
        <w:fldChar w:fldCharType="begin"/>
      </w:r>
      <w:r w:rsidR="00B06650">
        <w:instrText xml:space="preserve"> ADDIN ZOTERO_ITEM CSL_CITATION {"citationID":"aw1bra92","properties":{"formattedCitation":"Wain and Saleh, \\uc0\\u8220{}Adat Perpatih in Malaysia.\\uc0\\u8221{}","plainCitation":"Wain and Saleh, “Adat Perpatih in Malaysia.”","noteIndex":42},"citationItems":[{"id":1261,"uris":["http://zotero.org/users/local/YyjvkUwP/items/EXPGP386"],"itemData":{"id":1261,"type":"chapter","abstract":"This chapter explores the nature and evolution of adat perpatih, the traditional matrilineal system found primarily across Negeri Sembilan, Malaysia. A complex social and legal system with its origins in the Minangkabau highlands of Sumatra, Indonesia, adat perpatih first began to evolve over the fifteenth and sixteenth centuries, combining pre-existing customs with recently introduced Islamic practices to form a unique Muslim matrilineal tradition. This chapter begins by briefly outlining the nature and history of adat perpatih before proceeding to consider how that system approaches issues of community leadership, marriage, and property ownership (including inheritance). Drawing particular attention to how adat perpatih both converges with and diverges from Islamic orthopraxis, we argue that, regardless of any superficial differences, the core of each tradition shares the same desire to protect the status of women as mothers of society. Finally, we consider adat perpatih’s decline from the mid-nineteenth century onwards, as societal changes linked to colonialism began to manifest across Southeast Asia.","container-title":"Matrilineal, Matriarchal, and Matrifocal Islam: The World of Women-Centric Islam","event-place":"Cham","ISBN":"978-3-031-51749-5","language":"en","note":"DOI: 10.1007/978-3-031-51749-5_2","page":"43-75","publisher":"Springer Nature Switzerland","publisher-place":"Cham","source":"Springer Link","title":"Adat Perpatih in Malaysia: Nature, History, Practice, and Contemporary Issues","title-short":"Adat Perpatih in Malaysia","URL":"https://doi.org/10.1007/978-3-031-51749-5_2","author":[{"family":"Wain","given":"Alexander"},{"family":"Saleh","given":"Norliza"}],"editor":[{"family":"Panakkal","given":"Abbas"},{"family":"Arif","given":"Nasr M."}],"accessed":{"date-parts":[["2024",6,21]]},"issued":{"date-parts":[["2024"]]}}}],"schema":"https://github.com/citation-style-language/schema/raw/master/csl-citation.json"} </w:instrText>
      </w:r>
      <w:r>
        <w:fldChar w:fldCharType="separate"/>
      </w:r>
      <w:r w:rsidRPr="00CE0628">
        <w:t>Wain and Saleh, “Adat Perpatih in Malaysia.”</w:t>
      </w:r>
      <w:r>
        <w:fldChar w:fldCharType="end"/>
      </w:r>
    </w:p>
  </w:footnote>
  <w:footnote w:id="43">
    <w:p w14:paraId="3046F44E" w14:textId="6C613FE3" w:rsidR="004F797C" w:rsidRDefault="004F797C" w:rsidP="00402D16">
      <w:pPr>
        <w:pStyle w:val="FootnoteText"/>
        <w:jc w:val="both"/>
      </w:pPr>
      <w:r>
        <w:rPr>
          <w:rStyle w:val="FootnoteReference"/>
        </w:rPr>
        <w:footnoteRef/>
      </w:r>
      <w:r>
        <w:t xml:space="preserve"> </w:t>
      </w:r>
      <w:r>
        <w:fldChar w:fldCharType="begin"/>
      </w:r>
      <w:r w:rsidR="00B06650">
        <w:instrText xml:space="preserve"> ADDIN ZOTERO_ITEM CSL_CITATION {"citationID":"bMFSLPOu","properties":{"formattedCitation":"Abdul Manan Ismail and Ahmad Syukran Baharuddin, \\uc0\\u8220{}Moderation in Fatwas and Ijtihad: An Analysis of Fatwas Issued by the MKI Malaysia Concerning the Covid-19 Pandemic,\\uc0\\u8221{} {\\i{}AHKAM\\uc0\\u8239{}: Jurnal Ilmu Syariah} 22, no. 1 (June 30, 2022), https://journal.uinjkt.ac.id/index.php/ahkam/article/view/22299.","plainCitation":"Abdul Manan Ismail and Ahmad Syukran Baharuddin, “Moderation in Fatwas and Ijtihad: An Analysis of Fatwas Issued by the MKI Malaysia Concerning the Covid-19 Pandemic,” AHKAM : Jurnal Ilmu Syariah 22, no. 1 (June 30, 2022), https://journal.uinjkt.ac.id/index.php/ahkam/article/view/22299.","noteIndex":43},"citationItems":[{"id":1288,"uris":["http://zotero.org/users/local/YyjvkUwP/items/LT6URKVE"],"itemData":{"id":1288,"type":"article-journal","abstract":"Certain muftis reject the moderation method when giving fatwas. They are more prone to extremism or dereliction approaches. This rejection occurs due to various causes and, if left unaddressed, will have a detrimental impact on the fatwa institutions, muftis, and mustaftis. This research discussed the notion of moderation in Islam and how it is applied in the realm of a fatwa. Given that Malaysia is currently dealing with the COVID-19 pandemic and that the MKI (Majlis Kebangsaan Bagi Hal Ehwal Ugama Islam) has issued several fatwas on it, this research will look into the fatwas and the features of moderation inherent within it. Using Bowen's document analysis methodology, this study was performed qualitatively by gathering pertinent data from primary and secondary documents. The retrieved data from both documents were analyzed using content analysis methodology to get valuable information and rearrange it to produce meaning that could be understood and digested. The findings demonstrate that moderation is a symbol of Islam and that one of Islam's virtues is to conduct religious affairs and issue rulings with moderation. In fatwas, the notion of moderation centers on facilitating Muslims' religious experiences. In the context of the MKI fatwas, this study discovered that five fatwas were issued on Islamic affairs during the COVID-19 pandemic. According to the findings of this study, each fatwa has its features of moderation.          Abstrak   Beberapa mufti tertentu menolak menerapkan moderasi saat memberikan fatwa. Mereka lebih rentan terhadap pendekatan ekstremisme atau kelalaian. Penolakan ini terjadi karena berbagai sebab. Hal itu jika dibiarkan akan berdampak merugikan bagi lembaga fatwa, mufti, dan para mustafti. Untuk itu, penelitian ini dilakukan dengan tujuan untuk membahas pengertian moderasi dalam Islam dan bagaimana penerapannya dalam konteks fatwa. Mengingat bahwa Malaysia saat ini sedang berurusan dengan pandemi COVID-19 dan bahwa MKI (Majlis Kebangsaan Bagi Hal Ehwal Ugama Islam Malaysia) telah mengeluarkan beberapa fatwa yang berkaitan hal tersebut. Penelitian ini akan melihat fatwa-fatwa tersebut dan bentuk moderasi yang melekat di dalamnya. Untuk menjelaskan rumusan masalah dan tujuannya, penelitian ini menggunakan pendekatan kualitatif dengan mengumpulkan data terkait dari dokumen primer dan sekunder menggunakan metodologi analisis dokumen Bowen. Data yang diperoleh dari kedua jenis dokumen tersebut dianalisis menggunakan metodologi analisis isi untuk mendapatkan informasi yang berharga dan disusun kembali untuk menghasilkan makna yang dapat dipahami dan dicerna. Temuan menunjukkan bahwa moderasi adalah simbol Islam, dan bahwa salah satu keutamaan Islam adalah moderasi saat menjalankan urusan agama dan mengeluarkan aturan. Dalam fatwa, gagasan moderasi berpusat pada prinsip memfasilitasi umat Islam dalam menjalankan urusan agamanya. Dalam konteks fatwa MKI saat ini, penelitian ini menemukan bahwa lima fatwa yang dikeluarkan berkaitan dengan urusan Islam dalam krisis pandemi COVID-19. Temuan penelitian ini menjelaskan bahwa setiap fatwa memiliki ciri moderasinya sendiri.","container-title":"AHKAM : Jurnal Ilmu Syariah","ISSN":"2407-8646","issue":"1","language":"en","license":"Authors who publish with this journal agree to the following terms:      Authors retain copyright and grant the journal right of first publication with the work simultaneously licensed under a  Creative Commons Attribution-ShareAlike 4.0 International License . that allows others to share the work with an acknowledgement of the work's authorship and initial publication in this journal.  Authors are able to enter into separate, additional contractual arrangements for the non-exclusive distribution of the journal's published version of the work (e.g., post it to an institutional repository or publish it in a book), with an acknowledgement of its initial publication in this journal.  Authors are permitted and encouraged to post their work online (e.g., in institutional repositories or on their website) prior to and during the submission process, as it can lead to productive exchanges, as well as earlier and greater citation of published work (See  The Effect of Open Access ).       Ahkam: Jurnal Ilmu Syariah  have CC-BY-SA or an equivalent license as the optimal license for the publication, distribution, use, and reuse of scholarly work.     In developing strategy and setting priorities,  Ahkam: Jurnal Ilmu Syariah  recognize that free access is better than priced access. Libre access is better than free access, and libre under CC-BY-SA or the equivalent is better than libre under more restrictive open licenses.     This work is licensed under a  Creative Commons Attribution-ShareAlike 4.0 International License .","note":"number: 1","source":"journal.uinjkt.ac.id","title":"Moderation in Fatwas and Ijtihad: An Analysis of Fatwas Issued by the MKI Malaysia Concerning the Covid-19 Pandemic","title-short":"Moderation in Fatwas and Ijtihad","URL":"https://journal.uinjkt.ac.id/index.php/ahkam/article/view/22299","volume":"22","author":[{"family":"Ismail","given":"Abdul Manan"},{"family":"Baharuddin","given":"Ahmad Syukran"}],"accessed":{"date-parts":[["2024",6,24]]},"issued":{"date-parts":[["2022",6,30]]}}}],"schema":"https://github.com/citation-style-language/schema/raw/master/csl-citation.json"} </w:instrText>
      </w:r>
      <w:r>
        <w:fldChar w:fldCharType="separate"/>
      </w:r>
      <w:r w:rsidR="00CE6FCA" w:rsidRPr="00CE6FCA">
        <w:t xml:space="preserve">Abdul Manan Ismail and Ahmad Syukran Baharuddin, “Moderation in Fatwas and Ijtihad: An Analysis of Fatwas Issued by the MKI Malaysia Concerning the Covid-19 Pandemic,” </w:t>
      </w:r>
      <w:r w:rsidR="00CE6FCA" w:rsidRPr="00CE6FCA">
        <w:rPr>
          <w:i/>
          <w:iCs/>
        </w:rPr>
        <w:t>AHKAM : Jurnal Ilmu Syariah</w:t>
      </w:r>
      <w:r w:rsidR="00CE6FCA" w:rsidRPr="00CE6FCA">
        <w:t xml:space="preserve"> 22, no. 1 (June 30, 2022), https://journal.uinjkt.ac.id/index.php/ahkam/article/view/22299.</w:t>
      </w:r>
      <w:r>
        <w:fldChar w:fldCharType="end"/>
      </w:r>
    </w:p>
  </w:footnote>
  <w:footnote w:id="44">
    <w:p w14:paraId="30D631A6" w14:textId="4FAED790" w:rsidR="00797CB2" w:rsidRDefault="00797CB2" w:rsidP="00402D16">
      <w:pPr>
        <w:pStyle w:val="FootnoteText"/>
        <w:jc w:val="both"/>
      </w:pPr>
      <w:r>
        <w:rPr>
          <w:rStyle w:val="FootnoteReference"/>
        </w:rPr>
        <w:footnoteRef/>
      </w:r>
      <w:r>
        <w:t xml:space="preserve"> </w:t>
      </w:r>
      <w:r>
        <w:fldChar w:fldCharType="begin"/>
      </w:r>
      <w:r w:rsidR="00B06650">
        <w:instrText xml:space="preserve"> ADDIN ZOTERO_ITEM CSL_CITATION {"citationID":"cIwdHZ3q","properties":{"formattedCitation":"Ahmad Musta\\uc0\\u8217{}id, \\uc0\\u8220{}The Position of Women in Islamic History,\\uc0\\u8221{} {\\i{}Journal of Islamic History and Manuscript} 2, no. 1 (May 9, 2023): 21\\uc0\\u8211{}34, https://doi.org/10.24090/jihm.v2i1.6966.","plainCitation":"Ahmad Musta’id, “The Position of Women in Islamic History,” Journal of Islamic History and Manuscript 2, no. 1 (May 9, 2023): 21–34, https://doi.org/10.24090/jihm.v2i1.6966.","noteIndex":44},"citationItems":[{"id":1293,"uris":["http://zotero.org/users/local/YyjvkUwP/items/M7YY97V4"],"itemData":{"id":1293,"type":"article-journal","abstract":"Before the arrival of Islam, they are known as the jahiliyyah. It shows a historical fact that the position of women is always placed in the position of objects and occupies the second position after men. The position of women is considered less favorable, so women are often used as objects of exploitation that exceed human limits. Then Islam came with teachings that respect the position of women in various aspects of life. The existence of a long journey about the position of women is interesting to analyze and important to study in depth. This research is an Islamic social history research using historical research methods: Heuristics, Verification, Interpretation, and Historiography. At this stage, the author presents the results of the synthesis obtained. This study aims to enrich the historical treasures of Islamic civilization related to the development of the position of women. However, the dynamics of the development of women's position also have many scientific sources that need to be studied more comprehensively. That is, we need to look at events far back to be able to analyze the dynamics of women's positions. The conclusion of this paper explains that in pre-Islamic perspectives starting from Greek, Roman, Jewish, Hindu, and Chinese civilizations, as well as pre-Islamic Arabs, it shows that women occupy a position as inferior until then Islam comes to change their social status with the concept of equality.","container-title":"Journal of Islamic History and Manuscript","DOI":"10.24090/jihm.v2i1.6966","ISSN":"2963-3354","issue":"1","language":"en","page":"21-34","source":"ejournal.uinsaizu.ac.id","title":"The Position of Women in Islamic History","volume":"2","author":[{"family":"Musta'id","given":"Ahmad"}],"issued":{"date-parts":[["2023",5,9]]}}}],"schema":"https://github.com/citation-style-language/schema/raw/master/csl-citation.json"} </w:instrText>
      </w:r>
      <w:r>
        <w:fldChar w:fldCharType="separate"/>
      </w:r>
      <w:r w:rsidRPr="00797CB2">
        <w:t xml:space="preserve">Ahmad Musta’id, “The Position of Women in Islamic History,” </w:t>
      </w:r>
      <w:r w:rsidRPr="00797CB2">
        <w:rPr>
          <w:i/>
          <w:iCs/>
        </w:rPr>
        <w:t>Journal of Islamic History and Manuscript</w:t>
      </w:r>
      <w:r w:rsidRPr="00797CB2">
        <w:t xml:space="preserve"> 2, no. 1 (May 9, 2023): 21–34, https://doi.org/10.24090/jihm.v2i1.6966.</w:t>
      </w:r>
      <w:r>
        <w:fldChar w:fldCharType="end"/>
      </w:r>
    </w:p>
  </w:footnote>
  <w:footnote w:id="45">
    <w:p w14:paraId="34046E10" w14:textId="78885480" w:rsidR="00450D48" w:rsidRDefault="00450D48" w:rsidP="00402D16">
      <w:pPr>
        <w:pStyle w:val="FootnoteText"/>
        <w:jc w:val="both"/>
      </w:pPr>
      <w:r>
        <w:rPr>
          <w:rStyle w:val="FootnoteReference"/>
        </w:rPr>
        <w:footnoteRef/>
      </w:r>
      <w:r>
        <w:t xml:space="preserve"> </w:t>
      </w:r>
      <w:r>
        <w:fldChar w:fldCharType="begin"/>
      </w:r>
      <w:r w:rsidR="00B06650">
        <w:instrText xml:space="preserve"> ADDIN ZOTERO_ITEM CSL_CITATION {"citationID":"1DlxLbQZ","properties":{"formattedCitation":"Che Zarrina Saari and Joni Tamkin Borhan, \\uc0\\u8220{}Peranan Wanita Dalam Pengukuhan Akidah Umat Islam | Jurnal Usuluddin\\uc0\\u8221{} 23 (2006): 35\\uc0\\u8211{}50.","plainCitation":"Che Zarrina Saari and Joni Tamkin Borhan, “Peranan Wanita Dalam Pengukuhan Akidah Umat Islam | Jurnal Usuluddin” 23 (2006): 35–50.","noteIndex":45},"citationItems":[{"id":1295,"uris":["http://zotero.org/users/local/YyjvkUwP/items/92B5YEUU"],"itemData":{"id":1295,"type":"article-journal","abstract":"At the time of the dawn of Islam, women all over the world were degraded, subjected and without any rights and some of them were considered as men-entities. Since the beginning of the\nindustrial revolution, they have been asserting their rights in the Western countries and have been given certain political and economic rights. But more than fourteen hundred years ago, Islam recognised womens position and gave them rights, roles and privileges which are not enjoyed by women in other societies. The overall position of women is honourable and noble in the sight of Allah SWT as well as in the eyes of Islamic society. This article explains about the role of women in educating their children and strengthening their aqidah and what is the method can be used in achieving this aims.","page":"35-50","title":"Peranan Wanita dalam Pengukuhan Akidah Umat Islam | Jurnal Usuluddin","volume":"23","author":[{"family":"Saari","given":"Che Zarrina"},{"family":"Borhan","given":"Joni Tamkin"}],"issued":{"date-parts":[["2006"]]}}}],"schema":"https://github.com/citation-style-language/schema/raw/master/csl-citation.json"} </w:instrText>
      </w:r>
      <w:r>
        <w:fldChar w:fldCharType="separate"/>
      </w:r>
      <w:r w:rsidRPr="00450D48">
        <w:t>Che Zarrina Saari and Joni Tamkin Borhan, “Peranan Wanita Dalam Pengukuhan Akidah Umat Islam | Jurnal Usuluddin” 23 (2006): 35–50.</w:t>
      </w:r>
      <w:r>
        <w:fldChar w:fldCharType="end"/>
      </w:r>
    </w:p>
  </w:footnote>
  <w:footnote w:id="46">
    <w:p w14:paraId="0A567627" w14:textId="155C64D3" w:rsidR="00CB4AF8" w:rsidRDefault="00CB4AF8" w:rsidP="00402D16">
      <w:pPr>
        <w:pStyle w:val="FootnoteText"/>
        <w:jc w:val="both"/>
      </w:pPr>
      <w:r>
        <w:rPr>
          <w:rStyle w:val="FootnoteReference"/>
        </w:rPr>
        <w:footnoteRef/>
      </w:r>
      <w:r>
        <w:t xml:space="preserve"> </w:t>
      </w:r>
      <w:r>
        <w:fldChar w:fldCharType="begin"/>
      </w:r>
      <w:r w:rsidR="00B06650">
        <w:instrText xml:space="preserve"> ADDIN ZOTERO_ITEM CSL_CITATION {"citationID":"aYjZjZhN","properties":{"formattedCitation":"Pamela Herd et al., \\uc0\\u8220{}Genes, Gender Inequality, and Educational Attainment,\\uc0\\u8221{} {\\i{}American Sociological Review} 84, no. 6 (2019), https://doi.org/10.1177/0003122419886550.","plainCitation":"Pamela Herd et al., “Genes, Gender Inequality, and Educational Attainment,” American Sociological Review 84, no. 6 (2019), https://doi.org/10.1177/0003122419886550.","noteIndex":46},"citationItems":[{"id":1297,"uris":["http://zotero.org/users/local/YyjvkUwP/items/DZXYDCSZ"],"itemData":{"id":1297,"type":"article-journal","abstract":"Women’s opportunities have been profoundly altered over the past century by reductions in the social and structural constraints that limit women’s educational attainment. Do social constraints manifest as a suppressing influence on genetic indicators of potential, and if so, did equalizing opportunity mean equalizing the role of genetics? We address this with three cohort studies: the Wisconsin Longitudinal Study (WLS; birth years 1939 to 1940), the Health and Retirement Study, and the National Longitudinal Study of Adolescent Health (Add Health; birth years 1975 to 1982). These studies include a “polygenic score” for educational attainment, providing a novel opportunity to explore this question. We find that within the WLS cohort, the relationship between genetics and educational outcomes is weaker for women than for men. However, as opportunities changed in the 1970s and 1980s, and many middle-aged women went back to school, the relationship between genetic factors and education strengthened for women as they aged. Furthermore, utilizing the HRS and Add Health, we find that as constraints limiting women’s educational attainment declined, gender differences in the relationship between genetics and educational outcomes weakened. We demonstrate that genetic influence must be understood through the lens of historical change, the life course, and social structures like gender.","container-title":"American Sociological Review","DOI":"10.1177/0003122419886550","issue":"6","language":"en","source":"scite.ai","title":"Genes, Gender Inequality, and Educational Attainment","URL":"https://doi.org/10.1177/0003122419886550","volume":"84","author":[{"family":"Herd","given":"Pamela"},{"family":"Freese","given":"Jeremy"},{"family":"Sicinski","given":"Kamil"},{"family":"Domingue","given":"Benjamin W."},{"family":"Harris","given":"Kathleen Mullan"},{"family":"Wei","given":"Caiping"},{"family":"Hauser","given":"Robert M."}],"accessed":{"date-parts":[["2024",7,1]]},"issued":{"date-parts":[["2019"]]}}}],"schema":"https://github.com/citation-style-language/schema/raw/master/csl-citation.json"} </w:instrText>
      </w:r>
      <w:r>
        <w:fldChar w:fldCharType="separate"/>
      </w:r>
      <w:r w:rsidRPr="00CB4AF8">
        <w:t xml:space="preserve">Pamela Herd et al., “Genes, Gender Inequality, and Educational Attainment,” </w:t>
      </w:r>
      <w:r w:rsidRPr="00CB4AF8">
        <w:rPr>
          <w:i/>
          <w:iCs/>
        </w:rPr>
        <w:t>American Sociological Review</w:t>
      </w:r>
      <w:r w:rsidRPr="00CB4AF8">
        <w:t xml:space="preserve"> 84, no. 6 (2019), https://doi.org/10.1177/0003122419886550.</w:t>
      </w:r>
      <w:r>
        <w:fldChar w:fldCharType="end"/>
      </w:r>
    </w:p>
  </w:footnote>
  <w:footnote w:id="47">
    <w:p w14:paraId="5F02AFE1" w14:textId="06BD18A7" w:rsidR="00CB4AF8" w:rsidRDefault="00CB4AF8" w:rsidP="00402D16">
      <w:pPr>
        <w:pStyle w:val="FootnoteText"/>
        <w:jc w:val="both"/>
      </w:pPr>
      <w:r>
        <w:rPr>
          <w:rStyle w:val="FootnoteReference"/>
        </w:rPr>
        <w:footnoteRef/>
      </w:r>
      <w:r>
        <w:t xml:space="preserve"> </w:t>
      </w:r>
      <w:r>
        <w:fldChar w:fldCharType="begin"/>
      </w:r>
      <w:r w:rsidR="00B06650">
        <w:instrText xml:space="preserve"> ADDIN ZOTERO_ITEM CSL_CITATION {"citationID":"xq7gFzbG","properties":{"formattedCitation":"Herd et al.","plainCitation":"Herd et al.","noteIndex":47},"citationItems":[{"id":1297,"uris":["http://zotero.org/users/local/YyjvkUwP/items/DZXYDCSZ"],"itemData":{"id":1297,"type":"article-journal","abstract":"Women’s opportunities have been profoundly altered over the past century by reductions in the social and structural constraints that limit women’s educational attainment. Do social constraints manifest as a suppressing influence on genetic indicators of potential, and if so, did equalizing opportunity mean equalizing the role of genetics? We address this with three cohort studies: the Wisconsin Longitudinal Study (WLS; birth years 1939 to 1940), the Health and Retirement Study, and the National Longitudinal Study of Adolescent Health (Add Health; birth years 1975 to 1982). These studies include a “polygenic score” for educational attainment, providing a novel opportunity to explore this question. We find that within the WLS cohort, the relationship between genetics and educational outcomes is weaker for women than for men. However, as opportunities changed in the 1970s and 1980s, and many middle-aged women went back to school, the relationship between genetic factors and education strengthened for women as they aged. Furthermore, utilizing the HRS and Add Health, we find that as constraints limiting women’s educational attainment declined, gender differences in the relationship between genetics and educational outcomes weakened. We demonstrate that genetic influence must be understood through the lens of historical change, the life course, and social structures like gender.","container-title":"American Sociological Review","DOI":"10.1177/0003122419886550","issue":"6","language":"en","source":"scite.ai","title":"Genes, Gender Inequality, and Educational Attainment","URL":"https://doi.org/10.1177/0003122419886550","volume":"84","author":[{"family":"Herd","given":"Pamela"},{"family":"Freese","given":"Jeremy"},{"family":"Sicinski","given":"Kamil"},{"family":"Domingue","given":"Benjamin W."},{"family":"Harris","given":"Kathleen Mullan"},{"family":"Wei","given":"Caiping"},{"family":"Hauser","given":"Robert M."}],"accessed":{"date-parts":[["2024",7,1]]},"issued":{"date-parts":[["2019"]]}}}],"schema":"https://github.com/citation-style-language/schema/raw/master/csl-citation.json"} </w:instrText>
      </w:r>
      <w:r>
        <w:fldChar w:fldCharType="separate"/>
      </w:r>
      <w:r>
        <w:rPr>
          <w:noProof/>
        </w:rPr>
        <w:t>Herd et al.</w:t>
      </w:r>
      <w:r>
        <w:fldChar w:fldCharType="end"/>
      </w:r>
    </w:p>
  </w:footnote>
  <w:footnote w:id="48">
    <w:p w14:paraId="2D1096AD" w14:textId="7E27B0AA" w:rsidR="00B1762F" w:rsidRDefault="00B1762F" w:rsidP="00402D16">
      <w:pPr>
        <w:pStyle w:val="FootnoteText"/>
        <w:jc w:val="both"/>
      </w:pPr>
      <w:r>
        <w:rPr>
          <w:rStyle w:val="FootnoteReference"/>
        </w:rPr>
        <w:footnoteRef/>
      </w:r>
      <w:r>
        <w:t xml:space="preserve"> </w:t>
      </w:r>
      <w:r>
        <w:fldChar w:fldCharType="begin"/>
      </w:r>
      <w:r w:rsidR="00B06650">
        <w:instrText xml:space="preserve"> ADDIN ZOTERO_ITEM CSL_CITATION {"citationID":"6MJcxWoj","properties":{"formattedCitation":"Nurnazli Nurnazli et al., \\uc0\\u8220{}Productive Dowry and Women\\uc0\\u8217{}s Economic Empowerment and Their Influence on Marital Assets in Bandar Lampung,\\uc0\\u8221{} {\\i{}Samarah: Jurnal Hukum Keluarga Dan Hukum Islam} 8, no. 2 (June 11, 2024): 954\\uc0\\u8211{}79, https://doi.org/10.22373/sjhk.v8i2.19887.","plainCitation":"Nurnazli Nurnazli et al., “Productive Dowry and Women’s Economic Empowerment and Their Influence on Marital Assets in Bandar Lampung,” Samarah: Jurnal Hukum Keluarga Dan Hukum Islam 8, no. 2 (June 11, 2024): 954–79, https://doi.org/10.22373/sjhk.v8i2.19887.","noteIndex":48},"citationItems":[{"id":1299,"uris":["http://zotero.org/users/local/YyjvkUwP/items/Y389MEUZ"],"itemData":{"id":1299,"type":"article-journal","abstract":"This study investigates the correlation between dowry productivity and women's economic empowerment strategies, along with their influence on marital assets. This study is significant in altering women's perceptions regarding the imperative nature of effectively managing dowry in order to enhance the economy. This study employs empirical law methodologies that are studied via the lens of reinforcement theory. Information was gathered through the use of interviews, documents, and surveys. Interviews and surveys were conducted in the city of Bandar Lampung, namely instructors at the Religious Affairs Office (KUA), and productive dowry managers, as well as prospective brides and grooms, while document analysis included journal articles, books, and legal regulations. The research findings indicate that the approach to enhancing women's economic status through the utilization of dowries commences prior to the wedding and continues until the marriage ceremony, by offering favorable incentives to women. The initial phase is dissemination, specifically emphasizing the significance of a fruitful dowry to alter women's outlook when selecting enduring dowry items. Furthermore, there is a need to enhance the availability of resources to transform dowry assets into productive assets. Thirdly, aid in the administration of the dowry procedure as a means of acquiring company capital, and fourthly, safeguarding the wife's ownership of dowry items as her personal possessions from the moment of marriage. Implementing an effective technique for enhancing dowry production will bolster the presence of marital assets. All revenues derived from the creation and administration of the dowry are the shared duty and joint property of the husband and wife. The consequences of enhancing the economic status of women through productive dowries include achieving self-reliance and resilience in the household economy.","container-title":"Samarah: Jurnal Hukum Keluarga dan Hukum Islam","DOI":"10.22373/sjhk.v8i2.19887","ISSN":"2549-3167","issue":"2","language":"en","license":"Copyright (c) 2024 Nurnazli Nurnazli, Erina Pane, M. Yasin al Arif, Muhammad Akmansyah","note":"number: 2","page":"954-979","source":"jurnal.ar-raniry.ac.id","title":"Productive Dowry and Women's Economic Empowerment and Their Influence on Marital Assets in Bandar Lampung","volume":"8","author":[{"family":"Nurnazli","given":"Nurnazli"},{"family":"Pane","given":"Erina"},{"family":"Arif","given":"M. Yasin","dropping-particle":"al"},{"family":"Akmansyah","given":"Muhammad"}],"issued":{"date-parts":[["2024",6,11]]}}}],"schema":"https://github.com/citation-style-language/schema/raw/master/csl-citation.json"} </w:instrText>
      </w:r>
      <w:r>
        <w:fldChar w:fldCharType="separate"/>
      </w:r>
      <w:r w:rsidRPr="00B1762F">
        <w:t xml:space="preserve">Nurnazli Nurnazli et al., “Productive Dowry and Women’s Economic Empowerment and Their Influence on Marital Assets in Bandar Lampung,” </w:t>
      </w:r>
      <w:r w:rsidRPr="00B1762F">
        <w:rPr>
          <w:i/>
          <w:iCs/>
        </w:rPr>
        <w:t>Samarah: Jurnal Hukum Keluarga Dan Hukum Islam</w:t>
      </w:r>
      <w:r w:rsidRPr="00B1762F">
        <w:t xml:space="preserve"> 8, no. 2 (June 11, 2024): 954–79, https://doi.org/10.22373/sjhk.v8i2.19887.</w:t>
      </w:r>
      <w:r>
        <w:fldChar w:fldCharType="end"/>
      </w:r>
    </w:p>
  </w:footnote>
  <w:footnote w:id="49">
    <w:p w14:paraId="2D7A0341" w14:textId="5C6440C1" w:rsidR="00B1762F" w:rsidRDefault="00B1762F" w:rsidP="00402D16">
      <w:pPr>
        <w:pStyle w:val="FootnoteText"/>
        <w:jc w:val="both"/>
      </w:pPr>
      <w:r>
        <w:rPr>
          <w:rStyle w:val="FootnoteReference"/>
        </w:rPr>
        <w:footnoteRef/>
      </w:r>
      <w:r>
        <w:t xml:space="preserve"> </w:t>
      </w:r>
      <w:r>
        <w:fldChar w:fldCharType="begin"/>
      </w:r>
      <w:r w:rsidR="00B06650">
        <w:instrText xml:space="preserve"> ADDIN ZOTERO_ITEM CSL_CITATION {"citationID":"XGaedVh7","properties":{"formattedCitation":"Noer Yasin, Musataklima Musataklima, and Ahmad Wahidi, \\uc0\\u8220{}Interlegality of Interfaith Marriages Vis a Vis Supreme Court Circular Letter Number 2 of 2023 on The Rejection of Applications for Registration of Interfaith Marriages in Indonesia,\\uc0\\u8221{} {\\i{}Jurnal Penelitian Hukum De Jure} 23, no. 4 (November 22, 2023): 389\\uc0\\u8211{}402, https://doi.org/10.30641/dejure.2023.V23.389-402.","plainCitation":"Noer Yasin, Musataklima Musataklima, and Ahmad Wahidi, “Interlegality of Interfaith Marriages Vis a Vis Supreme Court Circular Letter Number 2 of 2023 on The Rejection of Applications for Registration of Interfaith Marriages in Indonesia,” Jurnal Penelitian Hukum De Jure 23, no. 4 (November 22, 2023): 389–402, https://doi.org/10.30641/dejure.2023.V23.389-402.","noteIndex":49},"citationItems":[{"id":1301,"uris":["http://zotero.org/users/local/YyjvkUwP/items/ILVJX3VC"],"itemData":{"id":1301,"type":"article-journal","abstract":"The polemic of interfaith marriages is not a new problem at the legal level in Indonesia, especially with the issuance of Supreme Court Circular Letter (SEMA) Number 2 of 2023 for District Courts to reject requests for registration of interfaith marriages. This has caused pros and cons in the community. The purpose of this research is to elaborate on the impact on the independence of judges and the constitutional rights of marriage actors, as well as the position of SEMA when faced with the rights of interfaith marriages conducted abroad and brought to Indonesia. This research can enrich insights into the discourse of interfaith marriage in Indonesia. This research uses a normative legal research method that relies on primary, secondary, and tertiary legal materials analyzed prescriptively. The results of this study are, First, SEMA can interfere with the independence of judicial power itself, where the Supreme Court is one of the actor of SEMA. Secondly, SEMA impacts the non-fulfillment of the constitutional rights of actors of interfaith marriages to obtain legal certainty, equality before the law, and legal protection. Thirdly, SEMA can trigger smuggling of law in interfaith marriages where the legal consequences must be recognized based on the principles of rights derived from foreign law, the principle of reciprocity, and the principle of comitas gentium. These three principles underlie the inter legality of interfaith marriages, so they have transnational legality. This research recommends that the Supreme Court revoke the SEMA that has been issued.","container-title":"Jurnal Penelitian Hukum De Jure","DOI":"10.30641/dejure.2023.V23.389-402","ISSN":"2579-8561","issue":"4","language":"id","license":"Copyright (c) 2023 Noer Yasin, Musataklima, Ahmad Wahidi","note":"number: 4","page":"389-402","source":"ejournal.balitbangham.go.id","title":"Interlegality of Interfaith Marriages Vis a Vis Supreme Court Circular Letter Number 2 of 2023 on The Rejection of Applications for Registration of Interfaith Marriages in Indonesia","volume":"23","author":[{"family":"Yasin","given":"Noer"},{"family":"Musataklima","given":"Musataklima"},{"family":"Wahidi","given":"Ahmad"}],"issued":{"date-parts":[["2023",11,22]]}}}],"schema":"https://github.com/citation-style-language/schema/raw/master/csl-citation.json"} </w:instrText>
      </w:r>
      <w:r>
        <w:fldChar w:fldCharType="separate"/>
      </w:r>
      <w:r w:rsidRPr="00B1762F">
        <w:t xml:space="preserve">Noer Yasin, Musataklima Musataklima, and Ahmad Wahidi, “Interlegality of Interfaith Marriages Vis a Vis Supreme Court Circular Letter Number 2 of 2023 on The Rejection of Applications for Registration of Interfaith Marriages in Indonesia,” </w:t>
      </w:r>
      <w:r w:rsidRPr="00B1762F">
        <w:rPr>
          <w:i/>
          <w:iCs/>
        </w:rPr>
        <w:t>Jurnal Penelitian Hukum De Jure</w:t>
      </w:r>
      <w:r w:rsidRPr="00B1762F">
        <w:t xml:space="preserve"> 23, no. 4 (November 22, 2023): 389–402, https://doi.org/10.30641/dejure.2023.V23.389-402.</w:t>
      </w:r>
      <w:r>
        <w:fldChar w:fldCharType="end"/>
      </w:r>
    </w:p>
  </w:footnote>
  <w:footnote w:id="50">
    <w:p w14:paraId="2E81FCD5" w14:textId="0FF2E80A" w:rsidR="00B1762F" w:rsidRDefault="00B1762F" w:rsidP="00402D16">
      <w:pPr>
        <w:pStyle w:val="FootnoteText"/>
        <w:jc w:val="both"/>
      </w:pPr>
      <w:r>
        <w:rPr>
          <w:rStyle w:val="FootnoteReference"/>
        </w:rPr>
        <w:footnoteRef/>
      </w:r>
      <w:r>
        <w:t xml:space="preserve"> </w:t>
      </w:r>
      <w:r>
        <w:fldChar w:fldCharType="begin"/>
      </w:r>
      <w:r w:rsidR="00B06650">
        <w:instrText xml:space="preserve"> ADDIN ZOTERO_ITEM CSL_CITATION {"citationID":"EyMMKlos","properties":{"formattedCitation":"Mohd Norhusairi Mat Hussin, \\uc0\\u8220{}Tuntutan Hak-Hak Suami Pasca Perceraian: Kajian DI Mahkamah Syariah Kota Bharu, Kelantan,\\uc0\\u8221{} accessed July 1, 2024, https://www.academia.edu/51496558/Tuntutan_Hak_Hak_Suami_Pasca_Perceraian_Kajian_DI_Mahkamah_Syariah_Kota_Bharu_Kelantan.","plainCitation":"Mohd Norhusairi Mat Hussin, “Tuntutan Hak-Hak Suami Pasca Perceraian: Kajian DI Mahkamah Syariah Kota Bharu, Kelantan,” accessed July 1, 2024, https://www.academia.edu/51496558/Tuntutan_Hak_Hak_Suami_Pasca_Perceraian_Kajian_DI_Mahkamah_Syariah_Kota_Bharu_Kelantan.","noteIndex":50},"citationItems":[{"id":1303,"uris":["http://zotero.org/users/local/YyjvkUwP/items/3JG32ANM"],"itemData":{"id":1303,"type":"article-journal","abstract":"Tuntutan Hak-Hak Suami Pasca Perceraian: Kajian DI Mahkamah Syariah Kota Bharu, Kelantan","language":"en","source":"www.academia.edu","title":"Tuntutan Hak-Hak Suami Pasca Perceraian: Kajian DI Mahkamah Syariah Kota Bharu, Kelantan","title-short":"Tuntutan Hak-Hak Suami Pasca Perceraian","URL":"https://www.academia.edu/51496558/Tuntutan_Hak_Hak_Suami_Pasca_Perceraian_Kajian_DI_Mahkamah_Syariah_Kota_Bharu_Kelantan","author":[{"family":"Hussin","given":"Mohd Norhusairi Mat"}],"accessed":{"date-parts":[["2024",7,1]]}}}],"schema":"https://github.com/citation-style-language/schema/raw/master/csl-citation.json"} </w:instrText>
      </w:r>
      <w:r>
        <w:fldChar w:fldCharType="separate"/>
      </w:r>
      <w:r w:rsidRPr="00B1762F">
        <w:t>Mohd Norhusairi Mat Hussin, “Tuntutan Hak-Hak Suami Pasca Perceraian: Kajian DI Mahkamah Syariah Kota Bharu, Kelantan,” accessed July 1, 2024, https://www.academia.edu/51496558/Tuntutan_Hak_Hak_Suami_Pasca_Perceraian_Kajian_DI_Mahkamah_Syariah_Kota_Bharu_Kelantan.</w:t>
      </w:r>
      <w:r>
        <w:fldChar w:fldCharType="end"/>
      </w:r>
    </w:p>
  </w:footnote>
  <w:footnote w:id="51">
    <w:p w14:paraId="0E2031F6" w14:textId="032B8C40" w:rsidR="00B1762F" w:rsidRDefault="00B1762F" w:rsidP="00402D16">
      <w:pPr>
        <w:pStyle w:val="FootnoteText"/>
        <w:jc w:val="both"/>
      </w:pPr>
      <w:r>
        <w:rPr>
          <w:rStyle w:val="FootnoteReference"/>
        </w:rPr>
        <w:footnoteRef/>
      </w:r>
      <w:r>
        <w:t xml:space="preserve"> </w:t>
      </w:r>
      <w:r>
        <w:fldChar w:fldCharType="begin"/>
      </w:r>
      <w:r w:rsidR="00B06650">
        <w:instrText xml:space="preserve"> ADDIN ZOTERO_ITEM CSL_CITATION {"citationID":"u48Vsz8x","properties":{"formattedCitation":"Hussin.","plainCitation":"Hussin.","noteIndex":51},"citationItems":[{"id":1303,"uris":["http://zotero.org/users/local/YyjvkUwP/items/3JG32ANM"],"itemData":{"id":1303,"type":"article-journal","abstract":"Tuntutan Hak-Hak Suami Pasca Perceraian: Kajian DI Mahkamah Syariah Kota Bharu, Kelantan","language":"en","source":"www.academia.edu","title":"Tuntutan Hak-Hak Suami Pasca Perceraian: Kajian DI Mahkamah Syariah Kota Bharu, Kelantan","title-short":"Tuntutan Hak-Hak Suami Pasca Perceraian","URL":"https://www.academia.edu/51496558/Tuntutan_Hak_Hak_Suami_Pasca_Perceraian_Kajian_DI_Mahkamah_Syariah_Kota_Bharu_Kelantan","author":[{"family":"Hussin","given":"Mohd Norhusairi Mat"}],"accessed":{"date-parts":[["2024",7,1]]}}}],"schema":"https://github.com/citation-style-language/schema/raw/master/csl-citation.json"} </w:instrText>
      </w:r>
      <w:r>
        <w:fldChar w:fldCharType="separate"/>
      </w:r>
      <w:r>
        <w:rPr>
          <w:noProof/>
        </w:rPr>
        <w:t>Hussin.</w:t>
      </w:r>
      <w:r>
        <w:fldChar w:fldCharType="end"/>
      </w:r>
    </w:p>
  </w:footnote>
  <w:footnote w:id="52">
    <w:p w14:paraId="2A369CEE" w14:textId="2BD6EF4A" w:rsidR="002B0BE1" w:rsidRDefault="002B0BE1" w:rsidP="00402D16">
      <w:pPr>
        <w:pStyle w:val="FootnoteText"/>
        <w:jc w:val="both"/>
      </w:pPr>
      <w:r>
        <w:rPr>
          <w:rStyle w:val="FootnoteReference"/>
        </w:rPr>
        <w:footnoteRef/>
      </w:r>
      <w:r>
        <w:t xml:space="preserve"> </w:t>
      </w:r>
      <w:r>
        <w:fldChar w:fldCharType="begin"/>
      </w:r>
      <w:r w:rsidR="00B06650">
        <w:instrText xml:space="preserve"> ADDIN ZOTERO_ITEM CSL_CITATION {"citationID":"sryexNHo","properties":{"formattedCitation":"Mohd Norhusairi Mat Hussin and Mohd Hafiz Jamaludin, \\uc0\\u8220{}Harta Sepencarian vs Harta Perkahwinan Dalam Perundangan Sivil: Satu Sorotan Ringkas\\uc0\\u8221{} 6, no. 1 (Desember 2016): 79\\uc0\\u8211{}99.","plainCitation":"Mohd Norhusairi Mat Hussin and Mohd Hafiz Jamaludin, “Harta Sepencarian vs Harta Perkahwinan Dalam Perundangan Sivil: Satu Sorotan Ringkas” 6, no. 1 (Desember 2016): 79–99.","noteIndex":52},"citationItems":[{"id":1308,"uris":["http://zotero.org/users/local/YyjvkUwP/items/XF7EP6NV"],"itemData":{"id":1308,"type":"article-journal","abstract":"Harta  sepencarian  adalah  instrumen  bagipembahagian  harta  suami  isteri sekiranya   berlaku keadaan   yang   tidak   dijangka di   dalam   sesebuah perkahwinan.Harta  sepencarian  boleh  dianggap  sebagai  amalan  adat masyarakat di Malaysia danjugamasyarakat-masyarakat lain di kepulauan Nusantara. Amalan  adatinitelahmendapat  pengiktirafan  dari  sudut undang-undang  di  mana  iatelah  didengar  di  mahkamah  sebelum  negaramencapai  kemerdekaan  daripada  British.  Harta  Sepencarian  di  Malaysia telah ditadbir di bawah Undang-Undang Keluarga Islamyang berkuat kuasadi  negeri-negeriseluruhMalaysia.  Oleh itu,  Harta  Sepencarianhanya terpakai  kepada  masyarakat  Islam  di  negara  ini.Bagi  masyarakat  bukan Islampula,   pembahagian   harta   suami   isteri dikenali   sebagai   harta perkahwinandan pihak-pihak yang terlibat perlu mengemukakan tuntutan di mahkamah   sivil. Bagi   harta   perkahwinan   ini,   ia   ditadbiroleh   Akta Membaharui  Undang-Undang  (Perkahwinan  dan  Perceraian)  1976  dan Akta Perempuan Bersuami1957.Justeruitu, penulisan artikel ini bertujuan untuk  mengkaji  persamaan  dan  perbezaan  yang  wujud  dalam  amalan pembahagian harta sepencarian harta dan pembahagian harta perkahwinandi Malaysia","issue":"1","language":"en_US","page":"79-99","source":"jrmg.um.edu.my","title":"Harta Sepencarian vs Harta Perkahwinan dalam Perundangan Sivil: Satu Sorotan Ringkas","volume":"6","author":[{"family":"Hussin","given":"Mohd Norhusairi Mat"},{"family":"Jamaludin","given":"Mohd Hafiz"}],"issued":{"date-parts":[["2016"]],"season":"Desember"}}}],"schema":"https://github.com/citation-style-language/schema/raw/master/csl-citation.json"} </w:instrText>
      </w:r>
      <w:r>
        <w:fldChar w:fldCharType="separate"/>
      </w:r>
      <w:r w:rsidRPr="002B0BE1">
        <w:t>Mohd Norhusairi Mat Hussin and Mohd Hafiz Jamaludin, “Harta Sepencarian vs Harta Perkahwinan Dalam Perundangan Sivil: Satu Sorotan Ringkas” 6, no. 1 (Desember 2016): 79–99.</w:t>
      </w:r>
      <w:r>
        <w:fldChar w:fldCharType="end"/>
      </w:r>
    </w:p>
  </w:footnote>
  <w:footnote w:id="53">
    <w:p w14:paraId="35D6A6C4" w14:textId="1F8C1430" w:rsidR="002B0BE1" w:rsidRDefault="002B0BE1" w:rsidP="00402D16">
      <w:pPr>
        <w:pStyle w:val="FootnoteText"/>
        <w:jc w:val="both"/>
      </w:pPr>
      <w:r>
        <w:rPr>
          <w:rStyle w:val="FootnoteReference"/>
        </w:rPr>
        <w:footnoteRef/>
      </w:r>
      <w:r>
        <w:t xml:space="preserve"> </w:t>
      </w:r>
      <w:r>
        <w:fldChar w:fldCharType="begin"/>
      </w:r>
      <w:r w:rsidR="00B06650">
        <w:instrText xml:space="preserve"> ADDIN ZOTERO_ITEM CSL_CITATION {"citationID":"RwcNZ5uh","properties":{"formattedCitation":"Ahmad Akram Mahmad Robbi and Mek Wok Mahmud, \\uc0\\u8220{}Maq\\uc0\\u257{}\\uc0\\u7778{}id Al-\\uc0\\u8216{}Adl (Keadilan) Dalam Isu Tuntutan Harta Sepencarian Di Malaysia (The Objective of Fairness (al-\\uc0\\u8216{}Adl) in The Matrimonial Property Conflict in Malaysia),\\uc0\\u8221{} in {\\i{}Journal of Islam in Asia (E-ISSN 2289-8077)}, vol. 17, 2020, 291\\uc0\\u8211{}320, https://doi.org/10.31436/jia.v17i3.986.","plainCitation":"Ahmad Akram Mahmad Robbi and Mek Wok Mahmud, “MaqāṢid Al-‘Adl (Keadilan) Dalam Isu Tuntutan Harta Sepencarian Di Malaysia (The Objective of Fairness (al-‘Adl) in The Matrimonial Property Conflict in Malaysia),” in Journal of Islam in Asia (E-ISSN 2289-8077), vol. 17, 2020, 291–320, https://doi.org/10.31436/jia.v17i3.986.","noteIndex":53},"citationItems":[{"id":1305,"uris":["http://zotero.org/users/local/YyjvkUwP/items/AKMV83Q5"],"itemData":{"id":1305,"type":"paper-conference","abstract":"Harta sepencarian ialah amalan yang diwarisi daripada adat Melayu secara turun temurun. Bahkan, amalan ini telah diangkat sebagai undang-undang yang sah dan berkuat kuasa dalam perundangan Islam di Malaysia. Amalan ini saban hari terus dipraktikkan di Mahkamah Syariah seluruh negara. Pun begitu, dalam pengamalan harta sepencarian di negara ini, timbul satu persoalan mengenai standard penetapan pembahagian hak dalam harta yang dituntut oleh pihak-pihak yang bertelingkah. Persoalan mengenai prinsip keadilan yang diterapkan semasa proses penetapan pembahagian harta sepencarian cuba dibangkitkan dalam artikel ini. Berdasarkan metode analisis dan kritikan terhadap beberapa isu yang berbangkit, artikel ini memberikan penekanan secara khusus akan penetapan nilai keadilan semasa proses pembahagian hak dalam harta sepencarian. Dengan itu, objektif di sebalik perlaksanaan harta sepencarian iaitu memelihara hak-hak wanita, kebajikan keluarga dapat diimbangkan dengan maslahah lain seperti menjaga keharmonian keluarga secara berterusan dan reda-meredai.\nKata Kunci: Harta sepencarian, adat, Mahkamah Syariah, keadilan, maslahah.\nAbstract\nMatrimonial property is one of the practices come from Malaysian traditional practices. It has been recognized as a legal jurisdiction and enforced in Malaysian legal system. This tradition has been practiced in Syariah Courts in Malaysia. However, throughout the practices, there is an issue has prompted regarding the standard that been used in partition processes in the matrimonial property. This article questions an issue regarding the principle of fairness that being used while the partition event in the matrimonial property. This article relies upon analysis and critical study to specifically focus on the principle of justice while the partition event of the matrimonial property. Thus, the objective of the matrimonial property practices as it guarantees women rights can be balanced and in line with other benefits such as to ensure the family is in harmony constantly.\nKeywords: Matrimonial property, tradition, Syariah Court, fairness, benefits.","container-title":"Journal of Islam in Asia (E-ISSN 2289-8077)","DOI":"10.31436/jia.v17i3.986","note":"ISSN: 2289-8077, 1823-0970\nissue: 3\njournalAbbreviation: JIA","page":"291-320","source":"Semantic Scholar","title":"MaqāṢid Al-‘Adl (Keadilan) Dalam Isu Tuntutan Harta Sepencarian di Malaysia (The Objective of Fairness (al-‘Adl) in The Matrimonial Property Conflict in Malaysia)","URL":"https://journals.iium.edu.my/jiasia/index.php/jia/article/view/986","volume":"17","author":[{"family":"Mahmad Robbi","given":"Ahmad Akram"},{"family":"Mahmud","given":"Mek Wok"}],"accessed":{"date-parts":[["2024",7,1]]},"issued":{"date-parts":[["2020",11,4]]}}}],"schema":"https://github.com/citation-style-language/schema/raw/master/csl-citation.json"} </w:instrText>
      </w:r>
      <w:r>
        <w:fldChar w:fldCharType="separate"/>
      </w:r>
      <w:r w:rsidRPr="002B0BE1">
        <w:t xml:space="preserve">Ahmad Akram Mahmad Robbi and Mek Wok Mahmud, “MaqāṢid Al-‘Adl (Keadilan) Dalam Isu Tuntutan Harta Sepencarian Di Malaysia (The Objective of Fairness (al-‘Adl) in The Matrimonial Property Conflict in Malaysia),” in </w:t>
      </w:r>
      <w:r w:rsidRPr="002B0BE1">
        <w:rPr>
          <w:i/>
          <w:iCs/>
        </w:rPr>
        <w:t>Journal of Islam in Asia (E-ISSN 2289-8077)</w:t>
      </w:r>
      <w:r w:rsidRPr="002B0BE1">
        <w:t>, vol. 17, 2020, 291–320, https://doi.org/10.31436/jia.v17i3.986.</w:t>
      </w:r>
      <w:r>
        <w:fldChar w:fldCharType="end"/>
      </w:r>
    </w:p>
  </w:footnote>
  <w:footnote w:id="54">
    <w:p w14:paraId="7810CD23" w14:textId="5828E56F" w:rsidR="002A54BB" w:rsidRDefault="002A54BB" w:rsidP="00402D16">
      <w:pPr>
        <w:pStyle w:val="FootnoteText"/>
        <w:jc w:val="both"/>
      </w:pPr>
      <w:r>
        <w:rPr>
          <w:rStyle w:val="FootnoteReference"/>
        </w:rPr>
        <w:footnoteRef/>
      </w:r>
      <w:r>
        <w:t xml:space="preserve"> </w:t>
      </w:r>
      <w:r>
        <w:fldChar w:fldCharType="begin"/>
      </w:r>
      <w:r w:rsidR="00B06650">
        <w:instrText xml:space="preserve"> ADDIN ZOTERO_ITEM CSL_CITATION {"citationID":"hMjwyTPS","properties":{"formattedCitation":"Muhammad Faizul Haque et al., \\uc0\\u8220{}Women Rights to Inheritance in Muslim Family Law: An Analytical Study,\\uc0\\u8221{} {\\i{}International Journal of Islamic Business &amp;Amp; Management} 4, no. 1 (2020), https://doi.org/10.46281/ijibm.v4i1.543.","plainCitation":"Muhammad Faizul Haque et al., “Women Rights to Inheritance in Muslim Family Law: An Analytical Study,” International Journal of Islamic Business &amp;Amp; Management 4, no. 1 (2020), https://doi.org/10.46281/ijibm.v4i1.543.","noteIndex":54},"citationItems":[{"id":1310,"uris":["http://zotero.org/users/local/YyjvkUwP/items/84AAAMDA"],"itemData":{"id":1310,"type":"article-journal","abstract":"Rights of women are one of the widely discussed yet debatable issues across the Western and Muslim world. It is seen in the Muslim societies that many women are deprived in terms of inheriting property after the demise of their parents. This is largely happening due to the negligence of practicing Islamic teachings regarding inheritance at individual and family level. However, Islam has placed a dignified position for women in family and society in all sectors. Particularly the principle of inheritance of property has been clearly stated in the holy Qur’an. In this background, this paper emphasises on exploring (a) Qur’anic and Prophetic stand on women’s right to inheritance, (b) the main obstacles that impede women in getting inheritance rights in family and its remedies from the Islamic perspectives. This paper adopts an analytical approach to study this vital issue. Under this approach, the study analyses the relevant data from the two fundamental sources of Islam, Qur’an and Sunnah, along with jurisprudential views and provides solutions to solve the problems related to Muslim women’s inheritance right in family. Findings of this paper indicated that if the Muslim family practices the Islamic teachings regarding the distribution of inheritance among the heirs, it will eradicate the existing discrimination among men and women in this regard and enable women’s financial steadiness in family and society.","container-title":"International Journal of Islamic Business &amp;Amp; Management","DOI":"10.46281/ijibm.v4i1.543","issue":"1","language":"en","source":"scite.ai","title":"Women Rights to Inheritance in Muslim Family Law: An Analytical Study","title-short":"Women Rights to Inheritance in Muslim Family Law","URL":"https://doi.org/10.46281/ijibm.v4i1.543","volume":"4","author":[{"family":"Haque","given":"Muhammad Faizul"},{"family":"Solihin","given":"Sohirin Mohammad"},{"family":"Ahmad","given":"Nadzrah"},{"family":"Jani","given":"Mohd Shah"}],"accessed":{"date-parts":[["2024",7,1]]},"issued":{"date-parts":[["2020"]]}}}],"schema":"https://github.com/citation-style-language/schema/raw/master/csl-citation.json"} </w:instrText>
      </w:r>
      <w:r>
        <w:fldChar w:fldCharType="separate"/>
      </w:r>
      <w:r w:rsidR="00AE1BD6" w:rsidRPr="00AE1BD6">
        <w:t xml:space="preserve">Muhammad Faizul Haque et al., “Women Rights to Inheritance in Muslim Family Law: An Analytical Study,” </w:t>
      </w:r>
      <w:r w:rsidR="00AE1BD6" w:rsidRPr="00AE1BD6">
        <w:rPr>
          <w:i/>
          <w:iCs/>
        </w:rPr>
        <w:t>International Journal of Islamic Business &amp;Amp; Management</w:t>
      </w:r>
      <w:r w:rsidR="00AE1BD6" w:rsidRPr="00AE1BD6">
        <w:t xml:space="preserve"> 4, no. 1 (2020), https://doi.org/10.46281/ijibm.v4i1.543.</w:t>
      </w:r>
      <w:r>
        <w:fldChar w:fldCharType="end"/>
      </w:r>
    </w:p>
  </w:footnote>
  <w:footnote w:id="55">
    <w:p w14:paraId="1B2FEBC8" w14:textId="15703C57" w:rsidR="00374CCB" w:rsidRDefault="00374CCB" w:rsidP="00402D16">
      <w:pPr>
        <w:pStyle w:val="FootnoteText"/>
        <w:jc w:val="both"/>
      </w:pPr>
      <w:r>
        <w:rPr>
          <w:rStyle w:val="FootnoteReference"/>
        </w:rPr>
        <w:footnoteRef/>
      </w:r>
      <w:r>
        <w:t xml:space="preserve"> </w:t>
      </w:r>
      <w:r>
        <w:fldChar w:fldCharType="begin"/>
      </w:r>
      <w:r w:rsidR="00B06650">
        <w:instrText xml:space="preserve"> ADDIN ZOTERO_ITEM CSL_CITATION {"citationID":"gQIJpxDu","properties":{"formattedCitation":"Aulia Fadhilah Fawwaz, \\uc0\\u8220{}Analysis of Qaul Qadim Imam Syafi\\uc0\\u8217{}i in the Social History of Islamic Law,\\uc0\\u8221{} {\\i{}Jurnal Pendidikan Islam} 1, no. 2 (2023), https://doi.org/10.47134/pjpi.v1i2.166.","plainCitation":"Aulia Fadhilah Fawwaz, “Analysis of Qaul Qadim Imam Syafi’i in the Social History of Islamic Law,” Jurnal Pendidikan Islam 1, no. 2 (2023), https://doi.org/10.47134/pjpi.v1i2.166.","noteIndex":55},"citationItems":[{"id":1318,"uris":["http://zotero.org/users/local/YyjvkUwP/items/6SB66PAL"],"itemData":{"id":1318,"type":"article-journal","abstract":"This research analyzes how qaul qadim and how ijtihad are viewed by Imam Syafi'i which is studied from several aspects, namely from historical, social and Islamic legal aspects. This research has the main aim of examining how qaul qadim is from a historical perspective, namely how history was formed and the birth of qaul qadim and then how social changes and Islamic law have affected qaul qadim which was mandated by one of the fiqh scholars, namely Imam Syafi'i, in establishing Islamic law. This research is research with a normative theological approach, namely a theological-normative approach, namely by looking at the texts of the Koran and al-Hadith which are the main sources in determining Islamic law and this type of research. The sociological approach is research whose object of study is seen in terms of different fatwa factors. different to accommodate legal problems that arise at this time and require ijtihad, then Islamic law will do it. This research shows that qaul qadim and ijtihad carried out by Imam Syafi'i are influenced by various factors in their determination, including social, political, cultural, geographical and scientific factors which influence the dynamics of legal determinations carried out by mujtahids like Imam Syafi'i.","container-title":"Jurnal Pendidikan Islam","DOI":"10.47134/pjpi.v1i2.166","issue":"2","language":"en","source":"scite.ai","title":"Analysis of Qaul Qadim Imam Syafi'i in the Social History of Islamic Law","URL":"https://doi.org/10.47134/pjpi.v1i2.166","volume":"1","author":[{"family":"Fawwaz","given":"Aulia Fadhilah"}],"accessed":{"date-parts":[["2024",7,1]]},"issued":{"date-parts":[["2023"]]}}}],"schema":"https://github.com/citation-style-language/schema/raw/master/csl-citation.json"} </w:instrText>
      </w:r>
      <w:r>
        <w:fldChar w:fldCharType="separate"/>
      </w:r>
      <w:r w:rsidRPr="00374CCB">
        <w:t xml:space="preserve">Aulia Fadhilah Fawwaz, “Analysis of Qaul Qadim Imam Syafi’i in the Social History of Islamic Law,” </w:t>
      </w:r>
      <w:r w:rsidRPr="00374CCB">
        <w:rPr>
          <w:i/>
          <w:iCs/>
        </w:rPr>
        <w:t>Jurnal Pendidikan Islam</w:t>
      </w:r>
      <w:r w:rsidRPr="00374CCB">
        <w:t xml:space="preserve"> 1, no. 2 (2023), https://doi.org/10.47134/pjpi.v1i2.166.</w:t>
      </w:r>
      <w:r>
        <w:fldChar w:fldCharType="end"/>
      </w:r>
    </w:p>
  </w:footnote>
  <w:footnote w:id="56">
    <w:p w14:paraId="3E9A45A3" w14:textId="0804E058" w:rsidR="00F6632B" w:rsidRDefault="00F6632B" w:rsidP="00402D16">
      <w:pPr>
        <w:pStyle w:val="FootnoteText"/>
        <w:jc w:val="both"/>
      </w:pPr>
      <w:r>
        <w:rPr>
          <w:rStyle w:val="FootnoteReference"/>
        </w:rPr>
        <w:footnoteRef/>
      </w:r>
      <w:r>
        <w:t xml:space="preserve"> </w:t>
      </w:r>
      <w:r>
        <w:fldChar w:fldCharType="begin"/>
      </w:r>
      <w:r w:rsidR="00B06650">
        <w:instrText xml:space="preserve"> ADDIN ZOTERO_ITEM CSL_CITATION {"citationID":"aP8tU1QA","properties":{"formattedCitation":"Amrin Amrin and Amirullah Amirullah, \\uc0\\u8220{}Contemporary Legal Istimbat: Study on the Theory of Changes in Fatwa According to Yusuf Qardhawi,\\uc0\\u8221{} {\\i{}Mizan: Journal of Islamic Law} 6, no. 1 (April 17, 2022): 89, https://doi.org/10.32507/mizan.v6i1.1244.","plainCitation":"Amrin Amrin and Amirullah Amirullah, “Contemporary Legal Istimbat: Study on the Theory of Changes in Fatwa According to Yusuf Qardhawi,” Mizan: Journal of Islamic Law 6, no. 1 (April 17, 2022): 89, https://doi.org/10.32507/mizan.v6i1.1244.","noteIndex":56},"citationItems":[{"id":1315,"uris":["http://zotero.org/users/local/YyjvkUwP/items/SQRLZAKV"],"itemData":{"id":1315,"type":"article-journal","abstract":"This research departs from the problems faced by modern society and Muslims against the reality and actions that arise in response to the development and progress of the times in various aspects of life that require legal status (legal istinbat) as a guide in their lives, so the study aims to examine changes and the development of contemporary fatwas based on theory and changes according to Yusuf Qardhawi. The research uses qualitative research with a library research approach, while the data sources are al-Fatwa Baina al-Indibad aw alTasayyub, Mushkilat al-Faqr wa Kayfa 'Alajaha al-Islam, Fawaid al-Bunuk Hiya al-Riba al-Haram, Daur al-Qiyam al-Akhlaq fi Iqtisad al-Islamy and other books as for data analysis using qualitative.The results of the study are that Yusuf al-Qardhawi is a contemporary scholar who is an expert in Islamic law. In giving the fatwa, Yusuf al-Qardhawi pays attention to changes that occur, both changes that occur in classical times and changes that occur at this time that require legal terms or fatwas. As a legal product that is a response to the reality and problems that occur, Yusuf al-Qardhawi offers ten instruments with a fatwa that can change due to: First, Change of Place. Second, the changing times. Third, change in circumstances. Fourth, the change of 'urf. Fifth, Changes in Information/Knowledge. Sixth, Changes in Human Needs. Seventh, changes in human abilities. Eighth, changes in social, economic, and political situations. Ninth, change of opinion and thought, and tenth, general disaster.","container-title":"Mizan: Journal of Islamic Law","DOI":"10.32507/mizan.v6i1.1244","ISSN":"2598-6252, 2598-974X","issue":"1","journalAbbreviation":"Mizan: Journal of Islamic Law","language":"en","license":"https://creativecommons.org/licenses/by-sa/4.0","page":"89","source":"DOI.org (Crossref)","title":"Contemporary Legal Istimbat: Study on the Theory of Changes in Fatwa According to Yusuf Qardhawi","title-short":"Contemporary Legal Istimbat","volume":"6","author":[{"family":"Amrin","given":"Amrin"},{"family":"Amirullah","given":"Amirullah"}],"issued":{"date-parts":[["2022",4,17]]}}}],"schema":"https://github.com/citation-style-language/schema/raw/master/csl-citation.json"} </w:instrText>
      </w:r>
      <w:r>
        <w:fldChar w:fldCharType="separate"/>
      </w:r>
      <w:r w:rsidRPr="00F6632B">
        <w:t xml:space="preserve">Amrin Amrin and Amirullah Amirullah, “Contemporary Legal Istimbat: Study on the Theory of Changes in Fatwa According to Yusuf Qardhawi,” </w:t>
      </w:r>
      <w:r w:rsidRPr="00F6632B">
        <w:rPr>
          <w:i/>
          <w:iCs/>
        </w:rPr>
        <w:t>Mizan: Journal of Islamic Law</w:t>
      </w:r>
      <w:r w:rsidRPr="00F6632B">
        <w:t xml:space="preserve"> 6, no. 1 (April 17, 2022): 89, https://doi.org/10.32507/mizan.v6i1.1244.</w:t>
      </w:r>
      <w:r>
        <w:fldChar w:fldCharType="end"/>
      </w:r>
    </w:p>
  </w:footnote>
  <w:footnote w:id="57">
    <w:p w14:paraId="526BB904" w14:textId="3B882ECC" w:rsidR="002A31AD" w:rsidRDefault="002A31AD" w:rsidP="00402D16">
      <w:pPr>
        <w:pStyle w:val="FootnoteText"/>
        <w:jc w:val="both"/>
      </w:pPr>
      <w:r>
        <w:rPr>
          <w:rStyle w:val="FootnoteReference"/>
        </w:rPr>
        <w:footnoteRef/>
      </w:r>
      <w:r>
        <w:t xml:space="preserve"> </w:t>
      </w:r>
      <w:r>
        <w:fldChar w:fldCharType="begin"/>
      </w:r>
      <w:r w:rsidR="00B06650">
        <w:instrText xml:space="preserve"> ADDIN ZOTERO_ITEM CSL_CITATION {"citationID":"dA68X1x9","properties":{"formattedCitation":"Mohd Hafiz Jamaludin et al., \\uc0\\u8220{}Pemakaian Instrumen Istihsan Dengan \\uc0\\u8216{}Urf ( Al-Istihsan Bi Al-`Urfi ) Dalam Amalan Pembahagian Harta Sepencarian Di Malaysia = The Application of the Instrument ofAl-Istihsan Bi Al-\\uc0\\u8217{}Urf in Harta Sepencarian Practice in Malaysia\\uc0\\u8221{} 14 (Desember 2014): 69\\uc0\\u8211{}88, http://dx.doi.org/10.12816/0012615.","plainCitation":"Mohd Hafiz Jamaludin et al., “Pemakaian Instrumen Istihsan Dengan ‘Urf ( Al-Istihsan Bi Al-`Urfi ) Dalam Amalan Pembahagian Harta Sepencarian Di Malaysia = The Application of the Instrument ofAl-Istihsan Bi Al-’Urf in Harta Sepencarian Practice in Malaysia” 14 (Desember 2014): 69–88, http://dx.doi.org/10.12816/0012615.","noteIndex":57},"citationItems":[{"id":1316,"uris":["http://zotero.org/users/local/YyjvkUwP/items/HN8QSJAQ"],"itemData":{"id":1316,"type":"article-journal","abstract":"Kajian ini memfokuskan tentang pemakaian instrumen al-Istihsan bi al-`Urfi dalam justifikasi amalan harta sepencarian. Asasnya, instrumen ini bersumberkan usul daripada mazhab Hanafi. Namun secara teknikalnya, ia tidak jauh berbeza dengan instrumen urf menurut mazhab Syafi'i. Tambahan pula, amalan pembahagian harta sepencarian ini diamalkan dalam masyarakat Melayu khususnya di Nusantara yang majoritinya berpegang kepada mazhab Syafi'i. Kajian ini menggunakan metodologi kajian perpustakaan dengan merujuk kepada kitab-kitab tulisan para ulama dalam mazhab Hanafi dan mazhab Syafi'i dalam usaha untuk menjustifikasikan penerimaan amalan harta sepencarian dalam hukum syarak. Kajian cuba mencari justifikasi dalam mazhab yang lain dalam usaha untuk mengembangkan amalan yang memberi manfaat dan pembelaan kepada kaum wanita khususnya ke negara-negara Islam selain daripada masyarakat Muslim Nusantara. Meskipun kemungkinan penyertaan wanita dalam lapangan pekerjaan belum menjadi satu 'urf yang boleh diiktiraf untuk mendapatkan harta dalam perkahwinan, namun tugas-tugas domestik kaum wanita dalam pengurusan rumah tangga boleh dijadikan asas dalam pembahagian harta yang diperolehi dalam perkahwinan antara pasangan yang telah bercerai. Ini secara tidak langsung mampu memperlihatkan keindahan Islam dalam menjaga hak kaum wanita yang sering kali dilihat sebagai golongan yang lemah dan akan menjadi mangsa kepada sesebuah perceraian yang berlaku. Dalam memperkemaskan amalan pembahagian ini pula, teori dan praktis perundangan di Malaysia dapat menjadi contoh dan boleh dikembangkan ke negara-negara umat Islam yang lain. Hasil kajian telah mendapati bahawa pemakaian instrumen ini sesuai dengan furuk Syafìiyyah di samping dapat mengukuhkan lagi amalan harta sepencarian serta boleh diamalkan di negara-negara umat Islam lain termasuklah yang berpegang kepada mazhab Hanafi. (This study focuses on the application of the instrument al-Istihsan bi al-`Urfi in justification of “harta sepencarian” practice. Basically, this instrument motion derived from the Hanafi school. But technically, it's not dissimilar to the instrument `urf according to Shafi'i school. Furthermore, the concept of “harta sepencarian” division is practiced in the Malay community, especially in Nusantara, which is the majority, upholds the Shafi’i school. This study uses library research methodology with reference to the writings of scholars in the Hanafi and Shafi'i school in order to justify the acceptance of the practice of “harta sepencarian” in Shari'ah law. This study tries to find justification in the other school in an attempt to develop a practice that benefits and defense women, particularly to Muslim countries other than the Muslim community of the Nusantara. Despite the possibility of the participation of women in jobs has not become a custody or 'urf yet that can be recognized for the property in marriage, but domestic duties of women in household management can be the basis for the division of property acquired during a marriage between couples who divorce. This in turn can keep the beauty of Islam in which women's rights are often seen as the weak and will fall prey to a divorce case. In this division to streamline practice, the theory and practice of law in Malaysia can be an example and extended to other Muslims countries. The study has found that the application of these instruments is in accordance with furu‘ Shafi`iyyah as well as to strengthen the practice of “harta sepencarian” to be practiced in other Muslim countries including the country that adhere to the Hanafi school.)","DOI":"http://dx.doi.org/10.12816/0012615","page":"69-88","title":"Pemakaian Instrumen Istihsan dengan ‘Urf ( Al-Istihsan bi Al-`Urfi ) dalam Amalan Pembahagian Harta Sepencarian di Malaysia = The Application of the Instrument ofAl-Istihsan bi Al-’Urf in Harta Sepencarian Practice in Malaysia","volume":"14","author":[{"family":"Jamaludin","given":"Mohd Hafiz"},{"family":"Hussin","given":"Mohd Norhusairi Mat"},{"family":"Khambali","given":"Khadijah Mohd"},{"family":"Ramli","given":"Mohd Anuar"}],"issued":{"date-parts":[["2014"]],"season":"Desember"}}}],"schema":"https://github.com/citation-style-language/schema/raw/master/csl-citation.json"} </w:instrText>
      </w:r>
      <w:r>
        <w:fldChar w:fldCharType="separate"/>
      </w:r>
      <w:r w:rsidR="00CE6FCA" w:rsidRPr="00CE6FCA">
        <w:t>Mohd Hafiz Jamaludin et al., “Pemakaian Instrumen Istihsan Dengan ‘Urf ( Al-Istihsan Bi Al-`Urfi ) Dalam Amalan Pembahagian Harta Sepencarian Di Malaysia = The Application of the Instrument ofAl-Istihsan Bi Al-’Urf in Harta Sepencarian Practice in Malaysia” 14 (Desember 2014): 69–88, http://dx.doi.org/10.12816/0012615.</w:t>
      </w:r>
      <w:r>
        <w:fldChar w:fldCharType="end"/>
      </w:r>
    </w:p>
  </w:footnote>
  <w:footnote w:id="58">
    <w:p w14:paraId="5C433C4C" w14:textId="4EC4B897" w:rsidR="00D1367F" w:rsidRDefault="00D1367F" w:rsidP="00402D16">
      <w:pPr>
        <w:pStyle w:val="FootnoteText"/>
        <w:jc w:val="both"/>
      </w:pPr>
      <w:r>
        <w:rPr>
          <w:rStyle w:val="FootnoteReference"/>
        </w:rPr>
        <w:footnoteRef/>
      </w:r>
      <w:r>
        <w:t xml:space="preserve"> </w:t>
      </w:r>
      <w:r>
        <w:fldChar w:fldCharType="begin"/>
      </w:r>
      <w:r w:rsidR="00B06650">
        <w:instrText xml:space="preserve"> ADDIN ZOTERO_ITEM CSL_CITATION {"citationID":"KpKwneXb","properties":{"formattedCitation":"Fawwaz, \\uc0\\u8220{}Analysis of Qaul Qadim Imam Syafi\\uc0\\u8217{}i in the Social History of Islamic Law.\\uc0\\u8221{}","plainCitation":"Fawwaz, “Analysis of Qaul Qadim Imam Syafi’i in the Social History of Islamic Law.”","noteIndex":58},"citationItems":[{"id":1318,"uris":["http://zotero.org/users/local/YyjvkUwP/items/6SB66PAL"],"itemData":{"id":1318,"type":"article-journal","abstract":"This research analyzes how qaul qadim and how ijtihad are viewed by Imam Syafi'i which is studied from several aspects, namely from historical, social and Islamic legal aspects. This research has the main aim of examining how qaul qadim is from a historical perspective, namely how history was formed and the birth of qaul qadim and then how social changes and Islamic law have affected qaul qadim which was mandated by one of the fiqh scholars, namely Imam Syafi'i, in establishing Islamic law. This research is research with a normative theological approach, namely a theological-normative approach, namely by looking at the texts of the Koran and al-Hadith which are the main sources in determining Islamic law and this type of research. The sociological approach is research whose object of study is seen in terms of different fatwa factors. different to accommodate legal problems that arise at this time and require ijtihad, then Islamic law will do it. This research shows that qaul qadim and ijtihad carried out by Imam Syafi'i are influenced by various factors in their determination, including social, political, cultural, geographical and scientific factors which influence the dynamics of legal determinations carried out by mujtahids like Imam Syafi'i.","container-title":"Jurnal Pendidikan Islam","DOI":"10.47134/pjpi.v1i2.166","issue":"2","language":"en","source":"scite.ai","title":"Analysis of Qaul Qadim Imam Syafi'i in the Social History of Islamic Law","URL":"https://doi.org/10.47134/pjpi.v1i2.166","volume":"1","author":[{"family":"Fawwaz","given":"Aulia Fadhilah"}],"accessed":{"date-parts":[["2024",7,1]]},"issued":{"date-parts":[["2023"]]}}}],"schema":"https://github.com/citation-style-language/schema/raw/master/csl-citation.json"} </w:instrText>
      </w:r>
      <w:r>
        <w:fldChar w:fldCharType="separate"/>
      </w:r>
      <w:r w:rsidRPr="00D1367F">
        <w:t>Fawwaz, “Analysis of Qaul Qadim Imam Syafi’i in the Social History of Islamic Law.”</w:t>
      </w:r>
      <w:r>
        <w:fldChar w:fldCharType="end"/>
      </w:r>
    </w:p>
  </w:footnote>
  <w:footnote w:id="59">
    <w:p w14:paraId="01744EFE" w14:textId="0F0B14E9" w:rsidR="00F61F08" w:rsidRDefault="00F61F08" w:rsidP="00402D16">
      <w:pPr>
        <w:pStyle w:val="FootnoteText"/>
        <w:jc w:val="both"/>
      </w:pPr>
      <w:r>
        <w:rPr>
          <w:rStyle w:val="FootnoteReference"/>
        </w:rPr>
        <w:footnoteRef/>
      </w:r>
      <w:r>
        <w:t xml:space="preserve"> </w:t>
      </w:r>
      <w:r>
        <w:fldChar w:fldCharType="begin"/>
      </w:r>
      <w:r>
        <w:instrText xml:space="preserve"> ADDIN ZOTERO_ITEM CSL_CITATION {"citationID":"yLkUyaQT","properties":{"formattedCitation":"Mohamad Ali Roshidi Ahmad, \\uc0\\u8220{}Permasalahan Tuntutan Harta Sepencarian Dalam Pembahagian Harta Pusaka: The Issues of Jointly Acquired Property Claims in the Division of Estate,\\uc0\\u8221{} {\\i{}Journal of Fatwa Management and Research} 24, no. 2 (April 30, 2021): 118\\uc0\\u8211{}31, https://doi.org/10.33102/jfatwa.vol24no2.352.","plainCitation":"Mohamad Ali Roshidi Ahmad, “Permasalahan Tuntutan Harta Sepencarian Dalam Pembahagian Harta Pusaka: The Issues of Jointly Acquired Property Claims in the Division of Estate,” Journal of Fatwa Management and Research 24, no. 2 (April 30, 2021): 118–31, https://doi.org/10.33102/jfatwa.vol24no2.352.","noteIndex":59},"citationItems":[{"id":1578,"uris":["http://zotero.org/users/local/YyjvkUwP/items/3TEMWDQQ"],"itemData":{"id":1578,"type":"article-journal","abstract":"Islamic Family Law of all states in Malaysia has recognized jointly acquired property claims. Jointly acquired property can only be claimed by the couple, whether husband or wife. Jointly acquired property can be claimed in three circumstances, namely by reason of divorce, polygamy or death. Although there are legal provisions, there is still a lot of confusion about the claim process after death. Especially from the aspect of the type of property that can be claimed as a jointly acquired property, the method of proving the level of contribution by a person to the acquisition of property, who is eligible to make a claim, the rate of share of property that can be claimed, the method of division of property, claim procedure and so on. This paper will only discuss the issues and problems encountered in the process of claiming jointly acquired property by a spouse before the claim of division of estate is made.\r\nAsbtrak\r\nUndang-undang Keluarga Islam semua negeri di Malaysia telah mengiktiraf tuntutan harta sepencarian. Harta sepencarian hanya boleh dituntut oleh pasangan sahaja, sama ada suami ataupun isteri. Harta sepencarian boleh dituntut dalam tiga keadaan, iaitu dengan sebab berlakunya perceraian, poligami atau kematian. Walaupun peruntukan undang-undang telah ada, tetapi masih terdapat banyak kekeliruan terhadap proses tuntutan selepas kematian. Terutama dari aspek jenis harta yang boleh dituntut sebagai harta sepencarian, kaedah pembuktian tahap sumbangan oleh seseorang terhadap pemerolehan harta, siapa yang layak membuat tuntutan, kadar bahagian harta yang boleh dituntut, cara pembahagian harta, prosedur tuntutan dan sebagainya. Kertaskerja ini hanya akan membincangkan mengenai isu-isu dan masalah-masalah yang dihadapi dalam proses tuntutan harta sepencarian oleh seorang pasangan sebelum tuntutan pembahagian harta pusaka dibuat","container-title":"Journal of Fatwa Management and Research","DOI":"10.33102/jfatwa.vol24no2.352","ISSN":"0127-8886, 2232-1047","issue":"2","journalAbbreviation":"j. ftw. mgt. res.","license":"https://creativecommons.org/licenses/by/4.0","page":"118-131","source":"Semantic Scholar","title":"Permasalahan Tuntutan Harta Sepencarian Dalam Pembahagian Harta Pusaka: The Issues of Jointly Acquired Property Claims in the Division of Estate","title-short":"Permasalahan Tuntutan Harta Sepencarian Dalam Pembahagian Harta Pusaka","volume":"24","author":[{"family":"Ahmad","given":"Mohamad Ali Roshidi"}],"issued":{"date-parts":[["2021",4,30]]}}}],"schema":"https://github.com/citation-style-language/schema/raw/master/csl-citation.json"} </w:instrText>
      </w:r>
      <w:r>
        <w:fldChar w:fldCharType="separate"/>
      </w:r>
      <w:r w:rsidRPr="00F61F08">
        <w:t xml:space="preserve">Mohamad Ali Roshidi Ahmad, “Permasalahan Tuntutan Harta Sepencarian Dalam Pembahagian Harta Pusaka: The Issues of Jointly Acquired Property Claims in the Division of Estate,” </w:t>
      </w:r>
      <w:r w:rsidRPr="00F61F08">
        <w:rPr>
          <w:i/>
          <w:iCs/>
        </w:rPr>
        <w:t>Journal of Fatwa Management and Research</w:t>
      </w:r>
      <w:r w:rsidRPr="00F61F08">
        <w:t xml:space="preserve"> 24, no. 2 (April 30, 2021): 118–31, https://doi.org/10.33102/jfatwa.vol24no2.352.</w:t>
      </w:r>
      <w:r>
        <w:fldChar w:fldCharType="end"/>
      </w:r>
    </w:p>
  </w:footnote>
  <w:footnote w:id="60">
    <w:p w14:paraId="7A0256E7" w14:textId="61E9B69E" w:rsidR="00176040" w:rsidRDefault="00176040" w:rsidP="00402D16">
      <w:pPr>
        <w:pStyle w:val="FootnoteText"/>
        <w:jc w:val="both"/>
      </w:pPr>
      <w:r>
        <w:rPr>
          <w:rStyle w:val="FootnoteReference"/>
        </w:rPr>
        <w:footnoteRef/>
      </w:r>
      <w:r>
        <w:t xml:space="preserve"> </w:t>
      </w:r>
      <w:r>
        <w:fldChar w:fldCharType="begin"/>
      </w:r>
      <w:r>
        <w:instrText xml:space="preserve"> ADDIN ZOTERO_ITEM CSL_CITATION {"citationID":"c8okeDnm","properties":{"formattedCitation":"Vivien Chen, Michelle Welsh, and May Fong Cheong, \\uc0\\u8220{}Gender Diversity on Malaysian Corporate Boards: A Law and Social Movements Perspective,\\uc0\\u8221{} {\\i{}Journal of Law and Society} 49, no. 1 (2022): 23\\uc0\\u8211{}47, https://doi.org/10.1111/jols.12341.","plainCitation":"Vivien Chen, Michelle Welsh, and May Fong Cheong, “Gender Diversity on Malaysian Corporate Boards: A Law and Social Movements Perspective,” Journal of Law and Society 49, no. 1 (2022): 23–47, https://doi.org/10.1111/jols.12341.","noteIndex":60},"citationItems":[{"id":1580,"uris":["http://zotero.org/users/local/YyjvkUwP/items/W893TX3H"],"itemData":{"id":1580,"type":"article-journal","abstract":"This article is a unique investigation of the interaction between sociocultural perceptions of women in Malaysia and reforms implemented in that jurisdiction to promote gender diversity on corporate boards. It adopts a law and social movements perspective to better understand the legal reforms that have emerged, often amid fraught interactions between the state and women's rights activists due to their conflicting conceptions of gender roles. The article draws on empirical data to shed light on the practical workings of the reforms, ascertaining the perspective of insiders through interviews and examining the composition of the boards of 30 of the largest listed companies. While an increase in the representation of women on corporate boards suggests that the reforms have facilitated progress towards gender equality, such progress must be viewed in the context of prevalent conservative perceptions of gender roles, and sustained state resistance against women's rights activists, which together impede progress towards substantive equality.","container-title":"Journal of Law and Society","DOI":"10.1111/jols.12341","ISSN":"1467-6478","issue":"1","language":"en","license":"© 2022 The Authors. Journal of Law and Society published by John Wiley &amp; Sons Ltd on behalf of Cardiff University (CU)","note":"_eprint: https://onlinelibrary.wiley.com/doi/pdf/10.1111/jols.12341","page":"23-47","source":"Wiley Online Library","title":"Gender diversity on Malaysian corporate Boards: a Law and Social Movements Perspective","title-short":"Gender diversity on Malaysian corporate boards","volume":"49","author":[{"family":"Chen","given":"Vivien"},{"family":"Welsh","given":"Michelle"},{"family":"Cheong","given":"May Fong"}],"issued":{"date-parts":[["2022"]]}}}],"schema":"https://github.com/citation-style-language/schema/raw/master/csl-citation.json"} </w:instrText>
      </w:r>
      <w:r>
        <w:fldChar w:fldCharType="separate"/>
      </w:r>
      <w:r w:rsidR="00402D16" w:rsidRPr="00402D16">
        <w:t>Misran Ramli et al., “State, Custom, and Islamic Law in Aceh: Minor Dispute Resolution in the Perspective of Legal Pluralism | Ramli | Samarah: Jurnal Hukum Keluarga Dan Hukum Islam” 8, no. 2 (2024): 872–90, https://doi.org/10.22373/sjhk.v8i2.15924.</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99789" w14:textId="77777777" w:rsidR="00C82956" w:rsidRDefault="00C82956">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0A264E"/>
    <w:multiLevelType w:val="hybridMultilevel"/>
    <w:tmpl w:val="1C72B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956"/>
    <w:rsid w:val="00000EA0"/>
    <w:rsid w:val="00025639"/>
    <w:rsid w:val="00036B14"/>
    <w:rsid w:val="00054DCA"/>
    <w:rsid w:val="00057146"/>
    <w:rsid w:val="0006594B"/>
    <w:rsid w:val="00074F41"/>
    <w:rsid w:val="000979D7"/>
    <w:rsid w:val="000A004F"/>
    <w:rsid w:val="000B02C7"/>
    <w:rsid w:val="000B22A6"/>
    <w:rsid w:val="000B4F0E"/>
    <w:rsid w:val="000D5F3C"/>
    <w:rsid w:val="000E5584"/>
    <w:rsid w:val="000E7BE3"/>
    <w:rsid w:val="000F32EA"/>
    <w:rsid w:val="000F369C"/>
    <w:rsid w:val="0012715C"/>
    <w:rsid w:val="00134178"/>
    <w:rsid w:val="00134F73"/>
    <w:rsid w:val="00137792"/>
    <w:rsid w:val="00145B78"/>
    <w:rsid w:val="00161B8B"/>
    <w:rsid w:val="001707E8"/>
    <w:rsid w:val="00171260"/>
    <w:rsid w:val="001742A7"/>
    <w:rsid w:val="00176040"/>
    <w:rsid w:val="001A74DF"/>
    <w:rsid w:val="001B0AA4"/>
    <w:rsid w:val="001B2242"/>
    <w:rsid w:val="001B35CC"/>
    <w:rsid w:val="001E5D4C"/>
    <w:rsid w:val="001F30B1"/>
    <w:rsid w:val="001F45C0"/>
    <w:rsid w:val="001F4C2E"/>
    <w:rsid w:val="00220204"/>
    <w:rsid w:val="00240039"/>
    <w:rsid w:val="00243F5C"/>
    <w:rsid w:val="00245096"/>
    <w:rsid w:val="00246BE3"/>
    <w:rsid w:val="0026472E"/>
    <w:rsid w:val="00272C5F"/>
    <w:rsid w:val="002829FC"/>
    <w:rsid w:val="002A31AD"/>
    <w:rsid w:val="002A54BB"/>
    <w:rsid w:val="002A5800"/>
    <w:rsid w:val="002B0308"/>
    <w:rsid w:val="002B0BE1"/>
    <w:rsid w:val="002C3447"/>
    <w:rsid w:val="002E49B7"/>
    <w:rsid w:val="002F081B"/>
    <w:rsid w:val="002F154C"/>
    <w:rsid w:val="002F2354"/>
    <w:rsid w:val="002F5989"/>
    <w:rsid w:val="002F6E9F"/>
    <w:rsid w:val="00311170"/>
    <w:rsid w:val="00331642"/>
    <w:rsid w:val="00335CF3"/>
    <w:rsid w:val="00355FE3"/>
    <w:rsid w:val="0037096D"/>
    <w:rsid w:val="0037358E"/>
    <w:rsid w:val="00374CCB"/>
    <w:rsid w:val="00394151"/>
    <w:rsid w:val="00395053"/>
    <w:rsid w:val="003975B2"/>
    <w:rsid w:val="003B1B73"/>
    <w:rsid w:val="003B7FF3"/>
    <w:rsid w:val="003D6718"/>
    <w:rsid w:val="003E0829"/>
    <w:rsid w:val="003F56F0"/>
    <w:rsid w:val="003F749B"/>
    <w:rsid w:val="00402D16"/>
    <w:rsid w:val="00410856"/>
    <w:rsid w:val="004277A7"/>
    <w:rsid w:val="0043424A"/>
    <w:rsid w:val="00435714"/>
    <w:rsid w:val="00444934"/>
    <w:rsid w:val="00450D48"/>
    <w:rsid w:val="00457877"/>
    <w:rsid w:val="004645B0"/>
    <w:rsid w:val="00470913"/>
    <w:rsid w:val="004740A2"/>
    <w:rsid w:val="00474E08"/>
    <w:rsid w:val="004803CC"/>
    <w:rsid w:val="0048353F"/>
    <w:rsid w:val="0049065F"/>
    <w:rsid w:val="00491363"/>
    <w:rsid w:val="0049205A"/>
    <w:rsid w:val="004953BF"/>
    <w:rsid w:val="004A2E50"/>
    <w:rsid w:val="004A568B"/>
    <w:rsid w:val="004B1A2B"/>
    <w:rsid w:val="004C7D72"/>
    <w:rsid w:val="004D7F16"/>
    <w:rsid w:val="004F080C"/>
    <w:rsid w:val="004F797C"/>
    <w:rsid w:val="00500128"/>
    <w:rsid w:val="00503F61"/>
    <w:rsid w:val="00504A9A"/>
    <w:rsid w:val="00506D23"/>
    <w:rsid w:val="0053555F"/>
    <w:rsid w:val="00543F0B"/>
    <w:rsid w:val="005458B7"/>
    <w:rsid w:val="00551164"/>
    <w:rsid w:val="005529D9"/>
    <w:rsid w:val="00557546"/>
    <w:rsid w:val="005577A2"/>
    <w:rsid w:val="00570B05"/>
    <w:rsid w:val="00592EF7"/>
    <w:rsid w:val="00595C6A"/>
    <w:rsid w:val="005A7397"/>
    <w:rsid w:val="005B547C"/>
    <w:rsid w:val="005C0F53"/>
    <w:rsid w:val="005C0F90"/>
    <w:rsid w:val="005C2300"/>
    <w:rsid w:val="005C4F51"/>
    <w:rsid w:val="005D37A5"/>
    <w:rsid w:val="005D3CBF"/>
    <w:rsid w:val="005F2F00"/>
    <w:rsid w:val="005F71BF"/>
    <w:rsid w:val="006213EE"/>
    <w:rsid w:val="00626956"/>
    <w:rsid w:val="00631580"/>
    <w:rsid w:val="00647D98"/>
    <w:rsid w:val="0065090E"/>
    <w:rsid w:val="00657673"/>
    <w:rsid w:val="00661414"/>
    <w:rsid w:val="006678B4"/>
    <w:rsid w:val="00671535"/>
    <w:rsid w:val="00683EA7"/>
    <w:rsid w:val="006917D6"/>
    <w:rsid w:val="00692047"/>
    <w:rsid w:val="006A5BD4"/>
    <w:rsid w:val="006D0E59"/>
    <w:rsid w:val="006D6356"/>
    <w:rsid w:val="0072389A"/>
    <w:rsid w:val="0073097C"/>
    <w:rsid w:val="00731293"/>
    <w:rsid w:val="00733EC4"/>
    <w:rsid w:val="00736281"/>
    <w:rsid w:val="00751DA6"/>
    <w:rsid w:val="00755431"/>
    <w:rsid w:val="00760BD1"/>
    <w:rsid w:val="00762EA9"/>
    <w:rsid w:val="0078291E"/>
    <w:rsid w:val="00785286"/>
    <w:rsid w:val="00787CF6"/>
    <w:rsid w:val="00796980"/>
    <w:rsid w:val="00797CB2"/>
    <w:rsid w:val="007A4066"/>
    <w:rsid w:val="007C277A"/>
    <w:rsid w:val="007C4546"/>
    <w:rsid w:val="007D13BE"/>
    <w:rsid w:val="007E0C39"/>
    <w:rsid w:val="007E6CF9"/>
    <w:rsid w:val="007F25A0"/>
    <w:rsid w:val="007F4638"/>
    <w:rsid w:val="007F76D2"/>
    <w:rsid w:val="008417A2"/>
    <w:rsid w:val="00843714"/>
    <w:rsid w:val="008458DE"/>
    <w:rsid w:val="00846E36"/>
    <w:rsid w:val="008604C8"/>
    <w:rsid w:val="00862D1B"/>
    <w:rsid w:val="008805BE"/>
    <w:rsid w:val="00883688"/>
    <w:rsid w:val="008858F7"/>
    <w:rsid w:val="00890FDD"/>
    <w:rsid w:val="00891F2E"/>
    <w:rsid w:val="00895327"/>
    <w:rsid w:val="00896362"/>
    <w:rsid w:val="008A46AE"/>
    <w:rsid w:val="008D106B"/>
    <w:rsid w:val="008F1936"/>
    <w:rsid w:val="008F2438"/>
    <w:rsid w:val="008F2BAC"/>
    <w:rsid w:val="00914D8C"/>
    <w:rsid w:val="00925D9C"/>
    <w:rsid w:val="00955729"/>
    <w:rsid w:val="009651FA"/>
    <w:rsid w:val="00970C15"/>
    <w:rsid w:val="00984EE5"/>
    <w:rsid w:val="00985425"/>
    <w:rsid w:val="009A292D"/>
    <w:rsid w:val="009B1129"/>
    <w:rsid w:val="009B4B6C"/>
    <w:rsid w:val="009C4907"/>
    <w:rsid w:val="009D2A7A"/>
    <w:rsid w:val="009E1608"/>
    <w:rsid w:val="009F44F9"/>
    <w:rsid w:val="00A0240F"/>
    <w:rsid w:val="00A067E6"/>
    <w:rsid w:val="00A2362A"/>
    <w:rsid w:val="00A32E00"/>
    <w:rsid w:val="00A424A5"/>
    <w:rsid w:val="00A4385C"/>
    <w:rsid w:val="00A442FB"/>
    <w:rsid w:val="00A862AE"/>
    <w:rsid w:val="00A929CE"/>
    <w:rsid w:val="00A94C36"/>
    <w:rsid w:val="00AD27A8"/>
    <w:rsid w:val="00AE118B"/>
    <w:rsid w:val="00AE1BD6"/>
    <w:rsid w:val="00AF2369"/>
    <w:rsid w:val="00B0015F"/>
    <w:rsid w:val="00B0261A"/>
    <w:rsid w:val="00B06650"/>
    <w:rsid w:val="00B11361"/>
    <w:rsid w:val="00B137AA"/>
    <w:rsid w:val="00B14631"/>
    <w:rsid w:val="00B14DF9"/>
    <w:rsid w:val="00B15B64"/>
    <w:rsid w:val="00B1762F"/>
    <w:rsid w:val="00B21CD0"/>
    <w:rsid w:val="00B26F30"/>
    <w:rsid w:val="00B2714F"/>
    <w:rsid w:val="00B45475"/>
    <w:rsid w:val="00B50907"/>
    <w:rsid w:val="00B53350"/>
    <w:rsid w:val="00B60435"/>
    <w:rsid w:val="00B64F40"/>
    <w:rsid w:val="00B7201C"/>
    <w:rsid w:val="00B74286"/>
    <w:rsid w:val="00B80CD4"/>
    <w:rsid w:val="00B90FD6"/>
    <w:rsid w:val="00B95F41"/>
    <w:rsid w:val="00BB39A1"/>
    <w:rsid w:val="00BB49AE"/>
    <w:rsid w:val="00BB6172"/>
    <w:rsid w:val="00BC1643"/>
    <w:rsid w:val="00BD4417"/>
    <w:rsid w:val="00BE60F5"/>
    <w:rsid w:val="00BF3123"/>
    <w:rsid w:val="00C037EB"/>
    <w:rsid w:val="00C044A1"/>
    <w:rsid w:val="00C133C6"/>
    <w:rsid w:val="00C13AE6"/>
    <w:rsid w:val="00C14039"/>
    <w:rsid w:val="00C22FF5"/>
    <w:rsid w:val="00C26A6D"/>
    <w:rsid w:val="00C34FB4"/>
    <w:rsid w:val="00C352FC"/>
    <w:rsid w:val="00C435F2"/>
    <w:rsid w:val="00C449AD"/>
    <w:rsid w:val="00C57BE5"/>
    <w:rsid w:val="00C82956"/>
    <w:rsid w:val="00C8502A"/>
    <w:rsid w:val="00C857F9"/>
    <w:rsid w:val="00C87691"/>
    <w:rsid w:val="00C90C63"/>
    <w:rsid w:val="00C92BD7"/>
    <w:rsid w:val="00C966FF"/>
    <w:rsid w:val="00CB4AF8"/>
    <w:rsid w:val="00CC14A0"/>
    <w:rsid w:val="00CC15DB"/>
    <w:rsid w:val="00CD1AE4"/>
    <w:rsid w:val="00CE0628"/>
    <w:rsid w:val="00CE1468"/>
    <w:rsid w:val="00CE4CA8"/>
    <w:rsid w:val="00CE6FCA"/>
    <w:rsid w:val="00CF106B"/>
    <w:rsid w:val="00CF76DB"/>
    <w:rsid w:val="00D05405"/>
    <w:rsid w:val="00D1367F"/>
    <w:rsid w:val="00D1735D"/>
    <w:rsid w:val="00D227E2"/>
    <w:rsid w:val="00D25FE6"/>
    <w:rsid w:val="00D433CB"/>
    <w:rsid w:val="00D44A64"/>
    <w:rsid w:val="00D4718E"/>
    <w:rsid w:val="00D602FF"/>
    <w:rsid w:val="00D713B7"/>
    <w:rsid w:val="00D83319"/>
    <w:rsid w:val="00DB06FC"/>
    <w:rsid w:val="00DC0100"/>
    <w:rsid w:val="00DC1662"/>
    <w:rsid w:val="00DC3EBE"/>
    <w:rsid w:val="00DD17B4"/>
    <w:rsid w:val="00DE3764"/>
    <w:rsid w:val="00DF1220"/>
    <w:rsid w:val="00DF65C2"/>
    <w:rsid w:val="00E0499E"/>
    <w:rsid w:val="00E13D3D"/>
    <w:rsid w:val="00E22AD8"/>
    <w:rsid w:val="00E37F91"/>
    <w:rsid w:val="00E670E5"/>
    <w:rsid w:val="00E722BE"/>
    <w:rsid w:val="00E77140"/>
    <w:rsid w:val="00E91351"/>
    <w:rsid w:val="00EB4074"/>
    <w:rsid w:val="00EB41FD"/>
    <w:rsid w:val="00EC277E"/>
    <w:rsid w:val="00EC713A"/>
    <w:rsid w:val="00ED0BCE"/>
    <w:rsid w:val="00ED6386"/>
    <w:rsid w:val="00ED750F"/>
    <w:rsid w:val="00EE1C78"/>
    <w:rsid w:val="00EF63BC"/>
    <w:rsid w:val="00F04BA6"/>
    <w:rsid w:val="00F0559D"/>
    <w:rsid w:val="00F06440"/>
    <w:rsid w:val="00F22054"/>
    <w:rsid w:val="00F33CBD"/>
    <w:rsid w:val="00F4697F"/>
    <w:rsid w:val="00F61F08"/>
    <w:rsid w:val="00F6632B"/>
    <w:rsid w:val="00F66EF1"/>
    <w:rsid w:val="00F77B2C"/>
    <w:rsid w:val="00F80135"/>
    <w:rsid w:val="00F82E1E"/>
    <w:rsid w:val="00F944A1"/>
    <w:rsid w:val="00FA3DBC"/>
    <w:rsid w:val="00FD6319"/>
    <w:rsid w:val="00FE3B08"/>
    <w:rsid w:val="00FE57BE"/>
    <w:rsid w:val="00FE6FD4"/>
    <w:rsid w:val="00FF545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EBC9"/>
  <w15:docId w15:val="{B3A996A4-FF9C-D042-8827-A1E12DB1A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59D"/>
  </w:style>
  <w:style w:type="paragraph" w:styleId="Heading1">
    <w:name w:val="heading 1"/>
    <w:aliases w:val="Judul"/>
    <w:basedOn w:val="Normal"/>
    <w:next w:val="Normal"/>
    <w:link w:val="Heading1Char"/>
    <w:uiPriority w:val="9"/>
    <w:qFormat/>
    <w:rsid w:val="000A6AFF"/>
    <w:pPr>
      <w:keepNext/>
      <w:keepLines/>
      <w:spacing w:before="120" w:after="240" w:line="240" w:lineRule="auto"/>
      <w:jc w:val="center"/>
      <w:outlineLvl w:val="0"/>
    </w:pPr>
    <w:rPr>
      <w:rFonts w:ascii="Calisto MT" w:eastAsiaTheme="majorEastAsia" w:hAnsi="Calisto MT" w:cstheme="majorBidi"/>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rsid w:val="000D01B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link w:val="FootnoteText"/>
    <w:uiPriority w:val="99"/>
    <w:rsid w:val="000D01B7"/>
    <w:rPr>
      <w:rFonts w:ascii="Times New Roman" w:eastAsia="Times New Roman" w:hAnsi="Times New Roman" w:cs="Times New Roman"/>
      <w:sz w:val="20"/>
      <w:szCs w:val="20"/>
    </w:rPr>
  </w:style>
  <w:style w:type="character" w:styleId="FootnoteReference">
    <w:name w:val="footnote reference"/>
    <w:uiPriority w:val="99"/>
    <w:rsid w:val="000D01B7"/>
    <w:rPr>
      <w:rFonts w:cs="Times New Roman"/>
      <w:vertAlign w:val="superscript"/>
    </w:rPr>
  </w:style>
  <w:style w:type="paragraph" w:styleId="ListParagraph">
    <w:name w:val="List Paragraph"/>
    <w:basedOn w:val="Normal"/>
    <w:uiPriority w:val="34"/>
    <w:qFormat/>
    <w:rsid w:val="000D01B7"/>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uiPriority w:val="99"/>
    <w:unhideWhenUsed/>
    <w:rsid w:val="000D01B7"/>
    <w:rPr>
      <w:color w:val="0000FF"/>
      <w:u w:val="single"/>
    </w:rPr>
  </w:style>
  <w:style w:type="paragraph" w:styleId="NormalWeb">
    <w:name w:val="Normal (Web)"/>
    <w:basedOn w:val="Normal"/>
    <w:uiPriority w:val="99"/>
    <w:rsid w:val="000D01B7"/>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uiPriority w:val="99"/>
    <w:rsid w:val="000D01B7"/>
    <w:pPr>
      <w:spacing w:after="120" w:line="480" w:lineRule="auto"/>
    </w:pPr>
    <w:rPr>
      <w:rFonts w:ascii="Times New Roman" w:eastAsia="Times New Roman" w:hAnsi="Times New Roman" w:cs="Times New Roman"/>
      <w:sz w:val="24"/>
      <w:szCs w:val="24"/>
    </w:rPr>
  </w:style>
  <w:style w:type="character" w:customStyle="1" w:styleId="BodyText2Char">
    <w:name w:val="Body Text 2 Char"/>
    <w:link w:val="BodyText2"/>
    <w:uiPriority w:val="99"/>
    <w:rsid w:val="000D01B7"/>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E0168C"/>
    <w:pPr>
      <w:spacing w:after="0" w:line="240" w:lineRule="auto"/>
    </w:pPr>
    <w:rPr>
      <w:rFonts w:cs="Times New Roman"/>
      <w:sz w:val="20"/>
      <w:szCs w:val="20"/>
    </w:rPr>
  </w:style>
  <w:style w:type="character" w:customStyle="1" w:styleId="EndnoteTextChar">
    <w:name w:val="Endnote Text Char"/>
    <w:link w:val="EndnoteText"/>
    <w:uiPriority w:val="99"/>
    <w:semiHidden/>
    <w:rsid w:val="00E0168C"/>
    <w:rPr>
      <w:sz w:val="20"/>
      <w:szCs w:val="20"/>
    </w:rPr>
  </w:style>
  <w:style w:type="character" w:styleId="EndnoteReference">
    <w:name w:val="endnote reference"/>
    <w:uiPriority w:val="99"/>
    <w:semiHidden/>
    <w:unhideWhenUsed/>
    <w:rsid w:val="00E0168C"/>
    <w:rPr>
      <w:vertAlign w:val="superscript"/>
    </w:rPr>
  </w:style>
  <w:style w:type="character" w:customStyle="1" w:styleId="hps">
    <w:name w:val="hps"/>
    <w:basedOn w:val="DefaultParagraphFont"/>
    <w:rsid w:val="00D3447F"/>
  </w:style>
  <w:style w:type="paragraph" w:styleId="Header">
    <w:name w:val="header"/>
    <w:basedOn w:val="Normal"/>
    <w:link w:val="HeaderChar"/>
    <w:uiPriority w:val="99"/>
    <w:unhideWhenUsed/>
    <w:rsid w:val="003F45CA"/>
    <w:pPr>
      <w:tabs>
        <w:tab w:val="center" w:pos="4153"/>
        <w:tab w:val="right" w:pos="8306"/>
      </w:tabs>
    </w:pPr>
    <w:rPr>
      <w:rFonts w:cs="Times New Roman"/>
    </w:rPr>
  </w:style>
  <w:style w:type="character" w:customStyle="1" w:styleId="HeaderChar">
    <w:name w:val="Header Char"/>
    <w:link w:val="Header"/>
    <w:uiPriority w:val="99"/>
    <w:rsid w:val="003F45CA"/>
    <w:rPr>
      <w:sz w:val="22"/>
      <w:szCs w:val="22"/>
      <w:lang w:val="en-US" w:eastAsia="en-US"/>
    </w:rPr>
  </w:style>
  <w:style w:type="paragraph" w:styleId="Footer">
    <w:name w:val="footer"/>
    <w:basedOn w:val="Normal"/>
    <w:link w:val="FooterChar"/>
    <w:uiPriority w:val="99"/>
    <w:unhideWhenUsed/>
    <w:rsid w:val="003F45CA"/>
    <w:pPr>
      <w:tabs>
        <w:tab w:val="center" w:pos="4153"/>
        <w:tab w:val="right" w:pos="8306"/>
      </w:tabs>
    </w:pPr>
    <w:rPr>
      <w:rFonts w:cs="Times New Roman"/>
    </w:rPr>
  </w:style>
  <w:style w:type="character" w:customStyle="1" w:styleId="FooterChar">
    <w:name w:val="Footer Char"/>
    <w:link w:val="Footer"/>
    <w:uiPriority w:val="99"/>
    <w:rsid w:val="003F45CA"/>
    <w:rPr>
      <w:sz w:val="22"/>
      <w:szCs w:val="22"/>
      <w:lang w:val="en-US" w:eastAsia="en-US"/>
    </w:rPr>
  </w:style>
  <w:style w:type="paragraph" w:styleId="BodyTextIndent">
    <w:name w:val="Body Text Indent"/>
    <w:basedOn w:val="Normal"/>
    <w:link w:val="BodyTextIndentChar"/>
    <w:uiPriority w:val="99"/>
    <w:semiHidden/>
    <w:unhideWhenUsed/>
    <w:rsid w:val="008C552A"/>
    <w:pPr>
      <w:spacing w:after="120"/>
      <w:ind w:left="283"/>
    </w:pPr>
    <w:rPr>
      <w:rFonts w:cs="Times New Roman"/>
    </w:rPr>
  </w:style>
  <w:style w:type="character" w:customStyle="1" w:styleId="BodyTextIndentChar">
    <w:name w:val="Body Text Indent Char"/>
    <w:link w:val="BodyTextIndent"/>
    <w:uiPriority w:val="99"/>
    <w:semiHidden/>
    <w:rsid w:val="008C552A"/>
    <w:rPr>
      <w:sz w:val="22"/>
      <w:szCs w:val="22"/>
    </w:rPr>
  </w:style>
  <w:style w:type="table" w:styleId="TableGrid">
    <w:name w:val="Table Grid"/>
    <w:basedOn w:val="TableNormal"/>
    <w:uiPriority w:val="59"/>
    <w:rsid w:val="00B021CE"/>
    <w:rPr>
      <w:rFonts w:ascii="Times New Roman" w:eastAsia="Times New Roman" w:hAnsi="Times New Roman" w:cs="Times New Roman"/>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ibliography">
    <w:name w:val="Bibliography"/>
    <w:basedOn w:val="Normal"/>
    <w:next w:val="Normal"/>
    <w:uiPriority w:val="37"/>
    <w:unhideWhenUsed/>
    <w:rsid w:val="00556019"/>
    <w:pPr>
      <w:spacing w:after="0" w:line="240" w:lineRule="auto"/>
      <w:ind w:left="720" w:hanging="720"/>
      <w:jc w:val="both"/>
    </w:pPr>
    <w:rPr>
      <w:rFonts w:asciiTheme="minorHAnsi" w:eastAsiaTheme="minorHAnsi" w:hAnsiTheme="minorHAnsi" w:cstheme="minorBidi"/>
    </w:rPr>
  </w:style>
  <w:style w:type="paragraph" w:customStyle="1" w:styleId="Tabletitle">
    <w:name w:val="Tabletitle"/>
    <w:basedOn w:val="Normal"/>
    <w:rsid w:val="0033116C"/>
    <w:pPr>
      <w:widowControl w:val="0"/>
      <w:autoSpaceDE w:val="0"/>
      <w:autoSpaceDN w:val="0"/>
      <w:adjustRightInd w:val="0"/>
      <w:spacing w:before="240" w:after="120" w:line="360" w:lineRule="auto"/>
      <w:ind w:firstLine="340"/>
      <w:jc w:val="center"/>
      <w:textAlignment w:val="baseline"/>
    </w:pPr>
    <w:rPr>
      <w:rFonts w:ascii="Times New Roman" w:eastAsia="BatangChe" w:hAnsi="Times New Roman" w:cs="Times New Roman"/>
      <w:i/>
      <w:sz w:val="24"/>
      <w:szCs w:val="20"/>
      <w:lang w:eastAsia="ko-KR"/>
    </w:rPr>
  </w:style>
  <w:style w:type="paragraph" w:styleId="BalloonText">
    <w:name w:val="Balloon Text"/>
    <w:basedOn w:val="Normal"/>
    <w:link w:val="BalloonTextChar"/>
    <w:uiPriority w:val="99"/>
    <w:semiHidden/>
    <w:unhideWhenUsed/>
    <w:rsid w:val="00D81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398"/>
    <w:rPr>
      <w:rFonts w:ascii="Tahoma" w:hAnsi="Tahoma" w:cs="Tahoma"/>
      <w:sz w:val="16"/>
      <w:szCs w:val="16"/>
    </w:rPr>
  </w:style>
  <w:style w:type="character" w:customStyle="1" w:styleId="fontstyle01">
    <w:name w:val="fontstyle01"/>
    <w:basedOn w:val="DefaultParagraphFont"/>
    <w:rsid w:val="00734EB9"/>
    <w:rPr>
      <w:rFonts w:ascii="Cambria" w:hAnsi="Cambria" w:hint="default"/>
      <w:b w:val="0"/>
      <w:bCs w:val="0"/>
      <w:i w:val="0"/>
      <w:iCs w:val="0"/>
      <w:color w:val="000000"/>
      <w:sz w:val="24"/>
      <w:szCs w:val="24"/>
    </w:rPr>
  </w:style>
  <w:style w:type="character" w:customStyle="1" w:styleId="fontstyle21">
    <w:name w:val="fontstyle21"/>
    <w:basedOn w:val="DefaultParagraphFont"/>
    <w:rsid w:val="00B73C7A"/>
    <w:rPr>
      <w:rFonts w:ascii="Cambria" w:hAnsi="Cambria"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46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64F39"/>
    <w:rPr>
      <w:rFonts w:ascii="Courier New" w:eastAsia="Times New Roman" w:hAnsi="Courier New" w:cs="Courier New"/>
    </w:rPr>
  </w:style>
  <w:style w:type="character" w:customStyle="1" w:styleId="Heading1Char">
    <w:name w:val="Heading 1 Char"/>
    <w:aliases w:val="Judul Char"/>
    <w:basedOn w:val="DefaultParagraphFont"/>
    <w:link w:val="Heading1"/>
    <w:uiPriority w:val="9"/>
    <w:rsid w:val="000A6AFF"/>
    <w:rPr>
      <w:rFonts w:ascii="Calisto MT" w:eastAsiaTheme="majorEastAsia" w:hAnsi="Calisto MT" w:cstheme="majorBidi"/>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rFonts w:ascii="Times New Roman" w:eastAsia="Times New Roman" w:hAnsi="Times New Roman" w:cs="Times New Roman"/>
    </w:rPr>
    <w:tblPr>
      <w:tblStyleRowBandSize w:val="1"/>
      <w:tblStyleColBandSize w:val="1"/>
    </w:tblPr>
  </w:style>
  <w:style w:type="table" w:customStyle="1" w:styleId="a1">
    <w:basedOn w:val="TableNormal"/>
    <w:rPr>
      <w:rFonts w:ascii="Times New Roman" w:eastAsia="Times New Roman" w:hAnsi="Times New Roman" w:cs="Times New Roman"/>
    </w:rPr>
    <w:tblPr>
      <w:tblStyleRowBandSize w:val="1"/>
      <w:tblStyleColBandSize w:val="1"/>
    </w:tblPr>
  </w:style>
  <w:style w:type="table" w:customStyle="1" w:styleId="a2">
    <w:basedOn w:val="TableNormal"/>
    <w:rPr>
      <w:rFonts w:ascii="Times New Roman" w:eastAsia="Times New Roman" w:hAnsi="Times New Roman" w:cs="Times New Roman"/>
    </w:rPr>
    <w:tblPr>
      <w:tblStyleRowBandSize w:val="1"/>
      <w:tblStyleColBandSize w:val="1"/>
    </w:tblPr>
  </w:style>
  <w:style w:type="character" w:styleId="UnresolvedMention">
    <w:name w:val="Unresolved Mention"/>
    <w:basedOn w:val="DefaultParagraphFont"/>
    <w:uiPriority w:val="99"/>
    <w:semiHidden/>
    <w:unhideWhenUsed/>
    <w:rsid w:val="000F369C"/>
    <w:rPr>
      <w:color w:val="605E5C"/>
      <w:shd w:val="clear" w:color="auto" w:fill="E1DFDD"/>
    </w:rPr>
  </w:style>
  <w:style w:type="character" w:styleId="CommentReference">
    <w:name w:val="annotation reference"/>
    <w:basedOn w:val="DefaultParagraphFont"/>
    <w:uiPriority w:val="99"/>
    <w:semiHidden/>
    <w:unhideWhenUsed/>
    <w:rsid w:val="00B0015F"/>
    <w:rPr>
      <w:sz w:val="16"/>
      <w:szCs w:val="16"/>
    </w:rPr>
  </w:style>
  <w:style w:type="paragraph" w:styleId="CommentText">
    <w:name w:val="annotation text"/>
    <w:basedOn w:val="Normal"/>
    <w:link w:val="CommentTextChar"/>
    <w:uiPriority w:val="99"/>
    <w:semiHidden/>
    <w:unhideWhenUsed/>
    <w:rsid w:val="00B0015F"/>
    <w:pPr>
      <w:spacing w:line="240" w:lineRule="auto"/>
    </w:pPr>
    <w:rPr>
      <w:sz w:val="20"/>
      <w:szCs w:val="20"/>
    </w:rPr>
  </w:style>
  <w:style w:type="character" w:customStyle="1" w:styleId="CommentTextChar">
    <w:name w:val="Comment Text Char"/>
    <w:basedOn w:val="DefaultParagraphFont"/>
    <w:link w:val="CommentText"/>
    <w:uiPriority w:val="99"/>
    <w:semiHidden/>
    <w:rsid w:val="00B0015F"/>
    <w:rPr>
      <w:sz w:val="20"/>
      <w:szCs w:val="20"/>
    </w:rPr>
  </w:style>
  <w:style w:type="paragraph" w:styleId="CommentSubject">
    <w:name w:val="annotation subject"/>
    <w:basedOn w:val="CommentText"/>
    <w:next w:val="CommentText"/>
    <w:link w:val="CommentSubjectChar"/>
    <w:uiPriority w:val="99"/>
    <w:semiHidden/>
    <w:unhideWhenUsed/>
    <w:rsid w:val="00B0015F"/>
    <w:rPr>
      <w:b/>
      <w:bCs/>
    </w:rPr>
  </w:style>
  <w:style w:type="character" w:customStyle="1" w:styleId="CommentSubjectChar">
    <w:name w:val="Comment Subject Char"/>
    <w:basedOn w:val="CommentTextChar"/>
    <w:link w:val="CommentSubject"/>
    <w:uiPriority w:val="99"/>
    <w:semiHidden/>
    <w:rsid w:val="00B001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curid=2228584" TargetMode="External"/><Relationship Id="rId18"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n.wikipedia.org/wiki?curid=15430" TargetMode="Externa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curid=3607937" TargetMode="External"/><Relationship Id="rId5" Type="http://schemas.openxmlformats.org/officeDocument/2006/relationships/settings" Target="settings.xml"/><Relationship Id="rId15" Type="http://schemas.openxmlformats.org/officeDocument/2006/relationships/hyperlink" Target="https://en.wikipedia.org/wiki?curid=29501" TargetMode="External"/><Relationship Id="rId10" Type="http://schemas.openxmlformats.org/officeDocument/2006/relationships/hyperlink" Target="mailto:sitiaisyah.samudin@um.edu.my" TargetMode="External"/><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hyperlink" Target="http://ejournal.uin-malang.ac.id/index.php/syariah" TargetMode="External"/><Relationship Id="rId14" Type="http://schemas.openxmlformats.org/officeDocument/2006/relationships/hyperlink" Target="https://en.wikipedia.org/wiki?curid=4964013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5jS/1+UnLrwV00mSaKwWLVFmmQ==">CgMxLjA4AHIhMUJIX0huVXY5dEo0TXBvNENjQ193SWdiNjRhdkEyYU03</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BC03C03-9FA4-9B4E-AB79-95BFB6A17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20</Pages>
  <Words>8267</Words>
  <Characters>47123</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Ramadhita</dc:creator>
  <cp:lastModifiedBy>Microsoft Office User</cp:lastModifiedBy>
  <cp:revision>260</cp:revision>
  <dcterms:created xsi:type="dcterms:W3CDTF">2016-07-27T18:09:00Z</dcterms:created>
  <dcterms:modified xsi:type="dcterms:W3CDTF">2025-01-12T05:26:00Z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id="yUgcsV5k"/&gt;&lt;style id="http://www.zotero.org/styles/chicago-fullnote-bibliography" locale="en-US" hasBibliography="1" bibliographyStyleHasBeenSet="1"/&gt;&lt;prefs&gt;&lt;pref name="noteType" value="1"/&gt;&lt;pref</vt:lpwstr>
  </property>
  <property fmtid="{D5CDD505-2E9C-101B-9397-08002B2CF9AE}" pid="3" name="ZOTERO_PREF_2">
    <vt:lpwstr> name="fieldType" value="Field"/&gt;&lt;/prefs&gt;&lt;/data&gt;</vt:lpwstr>
  </property>
</Properties>
</file>