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811F9" w14:textId="77777777" w:rsidR="000F6425" w:rsidRDefault="00000000" w:rsidP="00C576AA">
      <w:pPr>
        <w:pStyle w:val="CommentText"/>
        <w:jc w:val="center"/>
        <w:rPr>
          <w:rFonts w:asciiTheme="majorBidi" w:hAnsiTheme="majorBidi" w:cstheme="majorBidi"/>
          <w:b/>
          <w:bCs/>
          <w:i/>
          <w:iCs/>
          <w:sz w:val="32"/>
          <w:szCs w:val="32"/>
        </w:rPr>
      </w:pPr>
      <w:proofErr w:type="spellStart"/>
      <w:r>
        <w:rPr>
          <w:rFonts w:asciiTheme="majorBidi" w:hAnsiTheme="majorBidi" w:cstheme="majorBidi"/>
          <w:b/>
          <w:bCs/>
          <w:i/>
          <w:iCs/>
          <w:sz w:val="32"/>
          <w:szCs w:val="32"/>
        </w:rPr>
        <w:t>Misyar</w:t>
      </w:r>
      <w:proofErr w:type="spellEnd"/>
      <w:r>
        <w:rPr>
          <w:rFonts w:asciiTheme="majorBidi" w:hAnsiTheme="majorBidi" w:cstheme="majorBidi"/>
          <w:b/>
          <w:bCs/>
          <w:i/>
          <w:iCs/>
          <w:sz w:val="32"/>
          <w:szCs w:val="32"/>
        </w:rPr>
        <w:t xml:space="preserve"> Marriage and Women’s Autonomy in Muslim Countries: A </w:t>
      </w:r>
      <w:proofErr w:type="spellStart"/>
      <w:r>
        <w:rPr>
          <w:rFonts w:asciiTheme="majorBidi" w:hAnsiTheme="majorBidi" w:cstheme="majorBidi"/>
          <w:b/>
          <w:bCs/>
          <w:i/>
          <w:iCs/>
          <w:sz w:val="32"/>
          <w:szCs w:val="32"/>
        </w:rPr>
        <w:t>Maqashid</w:t>
      </w:r>
      <w:proofErr w:type="spellEnd"/>
      <w:r>
        <w:rPr>
          <w:rFonts w:asciiTheme="majorBidi" w:hAnsiTheme="majorBidi" w:cstheme="majorBidi"/>
          <w:b/>
          <w:bCs/>
          <w:i/>
          <w:iCs/>
          <w:sz w:val="32"/>
          <w:szCs w:val="32"/>
        </w:rPr>
        <w:t xml:space="preserve"> al-</w:t>
      </w:r>
      <w:proofErr w:type="spellStart"/>
      <w:r>
        <w:rPr>
          <w:rFonts w:asciiTheme="majorBidi" w:hAnsiTheme="majorBidi" w:cstheme="majorBidi"/>
          <w:b/>
          <w:bCs/>
          <w:i/>
          <w:iCs/>
          <w:sz w:val="32"/>
          <w:szCs w:val="32"/>
        </w:rPr>
        <w:t>Usrah</w:t>
      </w:r>
      <w:proofErr w:type="spellEnd"/>
      <w:r>
        <w:rPr>
          <w:rFonts w:asciiTheme="majorBidi" w:hAnsiTheme="majorBidi" w:cstheme="majorBidi"/>
          <w:b/>
          <w:bCs/>
          <w:i/>
          <w:iCs/>
          <w:sz w:val="32"/>
          <w:szCs w:val="32"/>
        </w:rPr>
        <w:t xml:space="preserve"> Perspective</w:t>
      </w:r>
    </w:p>
    <w:p w14:paraId="7BF629BC" w14:textId="77777777" w:rsidR="000F6425" w:rsidRDefault="000F6425">
      <w:pPr>
        <w:spacing w:after="0" w:line="240" w:lineRule="auto"/>
        <w:jc w:val="center"/>
        <w:rPr>
          <w:rFonts w:ascii="Times New Roman" w:eastAsia="Times New Roman" w:hAnsi="Times New Roman" w:cs="Times New Roman"/>
          <w:b/>
          <w:sz w:val="32"/>
          <w:szCs w:val="32"/>
        </w:rPr>
      </w:pPr>
    </w:p>
    <w:p w14:paraId="2DAC1EEA" w14:textId="77777777" w:rsidR="000F6425" w:rsidRPr="00C576AA" w:rsidRDefault="00000000">
      <w:pPr>
        <w:rPr>
          <w:rFonts w:asciiTheme="majorBidi" w:hAnsiTheme="majorBidi" w:cstheme="majorBidi"/>
        </w:rPr>
      </w:pPr>
      <w:r w:rsidRPr="00C576AA">
        <w:rPr>
          <w:rFonts w:asciiTheme="majorBidi" w:eastAsia="Jamia2014-Bold" w:hAnsiTheme="majorBidi" w:cstheme="majorBidi"/>
          <w:b/>
          <w:bCs/>
          <w:color w:val="000000"/>
          <w:sz w:val="24"/>
          <w:szCs w:val="24"/>
          <w:lang w:eastAsia="zh-CN" w:bidi="ar"/>
        </w:rPr>
        <w:t>Nasiri,</w:t>
      </w:r>
      <w:r w:rsidRPr="00C576AA">
        <w:rPr>
          <w:rFonts w:asciiTheme="majorBidi" w:eastAsia="Jamia2014-Bold" w:hAnsiTheme="majorBidi" w:cstheme="majorBidi"/>
          <w:b/>
          <w:bCs/>
          <w:color w:val="000000"/>
          <w:sz w:val="12"/>
          <w:szCs w:val="12"/>
          <w:lang w:eastAsia="zh-CN" w:bidi="ar"/>
        </w:rPr>
        <w:t xml:space="preserve">1* </w:t>
      </w:r>
      <w:r w:rsidRPr="00C576AA">
        <w:rPr>
          <w:rFonts w:asciiTheme="majorBidi" w:eastAsia="Jamia2014-Bold" w:hAnsiTheme="majorBidi" w:cstheme="majorBidi"/>
          <w:b/>
          <w:bCs/>
          <w:color w:val="000000"/>
          <w:sz w:val="24"/>
          <w:szCs w:val="24"/>
          <w:lang w:eastAsia="zh-CN" w:bidi="ar"/>
        </w:rPr>
        <w:t>Lia Istifhama,</w:t>
      </w:r>
      <w:r w:rsidRPr="00C576AA">
        <w:rPr>
          <w:rFonts w:asciiTheme="majorBidi" w:eastAsia="Jamia2014-Bold" w:hAnsiTheme="majorBidi" w:cstheme="majorBidi"/>
          <w:b/>
          <w:bCs/>
          <w:color w:val="000000"/>
          <w:sz w:val="12"/>
          <w:szCs w:val="12"/>
          <w:lang w:eastAsia="zh-CN" w:bidi="ar"/>
        </w:rPr>
        <w:t xml:space="preserve">2 </w:t>
      </w:r>
      <w:proofErr w:type="spellStart"/>
      <w:r w:rsidRPr="00C576AA">
        <w:rPr>
          <w:rFonts w:asciiTheme="majorBidi" w:eastAsia="Jamia2014-Bold" w:hAnsiTheme="majorBidi" w:cstheme="majorBidi"/>
          <w:b/>
          <w:bCs/>
          <w:color w:val="000000"/>
          <w:sz w:val="24"/>
          <w:szCs w:val="24"/>
          <w:lang w:eastAsia="zh-CN" w:bidi="ar"/>
        </w:rPr>
        <w:t>Miftahul</w:t>
      </w:r>
      <w:proofErr w:type="spellEnd"/>
      <w:r w:rsidRPr="00C576AA">
        <w:rPr>
          <w:rFonts w:asciiTheme="majorBidi" w:eastAsia="Jamia2014-Bold" w:hAnsiTheme="majorBidi" w:cstheme="majorBidi"/>
          <w:b/>
          <w:bCs/>
          <w:color w:val="000000"/>
          <w:sz w:val="24"/>
          <w:szCs w:val="24"/>
          <w:lang w:eastAsia="zh-CN" w:bidi="ar"/>
        </w:rPr>
        <w:t xml:space="preserve"> Ulum,</w:t>
      </w:r>
      <w:r w:rsidRPr="00C576AA">
        <w:rPr>
          <w:rFonts w:asciiTheme="majorBidi" w:eastAsia="Jamia2014-Bold" w:hAnsiTheme="majorBidi" w:cstheme="majorBidi"/>
          <w:b/>
          <w:bCs/>
          <w:color w:val="000000"/>
          <w:sz w:val="12"/>
          <w:szCs w:val="12"/>
          <w:lang w:eastAsia="zh-CN" w:bidi="ar"/>
        </w:rPr>
        <w:t xml:space="preserve">3 </w:t>
      </w:r>
      <w:r w:rsidRPr="00C576AA">
        <w:rPr>
          <w:rFonts w:asciiTheme="majorBidi" w:eastAsia="Jamia2014-Bold" w:hAnsiTheme="majorBidi" w:cstheme="majorBidi"/>
          <w:b/>
          <w:bCs/>
          <w:color w:val="000000"/>
          <w:sz w:val="24"/>
          <w:szCs w:val="24"/>
          <w:lang w:eastAsia="zh-CN" w:bidi="ar"/>
        </w:rPr>
        <w:t>Achmad,</w:t>
      </w:r>
      <w:r w:rsidRPr="00C576AA">
        <w:rPr>
          <w:rFonts w:asciiTheme="majorBidi" w:eastAsia="Jamia2014-Bold" w:hAnsiTheme="majorBidi" w:cstheme="majorBidi"/>
          <w:b/>
          <w:bCs/>
          <w:color w:val="000000"/>
          <w:sz w:val="11"/>
          <w:szCs w:val="11"/>
          <w:lang w:eastAsia="zh-CN" w:bidi="ar"/>
        </w:rPr>
        <w:t>4</w:t>
      </w:r>
      <w:r w:rsidRPr="00C576AA">
        <w:rPr>
          <w:rFonts w:asciiTheme="majorBidi" w:eastAsia="Jamia2014-Bold" w:hAnsiTheme="majorBidi" w:cstheme="majorBidi"/>
          <w:b/>
          <w:bCs/>
          <w:color w:val="000000"/>
          <w:sz w:val="12"/>
          <w:szCs w:val="12"/>
          <w:lang w:eastAsia="zh-CN" w:bidi="ar"/>
        </w:rPr>
        <w:t xml:space="preserve"> </w:t>
      </w:r>
      <w:proofErr w:type="spellStart"/>
      <w:r w:rsidRPr="00C576AA">
        <w:rPr>
          <w:rFonts w:asciiTheme="majorBidi" w:eastAsia="Jamia2014-Bold" w:hAnsiTheme="majorBidi" w:cstheme="majorBidi"/>
          <w:b/>
          <w:bCs/>
          <w:color w:val="000000"/>
          <w:sz w:val="24"/>
          <w:szCs w:val="24"/>
          <w:lang w:eastAsia="zh-CN" w:bidi="ar"/>
        </w:rPr>
        <w:t>Lailatu</w:t>
      </w:r>
      <w:proofErr w:type="spellEnd"/>
      <w:r w:rsidRPr="00C576AA">
        <w:rPr>
          <w:rFonts w:asciiTheme="majorBidi" w:eastAsia="Jamia2014-Bold" w:hAnsiTheme="majorBidi" w:cstheme="majorBidi"/>
          <w:b/>
          <w:bCs/>
          <w:color w:val="000000"/>
          <w:sz w:val="24"/>
          <w:szCs w:val="24"/>
          <w:lang w:eastAsia="zh-CN" w:bidi="ar"/>
        </w:rPr>
        <w:t xml:space="preserve"> Zahroh</w:t>
      </w:r>
      <w:r w:rsidRPr="00C576AA">
        <w:rPr>
          <w:rFonts w:asciiTheme="majorBidi" w:eastAsia="Jamia2014-Bold" w:hAnsiTheme="majorBidi" w:cstheme="majorBidi"/>
          <w:b/>
          <w:bCs/>
          <w:color w:val="000000"/>
          <w:sz w:val="11"/>
          <w:szCs w:val="11"/>
          <w:lang w:eastAsia="zh-CN" w:bidi="ar"/>
        </w:rPr>
        <w:t>5</w:t>
      </w:r>
      <w:r w:rsidRPr="00C576AA">
        <w:rPr>
          <w:rFonts w:asciiTheme="majorBidi" w:eastAsia="Jamia2014-Bold" w:hAnsiTheme="majorBidi" w:cstheme="majorBidi"/>
          <w:b/>
          <w:bCs/>
          <w:color w:val="000000"/>
          <w:sz w:val="12"/>
          <w:szCs w:val="12"/>
          <w:lang w:eastAsia="zh-CN" w:bidi="ar"/>
        </w:rPr>
        <w:t xml:space="preserve"> </w:t>
      </w:r>
    </w:p>
    <w:p w14:paraId="3F2AB62C" w14:textId="77777777" w:rsidR="000F6425" w:rsidRPr="00785B69" w:rsidRDefault="00000000" w:rsidP="00785B69">
      <w:pPr>
        <w:spacing w:after="0"/>
        <w:rPr>
          <w:rFonts w:asciiTheme="majorBidi" w:hAnsiTheme="majorBidi" w:cstheme="majorBidi"/>
        </w:rPr>
      </w:pPr>
      <w:r w:rsidRPr="00785B69">
        <w:rPr>
          <w:rFonts w:asciiTheme="majorBidi" w:eastAsia="Jamia2014" w:hAnsiTheme="majorBidi" w:cstheme="majorBidi"/>
          <w:color w:val="000000"/>
          <w:sz w:val="12"/>
          <w:szCs w:val="12"/>
          <w:lang w:eastAsia="zh-CN" w:bidi="ar"/>
        </w:rPr>
        <w:t>1</w:t>
      </w:r>
    </w:p>
    <w:p w14:paraId="649B948B" w14:textId="2138BA37" w:rsidR="000F6425" w:rsidRDefault="00000000" w:rsidP="00785B69">
      <w:pPr>
        <w:spacing w:after="0"/>
        <w:rPr>
          <w:rFonts w:asciiTheme="majorBidi" w:eastAsia="Jamia2014" w:hAnsiTheme="majorBidi" w:cstheme="majorBidi"/>
          <w:color w:val="000000"/>
          <w:lang w:eastAsia="zh-CN" w:bidi="ar"/>
        </w:rPr>
      </w:pPr>
      <w:r w:rsidRPr="00785B69">
        <w:rPr>
          <w:rFonts w:asciiTheme="majorBidi" w:eastAsia="Jamia2014" w:hAnsiTheme="majorBidi" w:cstheme="majorBidi"/>
          <w:color w:val="000000"/>
          <w:lang w:eastAsia="zh-CN" w:bidi="ar"/>
        </w:rPr>
        <w:t>STAI Taruna, Surabaya, Indonesia</w:t>
      </w:r>
      <w:r w:rsidR="00785B69">
        <w:rPr>
          <w:rFonts w:asciiTheme="majorBidi" w:eastAsia="Jamia2014" w:hAnsiTheme="majorBidi" w:cstheme="majorBidi"/>
          <w:color w:val="000000"/>
          <w:lang w:eastAsia="zh-CN" w:bidi="ar"/>
        </w:rPr>
        <w:t xml:space="preserve">, </w:t>
      </w:r>
    </w:p>
    <w:p w14:paraId="4BD7601B" w14:textId="2FF1112F" w:rsidR="00785B69" w:rsidRDefault="00785B69" w:rsidP="00785B69">
      <w:pPr>
        <w:spacing w:after="0"/>
        <w:rPr>
          <w:rFonts w:asciiTheme="majorBidi" w:eastAsia="Jamia2014" w:hAnsiTheme="majorBidi" w:cstheme="majorBidi"/>
          <w:color w:val="000000"/>
          <w:lang w:eastAsia="zh-CN" w:bidi="ar"/>
        </w:rPr>
      </w:pPr>
      <w:hyperlink r:id="rId8" w:history="1">
        <w:r w:rsidRPr="00581A26">
          <w:rPr>
            <w:rStyle w:val="Hyperlink"/>
            <w:rFonts w:asciiTheme="majorBidi" w:eastAsia="Jamia2014" w:hAnsiTheme="majorBidi" w:cstheme="majorBidi"/>
            <w:lang w:eastAsia="zh-CN" w:bidi="ar"/>
          </w:rPr>
          <w:t>nasiri.abadi20@gmail.com</w:t>
        </w:r>
      </w:hyperlink>
    </w:p>
    <w:p w14:paraId="0DFB8C20" w14:textId="6EE1AE20" w:rsidR="00785B69" w:rsidRPr="00785B69" w:rsidRDefault="00782003" w:rsidP="00782003">
      <w:pPr>
        <w:spacing w:after="0"/>
        <w:rPr>
          <w:rFonts w:asciiTheme="majorBidi" w:hAnsiTheme="majorBidi" w:cstheme="majorBidi"/>
        </w:rPr>
      </w:pPr>
      <w:r>
        <w:rPr>
          <w:rFonts w:asciiTheme="majorBidi" w:hAnsiTheme="majorBidi" w:cstheme="majorBidi"/>
        </w:rPr>
        <w:t xml:space="preserve">SINTA </w:t>
      </w:r>
      <w:proofErr w:type="gramStart"/>
      <w:r w:rsidRPr="00782003">
        <w:rPr>
          <w:rFonts w:asciiTheme="majorBidi" w:hAnsiTheme="majorBidi" w:cstheme="majorBidi"/>
        </w:rPr>
        <w:t>ID :</w:t>
      </w:r>
      <w:proofErr w:type="gramEnd"/>
      <w:r w:rsidRPr="00782003">
        <w:rPr>
          <w:rFonts w:asciiTheme="majorBidi" w:hAnsiTheme="majorBidi" w:cstheme="majorBidi"/>
        </w:rPr>
        <w:t xml:space="preserve"> 6711624</w:t>
      </w:r>
    </w:p>
    <w:p w14:paraId="3F9E7B2D" w14:textId="77777777" w:rsidR="000F6425" w:rsidRPr="00785B69" w:rsidRDefault="00000000" w:rsidP="00785B69">
      <w:pPr>
        <w:spacing w:after="0"/>
        <w:rPr>
          <w:rFonts w:asciiTheme="majorBidi" w:hAnsiTheme="majorBidi" w:cstheme="majorBidi"/>
        </w:rPr>
      </w:pPr>
      <w:r w:rsidRPr="00785B69">
        <w:rPr>
          <w:rFonts w:asciiTheme="majorBidi" w:eastAsia="Jamia2014" w:hAnsiTheme="majorBidi" w:cstheme="majorBidi"/>
          <w:color w:val="000000"/>
          <w:sz w:val="12"/>
          <w:szCs w:val="12"/>
          <w:lang w:eastAsia="zh-CN" w:bidi="ar"/>
        </w:rPr>
        <w:t>2</w:t>
      </w:r>
    </w:p>
    <w:p w14:paraId="105C4E13" w14:textId="77777777" w:rsidR="00782003" w:rsidRDefault="00000000" w:rsidP="00785B69">
      <w:pPr>
        <w:spacing w:after="0"/>
        <w:rPr>
          <w:rFonts w:asciiTheme="majorBidi" w:eastAsia="Jamia2014" w:hAnsiTheme="majorBidi" w:cstheme="majorBidi"/>
          <w:color w:val="000000"/>
          <w:lang w:eastAsia="zh-CN" w:bidi="ar"/>
        </w:rPr>
      </w:pPr>
      <w:r w:rsidRPr="00785B69">
        <w:rPr>
          <w:rFonts w:asciiTheme="majorBidi" w:eastAsia="Jamia2014" w:hAnsiTheme="majorBidi" w:cstheme="majorBidi"/>
          <w:color w:val="000000"/>
          <w:lang w:eastAsia="zh-CN" w:bidi="ar"/>
        </w:rPr>
        <w:t>STAI Taruna, Surabaya, Indonesia</w:t>
      </w:r>
    </w:p>
    <w:p w14:paraId="7C6EE46D" w14:textId="3E8C46FE" w:rsidR="00782003" w:rsidRDefault="00782003" w:rsidP="00785B69">
      <w:pPr>
        <w:spacing w:after="0"/>
        <w:rPr>
          <w:rFonts w:asciiTheme="majorBidi" w:eastAsia="Jamia2014" w:hAnsiTheme="majorBidi" w:cstheme="majorBidi"/>
          <w:color w:val="000000"/>
          <w:lang w:eastAsia="zh-CN" w:bidi="ar"/>
        </w:rPr>
      </w:pPr>
      <w:hyperlink r:id="rId9" w:history="1">
        <w:r w:rsidRPr="007B6704">
          <w:rPr>
            <w:rStyle w:val="Hyperlink"/>
            <w:rFonts w:asciiTheme="majorBidi" w:eastAsia="Jamia2014" w:hAnsiTheme="majorBidi" w:cstheme="majorBidi"/>
            <w:lang w:eastAsia="zh-CN" w:bidi="ar"/>
          </w:rPr>
          <w:t>liaistifhama2@gmail.com</w:t>
        </w:r>
      </w:hyperlink>
    </w:p>
    <w:p w14:paraId="3DE84FA7" w14:textId="5E94C102" w:rsidR="000F6425" w:rsidRPr="00785B69" w:rsidRDefault="00782003" w:rsidP="00782003">
      <w:pPr>
        <w:spacing w:after="0"/>
        <w:rPr>
          <w:rFonts w:asciiTheme="majorBidi" w:hAnsiTheme="majorBidi" w:cstheme="majorBidi"/>
        </w:rPr>
      </w:pPr>
      <w:r>
        <w:rPr>
          <w:rFonts w:asciiTheme="majorBidi" w:eastAsia="Jamia2014" w:hAnsiTheme="majorBidi" w:cstheme="majorBidi"/>
          <w:color w:val="000000"/>
          <w:lang w:eastAsia="zh-CN" w:bidi="ar"/>
        </w:rPr>
        <w:t>SINTA ID</w:t>
      </w:r>
      <w:r w:rsidRPr="00782003">
        <w:rPr>
          <w:rFonts w:asciiTheme="majorBidi" w:eastAsia="Jamia2014" w:hAnsiTheme="majorBidi" w:cstheme="majorBidi"/>
          <w:color w:val="000000"/>
          <w:lang w:eastAsia="zh-CN" w:bidi="ar"/>
        </w:rPr>
        <w:t>: 6067001</w:t>
      </w:r>
      <w:r>
        <w:rPr>
          <w:rFonts w:asciiTheme="majorBidi" w:eastAsia="Jamia2014" w:hAnsiTheme="majorBidi" w:cstheme="majorBidi"/>
          <w:color w:val="000000"/>
          <w:lang w:eastAsia="zh-CN" w:bidi="ar"/>
        </w:rPr>
        <w:t xml:space="preserve"> </w:t>
      </w:r>
      <w:r w:rsidR="00000000" w:rsidRPr="00785B69">
        <w:rPr>
          <w:rFonts w:asciiTheme="majorBidi" w:eastAsia="Jamia2014" w:hAnsiTheme="majorBidi" w:cstheme="majorBidi"/>
          <w:color w:val="000000"/>
          <w:lang w:eastAsia="zh-CN" w:bidi="ar"/>
        </w:rPr>
        <w:t xml:space="preserve"> </w:t>
      </w:r>
    </w:p>
    <w:p w14:paraId="14449F80" w14:textId="77777777" w:rsidR="000F6425" w:rsidRPr="00785B69" w:rsidRDefault="00000000" w:rsidP="00785B69">
      <w:pPr>
        <w:spacing w:after="0"/>
        <w:rPr>
          <w:rFonts w:asciiTheme="majorBidi" w:hAnsiTheme="majorBidi" w:cstheme="majorBidi"/>
        </w:rPr>
      </w:pPr>
      <w:r w:rsidRPr="00785B69">
        <w:rPr>
          <w:rFonts w:asciiTheme="majorBidi" w:eastAsia="Jamia2014" w:hAnsiTheme="majorBidi" w:cstheme="majorBidi"/>
          <w:color w:val="000000"/>
          <w:sz w:val="12"/>
          <w:szCs w:val="12"/>
          <w:lang w:eastAsia="zh-CN" w:bidi="ar"/>
        </w:rPr>
        <w:t>3</w:t>
      </w:r>
    </w:p>
    <w:p w14:paraId="7E9DA96B" w14:textId="77777777" w:rsidR="00782003" w:rsidRDefault="00000000" w:rsidP="00785B69">
      <w:pPr>
        <w:spacing w:after="0"/>
        <w:rPr>
          <w:rFonts w:asciiTheme="majorBidi" w:eastAsia="Jamia2014" w:hAnsiTheme="majorBidi" w:cstheme="majorBidi"/>
          <w:color w:val="000000"/>
          <w:lang w:eastAsia="zh-CN" w:bidi="ar"/>
        </w:rPr>
      </w:pPr>
      <w:r w:rsidRPr="00785B69">
        <w:rPr>
          <w:rFonts w:asciiTheme="majorBidi" w:eastAsia="Jamia2014" w:hAnsiTheme="majorBidi" w:cstheme="majorBidi"/>
          <w:color w:val="000000"/>
          <w:lang w:eastAsia="zh-CN" w:bidi="ar"/>
        </w:rPr>
        <w:t>UIN KH. Ahmad Siddiq, Jember, Indonesia</w:t>
      </w:r>
    </w:p>
    <w:p w14:paraId="27A79F35" w14:textId="06C9B955" w:rsidR="000F6425" w:rsidRDefault="00000000" w:rsidP="00C576AA">
      <w:pPr>
        <w:spacing w:after="0"/>
        <w:rPr>
          <w:rFonts w:asciiTheme="majorBidi" w:eastAsia="Jamia2014" w:hAnsiTheme="majorBidi" w:cstheme="majorBidi"/>
          <w:color w:val="000000"/>
          <w:lang w:eastAsia="zh-CN" w:bidi="ar"/>
        </w:rPr>
      </w:pPr>
      <w:r w:rsidRPr="00785B69">
        <w:rPr>
          <w:rFonts w:asciiTheme="majorBidi" w:eastAsia="Jamia2014" w:hAnsiTheme="majorBidi" w:cstheme="majorBidi"/>
          <w:color w:val="000000"/>
          <w:lang w:eastAsia="zh-CN" w:bidi="ar"/>
        </w:rPr>
        <w:t xml:space="preserve"> </w:t>
      </w:r>
      <w:hyperlink r:id="rId10" w:history="1">
        <w:r w:rsidR="00C576AA" w:rsidRPr="007B6704">
          <w:rPr>
            <w:rStyle w:val="Hyperlink"/>
            <w:rFonts w:asciiTheme="majorBidi" w:eastAsia="Jamia2014" w:hAnsiTheme="majorBidi" w:cstheme="majorBidi"/>
            <w:lang w:eastAsia="zh-CN" w:bidi="ar"/>
          </w:rPr>
          <w:t>miftahul_ulum2001@yahoo.com</w:t>
        </w:r>
      </w:hyperlink>
    </w:p>
    <w:p w14:paraId="2E6103B6" w14:textId="2EE79465" w:rsidR="00C576AA" w:rsidRPr="00C576AA" w:rsidRDefault="00C576AA" w:rsidP="00C576AA">
      <w:pPr>
        <w:spacing w:after="0"/>
        <w:rPr>
          <w:rFonts w:asciiTheme="majorBidi" w:hAnsiTheme="majorBidi" w:cstheme="majorBidi"/>
        </w:rPr>
      </w:pPr>
      <w:r>
        <w:rPr>
          <w:rFonts w:asciiTheme="majorBidi" w:eastAsia="Jamia2014" w:hAnsiTheme="majorBidi" w:cstheme="majorBidi"/>
          <w:color w:val="000000"/>
          <w:lang w:eastAsia="zh-CN" w:bidi="ar"/>
        </w:rPr>
        <w:t>SINTA ID</w:t>
      </w:r>
      <w:r w:rsidRPr="00782003">
        <w:rPr>
          <w:rFonts w:asciiTheme="majorBidi" w:eastAsia="Jamia2014" w:hAnsiTheme="majorBidi" w:cstheme="majorBidi"/>
          <w:color w:val="000000"/>
          <w:lang w:eastAsia="zh-CN" w:bidi="ar"/>
        </w:rPr>
        <w:t>: 6067001</w:t>
      </w:r>
      <w:r>
        <w:rPr>
          <w:rFonts w:asciiTheme="majorBidi" w:eastAsia="Jamia2014" w:hAnsiTheme="majorBidi" w:cstheme="majorBidi"/>
          <w:color w:val="000000"/>
          <w:lang w:eastAsia="zh-CN" w:bidi="ar"/>
        </w:rPr>
        <w:t xml:space="preserve"> </w:t>
      </w:r>
      <w:r w:rsidRPr="00785B69">
        <w:rPr>
          <w:rFonts w:asciiTheme="majorBidi" w:eastAsia="Jamia2014" w:hAnsiTheme="majorBidi" w:cstheme="majorBidi"/>
          <w:color w:val="000000"/>
          <w:lang w:eastAsia="zh-CN" w:bidi="ar"/>
        </w:rPr>
        <w:t xml:space="preserve"> </w:t>
      </w:r>
    </w:p>
    <w:p w14:paraId="64938673" w14:textId="77777777" w:rsidR="000F6425" w:rsidRPr="00785B69" w:rsidRDefault="00000000" w:rsidP="00785B69">
      <w:pPr>
        <w:spacing w:after="0"/>
        <w:rPr>
          <w:rFonts w:asciiTheme="majorBidi" w:hAnsiTheme="majorBidi" w:cstheme="majorBidi"/>
        </w:rPr>
      </w:pPr>
      <w:r w:rsidRPr="00785B69">
        <w:rPr>
          <w:rFonts w:asciiTheme="majorBidi" w:eastAsia="Jamia2014" w:hAnsiTheme="majorBidi" w:cstheme="majorBidi"/>
          <w:color w:val="000000"/>
          <w:sz w:val="12"/>
          <w:szCs w:val="12"/>
          <w:lang w:eastAsia="zh-CN" w:bidi="ar"/>
        </w:rPr>
        <w:t>3</w:t>
      </w:r>
    </w:p>
    <w:p w14:paraId="548B95EA" w14:textId="77777777" w:rsidR="00C576AA" w:rsidRDefault="00000000" w:rsidP="00785B69">
      <w:pPr>
        <w:spacing w:after="0"/>
        <w:rPr>
          <w:rFonts w:asciiTheme="majorBidi" w:eastAsia="Jamia2014" w:hAnsiTheme="majorBidi" w:cstheme="majorBidi"/>
          <w:color w:val="000000"/>
          <w:lang w:eastAsia="zh-CN" w:bidi="ar"/>
        </w:rPr>
      </w:pPr>
      <w:r w:rsidRPr="00785B69">
        <w:rPr>
          <w:rFonts w:asciiTheme="majorBidi" w:eastAsia="Jamia2014" w:hAnsiTheme="majorBidi" w:cstheme="majorBidi"/>
          <w:color w:val="000000"/>
          <w:lang w:eastAsia="zh-CN" w:bidi="ar"/>
        </w:rPr>
        <w:t xml:space="preserve">STAI </w:t>
      </w:r>
      <w:proofErr w:type="spellStart"/>
      <w:r w:rsidRPr="00785B69">
        <w:rPr>
          <w:rFonts w:asciiTheme="majorBidi" w:eastAsia="Jamia2014" w:hAnsiTheme="majorBidi" w:cstheme="majorBidi"/>
          <w:color w:val="000000"/>
          <w:lang w:eastAsia="zh-CN" w:bidi="ar"/>
        </w:rPr>
        <w:t>Syaichona</w:t>
      </w:r>
      <w:proofErr w:type="spellEnd"/>
      <w:r w:rsidRPr="00785B69">
        <w:rPr>
          <w:rFonts w:asciiTheme="majorBidi" w:eastAsia="Jamia2014" w:hAnsiTheme="majorBidi" w:cstheme="majorBidi"/>
          <w:color w:val="000000"/>
          <w:lang w:eastAsia="zh-CN" w:bidi="ar"/>
        </w:rPr>
        <w:t xml:space="preserve"> Cholil, </w:t>
      </w:r>
      <w:proofErr w:type="spellStart"/>
      <w:r w:rsidRPr="00785B69">
        <w:rPr>
          <w:rFonts w:asciiTheme="majorBidi" w:eastAsia="Jamia2014" w:hAnsiTheme="majorBidi" w:cstheme="majorBidi"/>
          <w:color w:val="000000"/>
          <w:lang w:eastAsia="zh-CN" w:bidi="ar"/>
        </w:rPr>
        <w:t>Bangkalan</w:t>
      </w:r>
      <w:proofErr w:type="spellEnd"/>
      <w:r w:rsidRPr="00785B69">
        <w:rPr>
          <w:rFonts w:asciiTheme="majorBidi" w:eastAsia="Jamia2014" w:hAnsiTheme="majorBidi" w:cstheme="majorBidi"/>
          <w:color w:val="000000"/>
          <w:lang w:eastAsia="zh-CN" w:bidi="ar"/>
        </w:rPr>
        <w:t>, Indonesia</w:t>
      </w:r>
    </w:p>
    <w:p w14:paraId="3FB904D3" w14:textId="4B091D43" w:rsidR="00C576AA" w:rsidRDefault="00C576AA" w:rsidP="00785B69">
      <w:pPr>
        <w:spacing w:after="0"/>
        <w:rPr>
          <w:rFonts w:asciiTheme="majorBidi" w:eastAsia="Jamia2014" w:hAnsiTheme="majorBidi" w:cstheme="majorBidi"/>
          <w:color w:val="000000"/>
          <w:lang w:eastAsia="zh-CN" w:bidi="ar"/>
        </w:rPr>
      </w:pPr>
      <w:hyperlink r:id="rId11" w:history="1">
        <w:r w:rsidRPr="007B6704">
          <w:rPr>
            <w:rStyle w:val="Hyperlink"/>
            <w:rFonts w:asciiTheme="majorBidi" w:eastAsia="Jamia2014" w:hAnsiTheme="majorBidi" w:cstheme="majorBidi"/>
            <w:lang w:eastAsia="zh-CN" w:bidi="ar"/>
          </w:rPr>
          <w:t>rosulahmad9@gmail.com</w:t>
        </w:r>
      </w:hyperlink>
    </w:p>
    <w:p w14:paraId="0A99CD96" w14:textId="7D28633F" w:rsidR="000F6425" w:rsidRPr="00785B69" w:rsidRDefault="00C576AA" w:rsidP="00785B69">
      <w:pPr>
        <w:spacing w:after="0"/>
        <w:rPr>
          <w:rFonts w:asciiTheme="majorBidi" w:eastAsia="Jamia2014" w:hAnsiTheme="majorBidi" w:cstheme="majorBidi"/>
          <w:color w:val="000000"/>
          <w:lang w:eastAsia="zh-CN" w:bidi="ar"/>
        </w:rPr>
      </w:pPr>
      <w:r w:rsidRPr="00C576AA">
        <w:rPr>
          <w:rFonts w:asciiTheme="majorBidi" w:eastAsia="Jamia2014" w:hAnsiTheme="majorBidi" w:cstheme="majorBidi"/>
          <w:color w:val="000000"/>
          <w:lang w:eastAsia="zh-CN" w:bidi="ar"/>
        </w:rPr>
        <w:t>SINTA ID: 6711926</w:t>
      </w:r>
      <w:r w:rsidR="00000000" w:rsidRPr="00785B69">
        <w:rPr>
          <w:rFonts w:asciiTheme="majorBidi" w:eastAsia="Jamia2014" w:hAnsiTheme="majorBidi" w:cstheme="majorBidi"/>
          <w:color w:val="000000"/>
          <w:lang w:eastAsia="zh-CN" w:bidi="ar"/>
        </w:rPr>
        <w:t xml:space="preserve"> </w:t>
      </w:r>
    </w:p>
    <w:p w14:paraId="4970A4DF" w14:textId="77777777" w:rsidR="000F6425" w:rsidRPr="00785B69" w:rsidRDefault="00000000" w:rsidP="00785B69">
      <w:pPr>
        <w:spacing w:after="0"/>
        <w:rPr>
          <w:rFonts w:asciiTheme="majorBidi" w:hAnsiTheme="majorBidi" w:cstheme="majorBidi"/>
        </w:rPr>
      </w:pPr>
      <w:r w:rsidRPr="00785B69">
        <w:rPr>
          <w:rFonts w:asciiTheme="majorBidi" w:eastAsia="Jamia2014" w:hAnsiTheme="majorBidi" w:cstheme="majorBidi"/>
          <w:color w:val="000000"/>
          <w:sz w:val="12"/>
          <w:szCs w:val="12"/>
          <w:lang w:eastAsia="zh-CN" w:bidi="ar"/>
        </w:rPr>
        <w:t>2</w:t>
      </w:r>
    </w:p>
    <w:p w14:paraId="391D93DD" w14:textId="77777777" w:rsidR="00C576AA" w:rsidRDefault="00000000" w:rsidP="00785B69">
      <w:pPr>
        <w:spacing w:after="0"/>
        <w:rPr>
          <w:rFonts w:asciiTheme="majorBidi" w:eastAsia="Jamia2014" w:hAnsiTheme="majorBidi" w:cstheme="majorBidi"/>
          <w:color w:val="000000"/>
          <w:lang w:eastAsia="zh-CN" w:bidi="ar"/>
        </w:rPr>
      </w:pPr>
      <w:r w:rsidRPr="00785B69">
        <w:rPr>
          <w:rFonts w:asciiTheme="majorBidi" w:eastAsia="Jamia2014" w:hAnsiTheme="majorBidi" w:cstheme="majorBidi"/>
          <w:color w:val="000000"/>
          <w:lang w:eastAsia="zh-CN" w:bidi="ar"/>
        </w:rPr>
        <w:t>STAI Taruna, Surabaya, Indonesia</w:t>
      </w:r>
    </w:p>
    <w:p w14:paraId="3CBD67FD" w14:textId="32804C86" w:rsidR="00C576AA" w:rsidRDefault="00C576AA" w:rsidP="00C576AA">
      <w:pPr>
        <w:spacing w:after="0"/>
        <w:rPr>
          <w:rFonts w:asciiTheme="majorBidi" w:eastAsia="Jamia2014" w:hAnsiTheme="majorBidi" w:cstheme="majorBidi"/>
          <w:color w:val="000000"/>
          <w:lang w:val="en-ID" w:eastAsia="zh-CN" w:bidi="ar"/>
        </w:rPr>
      </w:pPr>
      <w:hyperlink r:id="rId12" w:history="1">
        <w:r w:rsidRPr="007B6704">
          <w:rPr>
            <w:rStyle w:val="Hyperlink"/>
            <w:rFonts w:asciiTheme="majorBidi" w:eastAsia="Jamia2014" w:hAnsiTheme="majorBidi" w:cstheme="majorBidi"/>
            <w:lang w:val="en-ID" w:eastAsia="zh-CN" w:bidi="ar"/>
          </w:rPr>
          <w:t>lailatu.zahroh@yahoo.com</w:t>
        </w:r>
      </w:hyperlink>
    </w:p>
    <w:p w14:paraId="05E128A8" w14:textId="28FF9EF0" w:rsidR="000F6425" w:rsidRPr="00785B69" w:rsidRDefault="00C576AA" w:rsidP="00C576AA">
      <w:pPr>
        <w:spacing w:after="0"/>
        <w:rPr>
          <w:rFonts w:asciiTheme="majorBidi" w:eastAsia="Jamia2014" w:hAnsiTheme="majorBidi" w:cstheme="majorBidi"/>
          <w:color w:val="000000"/>
          <w:lang w:eastAsia="zh-CN" w:bidi="ar"/>
        </w:rPr>
      </w:pPr>
      <w:r w:rsidRPr="00C576AA">
        <w:rPr>
          <w:rFonts w:asciiTheme="majorBidi" w:eastAsia="Jamia2014" w:hAnsiTheme="majorBidi" w:cstheme="majorBidi"/>
          <w:color w:val="000000"/>
          <w:lang w:eastAsia="zh-CN" w:bidi="ar"/>
        </w:rPr>
        <w:t>SINTA ID: 6711926</w:t>
      </w:r>
      <w:r w:rsidR="00000000" w:rsidRPr="00785B69">
        <w:rPr>
          <w:rFonts w:asciiTheme="majorBidi" w:eastAsia="Jamia2014" w:hAnsiTheme="majorBidi" w:cstheme="majorBidi"/>
          <w:color w:val="000000"/>
          <w:lang w:eastAsia="zh-CN" w:bidi="ar"/>
        </w:rPr>
        <w:t xml:space="preserve"> </w:t>
      </w:r>
    </w:p>
    <w:p w14:paraId="29E178C5" w14:textId="77777777" w:rsidR="000F6425" w:rsidRPr="00785B69" w:rsidRDefault="00000000" w:rsidP="00785B69">
      <w:pPr>
        <w:spacing w:after="0"/>
        <w:rPr>
          <w:rFonts w:asciiTheme="majorBidi" w:hAnsiTheme="majorBidi" w:cstheme="majorBidi"/>
        </w:rPr>
      </w:pPr>
      <w:r w:rsidRPr="00785B69">
        <w:rPr>
          <w:rFonts w:asciiTheme="majorBidi" w:eastAsia="Jamia2014" w:hAnsiTheme="majorBidi" w:cstheme="majorBidi"/>
          <w:color w:val="000000"/>
          <w:sz w:val="12"/>
          <w:szCs w:val="12"/>
          <w:lang w:eastAsia="zh-CN" w:bidi="ar"/>
        </w:rPr>
        <w:t>*</w:t>
      </w:r>
    </w:p>
    <w:p w14:paraId="49E2E455" w14:textId="77777777" w:rsidR="000F6425" w:rsidRPr="00785B69" w:rsidRDefault="00000000">
      <w:pPr>
        <w:rPr>
          <w:rFonts w:asciiTheme="majorBidi" w:hAnsiTheme="majorBidi" w:cstheme="majorBidi"/>
        </w:rPr>
      </w:pPr>
      <w:r w:rsidRPr="00785B69">
        <w:rPr>
          <w:rFonts w:asciiTheme="majorBidi" w:eastAsia="Jamia2014" w:hAnsiTheme="majorBidi" w:cstheme="majorBidi"/>
          <w:color w:val="000000"/>
          <w:lang w:eastAsia="zh-CN" w:bidi="ar"/>
        </w:rPr>
        <w:t xml:space="preserve">Correspondence: </w:t>
      </w:r>
      <w:r w:rsidRPr="00785B69">
        <w:rPr>
          <w:rFonts w:asciiTheme="majorBidi" w:eastAsia="Jamia2014-Italic" w:hAnsiTheme="majorBidi" w:cstheme="majorBidi"/>
          <w:i/>
          <w:iCs/>
          <w:color w:val="011893"/>
          <w:lang w:eastAsia="zh-CN" w:bidi="ar"/>
        </w:rPr>
        <w:t>nasiri.abadi20@gmail.com</w:t>
      </w:r>
    </w:p>
    <w:p w14:paraId="205E655D" w14:textId="77777777" w:rsidR="000F6425" w:rsidRDefault="000F6425">
      <w:pPr>
        <w:spacing w:after="0" w:line="240" w:lineRule="auto"/>
        <w:jc w:val="center"/>
        <w:rPr>
          <w:rFonts w:ascii="Times New Roman" w:eastAsia="Times New Roman" w:hAnsi="Times New Roman" w:cs="Times New Roman"/>
          <w:b/>
          <w:sz w:val="32"/>
          <w:szCs w:val="32"/>
        </w:rPr>
      </w:pPr>
    </w:p>
    <w:p w14:paraId="60635FB9" w14:textId="77777777" w:rsidR="000F6425" w:rsidRDefault="00000000">
      <w:pPr>
        <w:spacing w:after="120" w:line="240" w:lineRule="auto"/>
        <w:ind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Abstract: </w:t>
      </w:r>
    </w:p>
    <w:p w14:paraId="5F5C2C39" w14:textId="77777777" w:rsidR="000F6425" w:rsidRDefault="00000000">
      <w:pPr>
        <w:spacing w:after="120"/>
        <w:ind w:left="567" w:right="-125"/>
        <w:jc w:val="both"/>
        <w:rPr>
          <w:rFonts w:ascii="Times New Roman" w:eastAsia="Times New Roman" w:hAnsi="Times New Roman" w:cs="Times New Roman"/>
          <w:color w:val="000000"/>
          <w:sz w:val="24"/>
          <w:szCs w:val="24"/>
          <w:lang w:val="zh-CN"/>
        </w:rPr>
      </w:pPr>
      <w:proofErr w:type="spellStart"/>
      <w:r>
        <w:rPr>
          <w:rFonts w:ascii="Times New Roman" w:eastAsia="Times New Roman" w:hAnsi="Times New Roman" w:cs="Times New Roman"/>
          <w:color w:val="000000"/>
          <w:sz w:val="24"/>
          <w:szCs w:val="24"/>
        </w:rPr>
        <w:t>Misyar</w:t>
      </w:r>
      <w:proofErr w:type="spellEnd"/>
      <w:r>
        <w:rPr>
          <w:rFonts w:ascii="Times New Roman" w:eastAsia="Times New Roman" w:hAnsi="Times New Roman" w:cs="Times New Roman"/>
          <w:color w:val="000000"/>
          <w:sz w:val="24"/>
          <w:szCs w:val="24"/>
        </w:rPr>
        <w:t xml:space="preserve"> marriage </w:t>
      </w:r>
      <w:r>
        <w:rPr>
          <w:rFonts w:ascii="Times New Roman" w:eastAsia="Times New Roman" w:hAnsi="Times New Roman" w:cs="Times New Roman"/>
          <w:color w:val="000000"/>
          <w:sz w:val="24"/>
          <w:szCs w:val="24"/>
          <w:lang w:val="zh-CN"/>
        </w:rPr>
        <w:t>remains a problematic issue in Muslim countries. Misyar marriage is characterized by the removal of certain obligations from the couple</w:t>
      </w:r>
      <w:r>
        <w:rPr>
          <w:rFonts w:ascii="Times New Roman" w:eastAsia="Times New Roman" w:hAnsi="Times New Roman" w:cs="Times New Roman"/>
          <w:color w:val="000000"/>
          <w:sz w:val="24"/>
          <w:szCs w:val="24"/>
        </w:rPr>
        <w:t xml:space="preserve">, such as financial support and provision of housing, and is often conducted in secret. This has sparked controversy among Islamic scholars and legal experts, as some consider it valid under Sharia law, while others view it as deviating from the main purpose of marriage. This study aims to analyze the practice of </w:t>
      </w:r>
      <w:proofErr w:type="spellStart"/>
      <w:r>
        <w:rPr>
          <w:rFonts w:ascii="Times New Roman" w:eastAsia="Times New Roman" w:hAnsi="Times New Roman" w:cs="Times New Roman"/>
          <w:color w:val="000000"/>
          <w:sz w:val="24"/>
          <w:szCs w:val="24"/>
        </w:rPr>
        <w:t>misyar</w:t>
      </w:r>
      <w:proofErr w:type="spellEnd"/>
      <w:r>
        <w:rPr>
          <w:rFonts w:ascii="Times New Roman" w:eastAsia="Times New Roman" w:hAnsi="Times New Roman" w:cs="Times New Roman"/>
          <w:color w:val="000000"/>
          <w:sz w:val="24"/>
          <w:szCs w:val="24"/>
        </w:rPr>
        <w:t xml:space="preserve"> marriage among socialite women in Muslim countries from the perspective of gender equality and Jamaluddin Athiyah's concept </w:t>
      </w:r>
      <w:r>
        <w:rPr>
          <w:rFonts w:ascii="Times New Roman" w:eastAsia="Times New Roman" w:hAnsi="Times New Roman" w:cs="Times New Roman"/>
          <w:i/>
          <w:iCs/>
          <w:color w:val="000000"/>
          <w:sz w:val="24"/>
          <w:szCs w:val="24"/>
        </w:rPr>
        <w:t xml:space="preserve">of </w:t>
      </w:r>
      <w:proofErr w:type="spellStart"/>
      <w:r>
        <w:rPr>
          <w:rFonts w:ascii="Times New Roman" w:eastAsia="Times New Roman" w:hAnsi="Times New Roman" w:cs="Times New Roman"/>
          <w:i/>
          <w:iCs/>
          <w:color w:val="000000"/>
          <w:sz w:val="24"/>
          <w:szCs w:val="24"/>
        </w:rPr>
        <w:t>maqasid</w:t>
      </w:r>
      <w:proofErr w:type="spellEnd"/>
      <w:r>
        <w:rPr>
          <w:rFonts w:ascii="Times New Roman" w:eastAsia="Times New Roman" w:hAnsi="Times New Roman" w:cs="Times New Roman"/>
          <w:i/>
          <w:iCs/>
          <w:color w:val="000000"/>
          <w:sz w:val="24"/>
          <w:szCs w:val="24"/>
        </w:rPr>
        <w:t xml:space="preserve"> al-</w:t>
      </w:r>
      <w:proofErr w:type="spellStart"/>
      <w:r>
        <w:rPr>
          <w:rFonts w:ascii="Times New Roman" w:eastAsia="Times New Roman" w:hAnsi="Times New Roman" w:cs="Times New Roman"/>
          <w:i/>
          <w:iCs/>
          <w:color w:val="000000"/>
          <w:sz w:val="24"/>
          <w:szCs w:val="24"/>
        </w:rPr>
        <w:t>usrah</w:t>
      </w:r>
      <w:proofErr w:type="spellEnd"/>
      <w:r>
        <w:rPr>
          <w:rFonts w:ascii="Times New Roman" w:eastAsia="Times New Roman" w:hAnsi="Times New Roman" w:cs="Times New Roman"/>
          <w:color w:val="000000"/>
          <w:sz w:val="24"/>
          <w:szCs w:val="24"/>
        </w:rPr>
        <w:t xml:space="preserve">. The research method used is qualitative with a phenomenological approach, through field observations and in-depth interviews with practitioners of </w:t>
      </w:r>
      <w:proofErr w:type="spellStart"/>
      <w:r>
        <w:rPr>
          <w:rFonts w:ascii="Times New Roman" w:eastAsia="Times New Roman" w:hAnsi="Times New Roman" w:cs="Times New Roman"/>
          <w:color w:val="000000"/>
          <w:sz w:val="24"/>
          <w:szCs w:val="24"/>
        </w:rPr>
        <w:t>misyar</w:t>
      </w:r>
      <w:proofErr w:type="spellEnd"/>
      <w:r>
        <w:rPr>
          <w:rFonts w:ascii="Times New Roman" w:eastAsia="Times New Roman" w:hAnsi="Times New Roman" w:cs="Times New Roman"/>
          <w:color w:val="000000"/>
          <w:sz w:val="24"/>
          <w:szCs w:val="24"/>
        </w:rPr>
        <w:t xml:space="preserve"> marriage in the five countries. The results show that the practice of </w:t>
      </w:r>
      <w:proofErr w:type="spellStart"/>
      <w:r>
        <w:rPr>
          <w:rFonts w:ascii="Times New Roman" w:eastAsia="Times New Roman" w:hAnsi="Times New Roman" w:cs="Times New Roman"/>
          <w:color w:val="000000"/>
          <w:sz w:val="24"/>
          <w:szCs w:val="24"/>
        </w:rPr>
        <w:t>misyar</w:t>
      </w:r>
      <w:proofErr w:type="spellEnd"/>
      <w:r>
        <w:rPr>
          <w:rFonts w:ascii="Times New Roman" w:eastAsia="Times New Roman" w:hAnsi="Times New Roman" w:cs="Times New Roman"/>
          <w:color w:val="000000"/>
          <w:sz w:val="24"/>
          <w:szCs w:val="24"/>
        </w:rPr>
        <w:t xml:space="preserve"> marriage among socialite women varies in form and motive, including the desire to be free from the hegemony of the husband, similarity to </w:t>
      </w:r>
      <w:proofErr w:type="spellStart"/>
      <w:r>
        <w:rPr>
          <w:rFonts w:ascii="Times New Roman" w:eastAsia="Times New Roman" w:hAnsi="Times New Roman" w:cs="Times New Roman"/>
          <w:i/>
          <w:iCs/>
          <w:color w:val="000000"/>
          <w:sz w:val="24"/>
          <w:szCs w:val="24"/>
        </w:rPr>
        <w:t>sirri</w:t>
      </w:r>
      <w:proofErr w:type="spellEnd"/>
      <w:r>
        <w:rPr>
          <w:rFonts w:ascii="Times New Roman" w:eastAsia="Times New Roman" w:hAnsi="Times New Roman" w:cs="Times New Roman"/>
          <w:color w:val="000000"/>
          <w:sz w:val="24"/>
          <w:szCs w:val="24"/>
        </w:rPr>
        <w:t xml:space="preserve"> marriage (unregistered marriage), ease of divorce, flexibility in changing partners, fulfillment of biological needs, and improving offspring. However, from a gender perspective, </w:t>
      </w:r>
      <w:proofErr w:type="spellStart"/>
      <w:r>
        <w:rPr>
          <w:rFonts w:ascii="Times New Roman" w:eastAsia="Times New Roman" w:hAnsi="Times New Roman" w:cs="Times New Roman"/>
          <w:color w:val="000000"/>
          <w:sz w:val="24"/>
          <w:szCs w:val="24"/>
        </w:rPr>
        <w:t>misyar</w:t>
      </w:r>
      <w:proofErr w:type="spellEnd"/>
      <w:r>
        <w:rPr>
          <w:rFonts w:ascii="Times New Roman" w:eastAsia="Times New Roman" w:hAnsi="Times New Roman" w:cs="Times New Roman"/>
          <w:color w:val="000000"/>
          <w:sz w:val="24"/>
          <w:szCs w:val="24"/>
        </w:rPr>
        <w:t xml:space="preserve"> marriage is more detrimental to women and children, as it has the potential to cause gender inequality, social stigma, and the loss of their legal </w:t>
      </w:r>
      <w:r>
        <w:rPr>
          <w:rFonts w:ascii="Times New Roman" w:eastAsia="Times New Roman" w:hAnsi="Times New Roman" w:cs="Times New Roman"/>
          <w:color w:val="000000"/>
          <w:sz w:val="24"/>
          <w:szCs w:val="24"/>
        </w:rPr>
        <w:lastRenderedPageBreak/>
        <w:t xml:space="preserve">rights. Furthermore, when viewed from the perspective of </w:t>
      </w:r>
      <w:proofErr w:type="spellStart"/>
      <w:r>
        <w:rPr>
          <w:rFonts w:ascii="Times New Roman" w:eastAsia="Times New Roman" w:hAnsi="Times New Roman" w:cs="Times New Roman"/>
          <w:i/>
          <w:iCs/>
          <w:color w:val="000000"/>
          <w:sz w:val="24"/>
          <w:szCs w:val="24"/>
        </w:rPr>
        <w:t>maqasid</w:t>
      </w:r>
      <w:proofErr w:type="spellEnd"/>
      <w:r>
        <w:rPr>
          <w:rFonts w:ascii="Times New Roman" w:eastAsia="Times New Roman" w:hAnsi="Times New Roman" w:cs="Times New Roman"/>
          <w:i/>
          <w:iCs/>
          <w:color w:val="000000"/>
          <w:sz w:val="24"/>
          <w:szCs w:val="24"/>
        </w:rPr>
        <w:t xml:space="preserve"> al-</w:t>
      </w:r>
      <w:proofErr w:type="spellStart"/>
      <w:r>
        <w:rPr>
          <w:rFonts w:ascii="Times New Roman" w:eastAsia="Times New Roman" w:hAnsi="Times New Roman" w:cs="Times New Roman"/>
          <w:i/>
          <w:iCs/>
          <w:color w:val="000000"/>
          <w:sz w:val="24"/>
          <w:szCs w:val="24"/>
        </w:rPr>
        <w:t>usrah</w:t>
      </w:r>
      <w:proofErr w:type="spellEnd"/>
      <w:r>
        <w:rPr>
          <w:rFonts w:ascii="Times New Roman" w:eastAsia="Times New Roman" w:hAnsi="Times New Roman" w:cs="Times New Roman"/>
          <w:i/>
          <w:iCs/>
          <w:color w:val="000000"/>
          <w:sz w:val="24"/>
          <w:szCs w:val="24"/>
        </w:rPr>
        <w:t xml:space="preserve">, </w:t>
      </w:r>
      <w:r>
        <w:rPr>
          <w:rFonts w:ascii="Times New Roman" w:eastAsia="Times New Roman" w:hAnsi="Times New Roman" w:cs="Times New Roman"/>
          <w:color w:val="000000"/>
          <w:sz w:val="24"/>
          <w:szCs w:val="24"/>
        </w:rPr>
        <w:t xml:space="preserve">this practice fails to fulfill a number of the main objectives of marriage in Islam, such as preserving lineage, creating a </w:t>
      </w:r>
      <w:proofErr w:type="spellStart"/>
      <w:r>
        <w:rPr>
          <w:rFonts w:ascii="Times New Roman" w:eastAsia="Times New Roman" w:hAnsi="Times New Roman" w:cs="Times New Roman"/>
          <w:i/>
          <w:iCs/>
          <w:color w:val="000000"/>
          <w:sz w:val="24"/>
          <w:szCs w:val="24"/>
        </w:rPr>
        <w:t>sakinah</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mawaddah</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rahmah</w:t>
      </w:r>
      <w:proofErr w:type="spellEnd"/>
      <w:r>
        <w:rPr>
          <w:rFonts w:ascii="Times New Roman" w:eastAsia="Times New Roman" w:hAnsi="Times New Roman" w:cs="Times New Roman"/>
          <w:i/>
          <w:iCs/>
          <w:color w:val="000000"/>
          <w:sz w:val="24"/>
          <w:szCs w:val="24"/>
        </w:rPr>
        <w:t xml:space="preserve"> </w:t>
      </w:r>
      <w:r>
        <w:rPr>
          <w:rFonts w:ascii="Times New Roman" w:eastAsia="Times New Roman" w:hAnsi="Times New Roman" w:cs="Times New Roman"/>
          <w:color w:val="000000"/>
          <w:sz w:val="24"/>
          <w:szCs w:val="24"/>
        </w:rPr>
        <w:t>family</w:t>
      </w:r>
      <w:r>
        <w:rPr>
          <w:rFonts w:ascii="Times New Roman" w:eastAsia="Times New Roman" w:hAnsi="Times New Roman" w:cs="Times New Roman"/>
          <w:i/>
          <w:iCs/>
          <w:color w:val="000000"/>
          <w:sz w:val="24"/>
          <w:szCs w:val="24"/>
        </w:rPr>
        <w:t xml:space="preserve">, </w:t>
      </w:r>
      <w:r>
        <w:rPr>
          <w:rFonts w:ascii="Times New Roman" w:eastAsia="Times New Roman" w:hAnsi="Times New Roman" w:cs="Times New Roman"/>
          <w:color w:val="000000"/>
          <w:sz w:val="24"/>
          <w:szCs w:val="24"/>
        </w:rPr>
        <w:t>and ensuring the fulfillment of the rights and obligations of husbands and wives in a proportional manner. The findings of this study are expected to contribute to the development of Islamic family law so that it is more responsive to gender equality issues and contemporary social realities.</w:t>
      </w:r>
    </w:p>
    <w:p w14:paraId="6E1975C0" w14:textId="77777777" w:rsidR="000F6425" w:rsidRDefault="000F6425">
      <w:pPr>
        <w:spacing w:after="120"/>
        <w:ind w:left="567" w:right="-125"/>
        <w:jc w:val="both"/>
        <w:rPr>
          <w:rFonts w:ascii="Times New Roman" w:eastAsia="Times New Roman" w:hAnsi="Times New Roman" w:cs="Times New Roman"/>
          <w:color w:val="000000"/>
          <w:sz w:val="24"/>
          <w:szCs w:val="24"/>
          <w:lang w:val="zh-CN"/>
        </w:rPr>
      </w:pPr>
    </w:p>
    <w:p w14:paraId="61C727EE" w14:textId="77777777" w:rsidR="000F6425" w:rsidRDefault="00000000">
      <w:pPr>
        <w:spacing w:before="120" w:after="120" w:line="240" w:lineRule="auto"/>
        <w:ind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Keywords:</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Misyar</w:t>
      </w:r>
      <w:proofErr w:type="spellEnd"/>
      <w:r>
        <w:rPr>
          <w:rFonts w:ascii="Times New Roman" w:eastAsia="Times New Roman" w:hAnsi="Times New Roman" w:cs="Times New Roman"/>
          <w:sz w:val="24"/>
          <w:szCs w:val="24"/>
        </w:rPr>
        <w:t xml:space="preserve"> Marriage; Socialite Women; Gender; </w:t>
      </w:r>
      <w:proofErr w:type="spellStart"/>
      <w:r>
        <w:rPr>
          <w:rFonts w:ascii="Times New Roman" w:eastAsia="Times New Roman" w:hAnsi="Times New Roman" w:cs="Times New Roman"/>
          <w:sz w:val="24"/>
          <w:szCs w:val="24"/>
        </w:rPr>
        <w:t>Maqasid</w:t>
      </w:r>
      <w:proofErr w:type="spellEnd"/>
      <w:r>
        <w:rPr>
          <w:rFonts w:ascii="Times New Roman" w:eastAsia="Times New Roman" w:hAnsi="Times New Roman" w:cs="Times New Roman"/>
          <w:sz w:val="24"/>
          <w:szCs w:val="24"/>
        </w:rPr>
        <w:t xml:space="preserve"> al-</w:t>
      </w:r>
      <w:proofErr w:type="spellStart"/>
      <w:r>
        <w:rPr>
          <w:rFonts w:ascii="Times New Roman" w:eastAsia="Times New Roman" w:hAnsi="Times New Roman" w:cs="Times New Roman"/>
          <w:sz w:val="24"/>
          <w:szCs w:val="24"/>
        </w:rPr>
        <w:t>Usrah</w:t>
      </w:r>
      <w:proofErr w:type="spellEnd"/>
      <w:r>
        <w:rPr>
          <w:rFonts w:ascii="Times New Roman" w:eastAsia="Times New Roman" w:hAnsi="Times New Roman" w:cs="Times New Roman"/>
          <w:sz w:val="24"/>
          <w:szCs w:val="24"/>
        </w:rPr>
        <w:t>; Islamic Law.</w:t>
      </w:r>
    </w:p>
    <w:p w14:paraId="3053C5EE" w14:textId="77777777" w:rsidR="000F6425" w:rsidRDefault="00000000">
      <w:pPr>
        <w:spacing w:before="120" w:after="12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Introduction</w:t>
      </w:r>
    </w:p>
    <w:p w14:paraId="18DD0797" w14:textId="77777777" w:rsidR="000F6425" w:rsidRDefault="00000000">
      <w:pPr>
        <w:spacing w:before="120"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zh-CN"/>
        </w:rPr>
        <w:t>Misyar marriage has become a phenomenon that has attracted attention in the contemporary Islamic world.</w:t>
      </w:r>
      <w:r>
        <w:rPr>
          <w:rStyle w:val="FootnoteReference"/>
          <w:rFonts w:ascii="Times New Roman" w:eastAsia="Times New Roman" w:hAnsi="Times New Roman"/>
          <w:color w:val="000000"/>
          <w:sz w:val="24"/>
          <w:szCs w:val="24"/>
          <w:lang w:val="zh-CN"/>
        </w:rPr>
        <w:footnoteReference w:id="1"/>
      </w:r>
      <w:r>
        <w:rPr>
          <w:rFonts w:ascii="Times New Roman" w:eastAsia="Times New Roman" w:hAnsi="Times New Roman" w:cs="Times New Roman"/>
          <w:color w:val="000000"/>
          <w:sz w:val="24"/>
          <w:szCs w:val="24"/>
          <w:lang w:val="zh-CN"/>
        </w:rPr>
        <w:t xml:space="preserve"> This practice emerged as a unique form of marriage, in which the agreement between the couple allows the husband to be exempt from certain obligations such as providing financial support and housing.</w:t>
      </w:r>
      <w:r>
        <w:rPr>
          <w:rStyle w:val="FootnoteReference"/>
          <w:rFonts w:ascii="Times New Roman" w:eastAsia="Times New Roman" w:hAnsi="Times New Roman"/>
          <w:color w:val="000000"/>
          <w:sz w:val="24"/>
          <w:szCs w:val="24"/>
          <w:lang w:val="zh-CN"/>
        </w:rPr>
        <w:footnoteReference w:id="2"/>
      </w:r>
      <w:r>
        <w:rPr>
          <w:rFonts w:ascii="Times New Roman" w:eastAsia="Times New Roman" w:hAnsi="Times New Roman" w:cs="Times New Roman"/>
          <w:color w:val="000000"/>
          <w:sz w:val="24"/>
          <w:szCs w:val="24"/>
          <w:lang w:val="zh-CN"/>
        </w:rPr>
        <w:t xml:space="preserve"> This phenomenon first developed in the Middle East as a solution for independent women who wanted flexibility in marriage without full commitment, especially in strict patriarchal societies.</w:t>
      </w:r>
      <w:r>
        <w:rPr>
          <w:rStyle w:val="FootnoteReference"/>
          <w:rFonts w:ascii="Times New Roman" w:eastAsia="Times New Roman" w:hAnsi="Times New Roman"/>
          <w:color w:val="000000"/>
          <w:sz w:val="24"/>
          <w:szCs w:val="24"/>
          <w:lang w:val="zh-CN"/>
        </w:rPr>
        <w:footnoteReference w:id="3"/>
      </w:r>
      <w:r>
        <w:rPr>
          <w:rFonts w:ascii="Times New Roman" w:eastAsia="Times New Roman" w:hAnsi="Times New Roman" w:cs="Times New Roman"/>
          <w:color w:val="000000"/>
          <w:sz w:val="24"/>
          <w:szCs w:val="24"/>
          <w:lang w:val="zh-CN"/>
        </w:rPr>
        <w:t xml:space="preserve"> The existence of misyar in Indonesia has sparked heated debate among scholars, reflecting the challenges of interpreting Islamic law amid the dynamics of modern society.</w:t>
      </w:r>
      <w:r>
        <w:rPr>
          <w:rStyle w:val="FootnoteReference"/>
          <w:rFonts w:ascii="Times New Roman" w:eastAsia="Times New Roman" w:hAnsi="Times New Roman"/>
          <w:color w:val="000000"/>
          <w:sz w:val="24"/>
          <w:szCs w:val="24"/>
          <w:lang w:val="zh-CN"/>
        </w:rPr>
        <w:footnoteReference w:id="4"/>
      </w:r>
      <w:r>
        <w:rPr>
          <w:rFonts w:ascii="Times New Roman" w:eastAsia="Times New Roman" w:hAnsi="Times New Roman" w:cs="Times New Roman"/>
          <w:color w:val="000000"/>
          <w:sz w:val="24"/>
          <w:szCs w:val="24"/>
          <w:lang w:val="zh-CN"/>
        </w:rPr>
        <w:t xml:space="preserve"> </w:t>
      </w:r>
      <w:r>
        <w:rPr>
          <w:rFonts w:ascii="Times New Roman" w:eastAsia="Times New Roman" w:hAnsi="Times New Roman" w:cs="Times New Roman"/>
          <w:color w:val="000000"/>
          <w:sz w:val="24"/>
          <w:szCs w:val="24"/>
        </w:rPr>
        <w:t>Recent studies show that this phenomenon is not merely a local practice, but part of a global trend of non-conventional marriages that indicates a shift in values in Islamic family law.</w:t>
      </w:r>
      <w:r>
        <w:rPr>
          <w:rStyle w:val="FootnoteReference"/>
          <w:rFonts w:ascii="Times New Roman" w:eastAsia="Times New Roman" w:hAnsi="Times New Roman"/>
          <w:color w:val="000000"/>
          <w:sz w:val="24"/>
          <w:szCs w:val="24"/>
        </w:rPr>
        <w:footnoteReference w:id="5"/>
      </w:r>
    </w:p>
    <w:p w14:paraId="7278F44F" w14:textId="77777777" w:rsidR="000F6425" w:rsidRDefault="00000000">
      <w:pPr>
        <w:spacing w:before="120" w:after="120" w:line="240" w:lineRule="auto"/>
        <w:jc w:val="both"/>
        <w:rPr>
          <w:rFonts w:ascii="Times New Roman" w:eastAsia="Times New Roman" w:hAnsi="Times New Roman" w:cs="Times New Roman"/>
          <w:color w:val="000000"/>
          <w:sz w:val="24"/>
          <w:szCs w:val="24"/>
          <w:lang w:val="zh-CN" w:eastAsia="zh-CN"/>
        </w:rPr>
      </w:pPr>
      <w:r>
        <w:rPr>
          <w:rFonts w:ascii="Times New Roman" w:eastAsia="Times New Roman" w:hAnsi="Times New Roman" w:cs="Times New Roman"/>
          <w:color w:val="000000"/>
          <w:sz w:val="24"/>
          <w:szCs w:val="24"/>
          <w:lang w:val="zh-CN"/>
        </w:rPr>
        <w:t>Many scholars reject the validity of misyar marriage because it is seen as undermining the main purpose of marriage. Wahbah al-Zuhayli, for example, strongly criticizes this practice and states that misyar focuses too much on satisfying individual needs without considering social consequences such as the impact on children and household stability.</w:t>
      </w:r>
      <w:r>
        <w:rPr>
          <w:rStyle w:val="FootnoteReference"/>
          <w:rFonts w:ascii="Times New Roman" w:eastAsia="Times New Roman" w:hAnsi="Times New Roman"/>
          <w:color w:val="000000"/>
          <w:sz w:val="24"/>
          <w:szCs w:val="24"/>
          <w:lang w:val="zh-CN"/>
        </w:rPr>
        <w:footnoteReference w:id="6"/>
      </w:r>
      <w:r>
        <w:rPr>
          <w:rFonts w:ascii="Times New Roman" w:eastAsia="Times New Roman" w:hAnsi="Times New Roman" w:cs="Times New Roman"/>
          <w:color w:val="000000"/>
          <w:sz w:val="24"/>
          <w:szCs w:val="24"/>
          <w:lang w:val="zh-CN"/>
        </w:rPr>
        <w:t xml:space="preserve"> There is concern that marriages that deviate from the essence of marriage could lead to abuse, similar to legalized prostitution. In other words, misyar has the potential to open the door to exploitation of relationships, similar to formalized extramarital relationships. </w:t>
      </w:r>
      <w:r>
        <w:rPr>
          <w:rFonts w:ascii="Times New Roman" w:eastAsia="Times New Roman" w:hAnsi="Times New Roman" w:cs="Times New Roman"/>
          <w:color w:val="000000"/>
          <w:sz w:val="24"/>
          <w:szCs w:val="24"/>
        </w:rPr>
        <w:t xml:space="preserve">Recent legal analysis also emphasizes that </w:t>
      </w:r>
      <w:proofErr w:type="spellStart"/>
      <w:r>
        <w:rPr>
          <w:rFonts w:ascii="Times New Roman" w:eastAsia="Times New Roman" w:hAnsi="Times New Roman" w:cs="Times New Roman"/>
          <w:color w:val="000000"/>
          <w:sz w:val="24"/>
          <w:szCs w:val="24"/>
        </w:rPr>
        <w:t>misyar</w:t>
      </w:r>
      <w:proofErr w:type="spellEnd"/>
      <w:r>
        <w:rPr>
          <w:rFonts w:ascii="Times New Roman" w:eastAsia="Times New Roman" w:hAnsi="Times New Roman" w:cs="Times New Roman"/>
          <w:color w:val="000000"/>
          <w:sz w:val="24"/>
          <w:szCs w:val="24"/>
        </w:rPr>
        <w:t xml:space="preserve"> eliminates the essence of marriage as an institution of love and protection for women and children.</w:t>
      </w:r>
      <w:r>
        <w:rPr>
          <w:rStyle w:val="FootnoteReference"/>
          <w:rFonts w:ascii="Times New Roman" w:eastAsia="Times New Roman" w:hAnsi="Times New Roman"/>
          <w:color w:val="000000"/>
          <w:sz w:val="24"/>
          <w:szCs w:val="24"/>
        </w:rPr>
        <w:footnoteReference w:id="7"/>
      </w:r>
      <w:r>
        <w:rPr>
          <w:rFonts w:ascii="Times New Roman" w:eastAsia="Times New Roman" w:hAnsi="Times New Roman" w:cs="Times New Roman"/>
          <w:color w:val="000000"/>
          <w:sz w:val="24"/>
          <w:szCs w:val="24"/>
          <w:lang w:val="zh-CN"/>
        </w:rPr>
        <w:t xml:space="preserve"> </w:t>
      </w:r>
      <w:r>
        <w:rPr>
          <w:rFonts w:ascii="Times New Roman" w:eastAsia="Times New Roman" w:hAnsi="Times New Roman" w:cs="Times New Roman"/>
          <w:color w:val="000000"/>
          <w:sz w:val="24"/>
          <w:szCs w:val="24"/>
          <w:lang w:val="zh-CN" w:eastAsia="zh-CN"/>
        </w:rPr>
        <w:t xml:space="preserve">These criticisms reinforce the view that although misyar marriage may be justified according to some fiqh opinions, it contradicts </w:t>
      </w:r>
      <w:r>
        <w:rPr>
          <w:rFonts w:ascii="Times New Roman" w:eastAsia="Times New Roman" w:hAnsi="Times New Roman" w:cs="Times New Roman"/>
          <w:i/>
          <w:iCs/>
          <w:color w:val="000000"/>
          <w:sz w:val="24"/>
          <w:szCs w:val="24"/>
          <w:lang w:val="zh-CN" w:eastAsia="zh-CN"/>
        </w:rPr>
        <w:t xml:space="preserve">the maqasid </w:t>
      </w:r>
      <w:r>
        <w:rPr>
          <w:rFonts w:ascii="Times New Roman" w:eastAsia="Times New Roman" w:hAnsi="Times New Roman" w:cs="Times New Roman"/>
          <w:color w:val="000000"/>
          <w:sz w:val="24"/>
          <w:szCs w:val="24"/>
          <w:lang w:val="zh-CN" w:eastAsia="zh-CN"/>
        </w:rPr>
        <w:t>(objectives) of marriage in Islam and the social values that protect women, children, and the institution of the family.</w:t>
      </w:r>
    </w:p>
    <w:p w14:paraId="25416D57" w14:textId="77777777" w:rsidR="000F6425" w:rsidRDefault="00000000">
      <w:pPr>
        <w:spacing w:before="120" w:after="120" w:line="240" w:lineRule="auto"/>
        <w:jc w:val="both"/>
        <w:rPr>
          <w:rFonts w:ascii="Times New Roman" w:eastAsia="Times New Roman" w:hAnsi="Times New Roman" w:cs="Times New Roman"/>
          <w:color w:val="000000"/>
          <w:sz w:val="24"/>
          <w:szCs w:val="24"/>
        </w:rPr>
      </w:pPr>
      <w:r>
        <w:rPr>
          <w:rFonts w:asciiTheme="majorBidi" w:hAnsiTheme="majorBidi" w:cstheme="majorBidi"/>
          <w:sz w:val="24"/>
          <w:szCs w:val="24"/>
        </w:rPr>
        <w:t xml:space="preserve">This article argues that </w:t>
      </w:r>
      <w:proofErr w:type="spellStart"/>
      <w:r>
        <w:rPr>
          <w:rFonts w:asciiTheme="majorBidi" w:hAnsiTheme="majorBidi" w:cstheme="majorBidi"/>
          <w:sz w:val="24"/>
          <w:szCs w:val="24"/>
        </w:rPr>
        <w:t>misyar</w:t>
      </w:r>
      <w:proofErr w:type="spellEnd"/>
      <w:r>
        <w:rPr>
          <w:rFonts w:asciiTheme="majorBidi" w:hAnsiTheme="majorBidi" w:cstheme="majorBidi"/>
          <w:sz w:val="24"/>
          <w:szCs w:val="24"/>
        </w:rPr>
        <w:t xml:space="preserve"> marriage is practiced by socialite women in Muslim countries with the consideration of not burdening the male party and also allowing the female party to control her household</w:t>
      </w:r>
      <w:r>
        <w:rPr>
          <w:rFonts w:ascii="Times New Roman" w:eastAsia="Times New Roman" w:hAnsi="Times New Roman" w:cs="Times New Roman"/>
          <w:color w:val="000000"/>
          <w:sz w:val="24"/>
          <w:szCs w:val="24"/>
        </w:rPr>
        <w:t>.</w:t>
      </w:r>
      <w:r>
        <w:rPr>
          <w:rStyle w:val="FootnoteReference"/>
          <w:rFonts w:ascii="Times New Roman" w:eastAsia="Times New Roman" w:hAnsi="Times New Roman"/>
          <w:color w:val="000000"/>
          <w:sz w:val="24"/>
          <w:szCs w:val="24"/>
        </w:rPr>
        <w:footnoteReference w:id="8"/>
      </w:r>
      <w:r>
        <w:rPr>
          <w:rFonts w:ascii="Times New Roman" w:eastAsia="Times New Roman" w:hAnsi="Times New Roman" w:cs="Times New Roman"/>
          <w:color w:val="000000"/>
          <w:sz w:val="24"/>
          <w:szCs w:val="24"/>
        </w:rPr>
        <w:t xml:space="preserve"> Of course, there are other considerations that at first glance differ from the general purpose of marriage. Yusuf al-Qaradawi was the first scholar to issue a fatwa permitting this practice. However, many other scholars believe that this practice undermines the essence of marriage in Islam, which should aim to build a family </w:t>
      </w:r>
      <w:r>
        <w:rPr>
          <w:rFonts w:ascii="Times New Roman" w:eastAsia="Times New Roman" w:hAnsi="Times New Roman" w:cs="Times New Roman"/>
          <w:i/>
          <w:iCs/>
          <w:color w:val="000000"/>
          <w:sz w:val="24"/>
          <w:szCs w:val="24"/>
        </w:rPr>
        <w:t xml:space="preserve">based on </w:t>
      </w:r>
      <w:proofErr w:type="spellStart"/>
      <w:r>
        <w:rPr>
          <w:rFonts w:ascii="Times New Roman" w:eastAsia="Times New Roman" w:hAnsi="Times New Roman" w:cs="Times New Roman"/>
          <w:i/>
          <w:iCs/>
          <w:color w:val="000000"/>
          <w:sz w:val="24"/>
          <w:szCs w:val="24"/>
        </w:rPr>
        <w:t>sakinah</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mawaddah</w:t>
      </w:r>
      <w:proofErr w:type="spellEnd"/>
      <w:r>
        <w:rPr>
          <w:rFonts w:ascii="Times New Roman" w:eastAsia="Times New Roman" w:hAnsi="Times New Roman" w:cs="Times New Roman"/>
          <w:i/>
          <w:iCs/>
          <w:color w:val="000000"/>
          <w:sz w:val="24"/>
          <w:szCs w:val="24"/>
        </w:rPr>
        <w:t xml:space="preserve">, </w:t>
      </w:r>
      <w:r>
        <w:rPr>
          <w:rFonts w:ascii="Times New Roman" w:eastAsia="Times New Roman" w:hAnsi="Times New Roman" w:cs="Times New Roman"/>
          <w:color w:val="000000"/>
          <w:sz w:val="24"/>
          <w:szCs w:val="24"/>
        </w:rPr>
        <w:t xml:space="preserve">and </w:t>
      </w:r>
      <w:proofErr w:type="spellStart"/>
      <w:r>
        <w:rPr>
          <w:rFonts w:ascii="Times New Roman" w:eastAsia="Times New Roman" w:hAnsi="Times New Roman" w:cs="Times New Roman"/>
          <w:i/>
          <w:iCs/>
          <w:color w:val="000000"/>
          <w:sz w:val="24"/>
          <w:szCs w:val="24"/>
        </w:rPr>
        <w:t>rahmah</w:t>
      </w:r>
      <w:proofErr w:type="spellEnd"/>
      <w:r>
        <w:rPr>
          <w:rFonts w:ascii="Times New Roman" w:eastAsia="Times New Roman" w:hAnsi="Times New Roman" w:cs="Times New Roman"/>
          <w:color w:val="000000"/>
          <w:sz w:val="24"/>
          <w:szCs w:val="24"/>
        </w:rPr>
        <w:t>.</w:t>
      </w:r>
      <w:r>
        <w:rPr>
          <w:rStyle w:val="FootnoteReference"/>
          <w:rFonts w:ascii="Times New Roman" w:eastAsia="Times New Roman" w:hAnsi="Times New Roman"/>
          <w:color w:val="000000"/>
          <w:sz w:val="24"/>
          <w:szCs w:val="24"/>
        </w:rPr>
        <w:footnoteReference w:id="9"/>
      </w:r>
      <w:r>
        <w:rPr>
          <w:rFonts w:ascii="Times New Roman" w:eastAsia="Times New Roman" w:hAnsi="Times New Roman" w:cs="Times New Roman"/>
          <w:color w:val="000000"/>
          <w:sz w:val="24"/>
          <w:szCs w:val="24"/>
        </w:rPr>
        <w:t xml:space="preserve"> Most of the available literature focuses on the normative aspects of Islamic law and has not yet linked this practice to the local socio-cultural context in Indonesia.</w:t>
      </w:r>
      <w:r>
        <w:rPr>
          <w:rStyle w:val="FootnoteReference"/>
          <w:rFonts w:ascii="Times New Roman" w:eastAsia="Times New Roman" w:hAnsi="Times New Roman"/>
          <w:color w:val="000000"/>
          <w:sz w:val="24"/>
          <w:szCs w:val="24"/>
        </w:rPr>
        <w:footnoteReference w:id="10"/>
      </w:r>
      <w:r>
        <w:rPr>
          <w:rFonts w:ascii="Times New Roman" w:eastAsia="Times New Roman" w:hAnsi="Times New Roman" w:cs="Times New Roman"/>
          <w:color w:val="000000"/>
          <w:sz w:val="24"/>
          <w:szCs w:val="24"/>
        </w:rPr>
        <w:t xml:space="preserve"> </w:t>
      </w:r>
    </w:p>
    <w:p w14:paraId="5A0C7925" w14:textId="77777777" w:rsidR="000F6425" w:rsidRDefault="00000000">
      <w:pPr>
        <w:spacing w:before="120"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Initial field findings indicate that the practice of </w:t>
      </w:r>
      <w:proofErr w:type="spellStart"/>
      <w:r>
        <w:rPr>
          <w:rFonts w:ascii="Times New Roman" w:eastAsia="Times New Roman" w:hAnsi="Times New Roman" w:cs="Times New Roman"/>
          <w:color w:val="000000"/>
          <w:sz w:val="24"/>
          <w:szCs w:val="24"/>
        </w:rPr>
        <w:t>misyar</w:t>
      </w:r>
      <w:proofErr w:type="spellEnd"/>
      <w:r>
        <w:rPr>
          <w:rFonts w:ascii="Times New Roman" w:eastAsia="Times New Roman" w:hAnsi="Times New Roman" w:cs="Times New Roman"/>
          <w:color w:val="000000"/>
          <w:sz w:val="24"/>
          <w:szCs w:val="24"/>
        </w:rPr>
        <w:t xml:space="preserve"> marriage among socialite women in Muslim countries, such as in the cities of Jeddah (Saudi Arabia), Casablanca (Morocco), Alexandria (Egypt), Gombak (Malaysia), and Surabaya (Indonesia), take place secretly and involve informal mediators, such as </w:t>
      </w:r>
      <w:proofErr w:type="spellStart"/>
      <w:r>
        <w:rPr>
          <w:rFonts w:ascii="Times New Roman" w:eastAsia="Times New Roman" w:hAnsi="Times New Roman" w:cs="Times New Roman"/>
          <w:i/>
          <w:iCs/>
          <w:color w:val="000000"/>
          <w:sz w:val="24"/>
          <w:szCs w:val="24"/>
        </w:rPr>
        <w:t>mudin</w:t>
      </w:r>
      <w:proofErr w:type="spellEnd"/>
      <w:r>
        <w:rPr>
          <w:rFonts w:ascii="Times New Roman" w:eastAsia="Times New Roman" w:hAnsi="Times New Roman" w:cs="Times New Roman"/>
          <w:i/>
          <w:iCs/>
          <w:color w:val="000000"/>
          <w:sz w:val="24"/>
          <w:szCs w:val="24"/>
        </w:rPr>
        <w:t xml:space="preserve"> </w:t>
      </w:r>
      <w:r>
        <w:rPr>
          <w:rFonts w:ascii="Times New Roman" w:eastAsia="Times New Roman" w:hAnsi="Times New Roman" w:cs="Times New Roman"/>
          <w:color w:val="000000"/>
          <w:sz w:val="24"/>
          <w:szCs w:val="24"/>
        </w:rPr>
        <w:t xml:space="preserve">(unofficial religious leaders) or even </w:t>
      </w:r>
      <w:proofErr w:type="spellStart"/>
      <w:r>
        <w:rPr>
          <w:rFonts w:ascii="Times New Roman" w:eastAsia="Times New Roman" w:hAnsi="Times New Roman" w:cs="Times New Roman"/>
          <w:i/>
          <w:iCs/>
          <w:color w:val="000000"/>
          <w:sz w:val="24"/>
          <w:szCs w:val="24"/>
        </w:rPr>
        <w:t>wali</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muhakkam</w:t>
      </w:r>
      <w:proofErr w:type="spellEnd"/>
      <w:r>
        <w:rPr>
          <w:rFonts w:ascii="Times New Roman" w:eastAsia="Times New Roman" w:hAnsi="Times New Roman" w:cs="Times New Roman"/>
          <w:i/>
          <w:iCs/>
          <w:color w:val="000000"/>
          <w:sz w:val="24"/>
          <w:szCs w:val="24"/>
        </w:rPr>
        <w:t xml:space="preserve"> </w:t>
      </w:r>
      <w:r>
        <w:rPr>
          <w:rFonts w:ascii="Times New Roman" w:eastAsia="Times New Roman" w:hAnsi="Times New Roman" w:cs="Times New Roman"/>
          <w:color w:val="000000"/>
          <w:sz w:val="24"/>
          <w:szCs w:val="24"/>
        </w:rPr>
        <w:t xml:space="preserve">who are not registered with state institutions. </w:t>
      </w:r>
      <w:r>
        <w:rPr>
          <w:rFonts w:ascii="Times New Roman" w:eastAsia="Times New Roman" w:hAnsi="Times New Roman" w:cs="Times New Roman"/>
          <w:color w:val="000000"/>
          <w:sz w:val="24"/>
          <w:szCs w:val="24"/>
          <w:lang w:val="zh-CN"/>
        </w:rPr>
        <w:t>The models also vary, ranging from marriages aimed solely at biological satisfaction to marriages with foreign partners to obtain better offspring.</w:t>
      </w:r>
      <w:r>
        <w:rPr>
          <w:rStyle w:val="FootnoteReference"/>
          <w:rFonts w:ascii="Times New Roman" w:eastAsia="Times New Roman" w:hAnsi="Times New Roman"/>
          <w:color w:val="000000"/>
          <w:sz w:val="24"/>
          <w:szCs w:val="24"/>
          <w:lang w:val="zh-CN"/>
        </w:rPr>
        <w:footnoteReference w:id="11"/>
      </w:r>
    </w:p>
    <w:p w14:paraId="2B9078C7" w14:textId="77777777" w:rsidR="000F6425" w:rsidRDefault="00000000">
      <w:pPr>
        <w:spacing w:before="120"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These aspects show that the practice of </w:t>
      </w:r>
      <w:proofErr w:type="spellStart"/>
      <w:r>
        <w:rPr>
          <w:rFonts w:ascii="Times New Roman" w:eastAsia="Times New Roman" w:hAnsi="Times New Roman" w:cs="Times New Roman"/>
          <w:color w:val="000000"/>
          <w:sz w:val="24"/>
          <w:szCs w:val="24"/>
        </w:rPr>
        <w:t>misyar</w:t>
      </w:r>
      <w:proofErr w:type="spellEnd"/>
      <w:r>
        <w:rPr>
          <w:rFonts w:ascii="Times New Roman" w:eastAsia="Times New Roman" w:hAnsi="Times New Roman" w:cs="Times New Roman"/>
          <w:color w:val="000000"/>
          <w:sz w:val="24"/>
          <w:szCs w:val="24"/>
        </w:rPr>
        <w:t xml:space="preserve"> marriage by socialite women in various Muslim countries has unique characteristics that differ from the true purpose of marriage, requiring in-depth analysis to understand the influence of cultural, economic, and religious factors in this practice, as found by </w:t>
      </w:r>
      <w:proofErr w:type="spellStart"/>
      <w:r>
        <w:rPr>
          <w:rFonts w:ascii="Times New Roman" w:eastAsia="Times New Roman" w:hAnsi="Times New Roman" w:cs="Times New Roman"/>
          <w:color w:val="000000"/>
          <w:sz w:val="24"/>
          <w:szCs w:val="24"/>
        </w:rPr>
        <w:t>Pramai</w:t>
      </w:r>
      <w:proofErr w:type="spellEnd"/>
      <w:r>
        <w:rPr>
          <w:rFonts w:ascii="Times New Roman" w:eastAsia="Times New Roman" w:hAnsi="Times New Roman" w:cs="Times New Roman"/>
          <w:color w:val="000000"/>
          <w:sz w:val="24"/>
          <w:szCs w:val="24"/>
        </w:rPr>
        <w:t xml:space="preserve">, Anadi, &amp; </w:t>
      </w:r>
      <w:proofErr w:type="spellStart"/>
      <w:r>
        <w:rPr>
          <w:rFonts w:ascii="Times New Roman" w:eastAsia="Times New Roman" w:hAnsi="Times New Roman" w:cs="Times New Roman"/>
          <w:color w:val="000000"/>
          <w:sz w:val="24"/>
          <w:szCs w:val="24"/>
        </w:rPr>
        <w:t>Deuraseh</w:t>
      </w:r>
      <w:proofErr w:type="spellEnd"/>
      <w:r>
        <w:rPr>
          <w:rFonts w:ascii="Times New Roman" w:eastAsia="Times New Roman" w:hAnsi="Times New Roman" w:cs="Times New Roman"/>
          <w:color w:val="000000"/>
          <w:sz w:val="24"/>
          <w:szCs w:val="24"/>
        </w:rPr>
        <w:t xml:space="preserve">, emphasize that </w:t>
      </w:r>
      <w:proofErr w:type="spellStart"/>
      <w:r>
        <w:rPr>
          <w:rFonts w:ascii="Times New Roman" w:eastAsia="Times New Roman" w:hAnsi="Times New Roman" w:cs="Times New Roman"/>
          <w:color w:val="000000"/>
          <w:sz w:val="24"/>
          <w:szCs w:val="24"/>
        </w:rPr>
        <w:t>misyar</w:t>
      </w:r>
      <w:proofErr w:type="spellEnd"/>
      <w:r>
        <w:rPr>
          <w:rFonts w:ascii="Times New Roman" w:eastAsia="Times New Roman" w:hAnsi="Times New Roman" w:cs="Times New Roman"/>
          <w:color w:val="000000"/>
          <w:sz w:val="24"/>
          <w:szCs w:val="24"/>
        </w:rPr>
        <w:t xml:space="preserve"> is not only a </w:t>
      </w:r>
      <w:proofErr w:type="spellStart"/>
      <w:r>
        <w:rPr>
          <w:rFonts w:ascii="Times New Roman" w:eastAsia="Times New Roman" w:hAnsi="Times New Roman" w:cs="Times New Roman"/>
          <w:color w:val="000000"/>
          <w:sz w:val="24"/>
          <w:szCs w:val="24"/>
        </w:rPr>
        <w:t>fiqh</w:t>
      </w:r>
      <w:proofErr w:type="spellEnd"/>
      <w:r>
        <w:rPr>
          <w:rFonts w:ascii="Times New Roman" w:eastAsia="Times New Roman" w:hAnsi="Times New Roman" w:cs="Times New Roman"/>
          <w:color w:val="000000"/>
          <w:sz w:val="24"/>
          <w:szCs w:val="24"/>
        </w:rPr>
        <w:t xml:space="preserve"> problem, but also a human rights issue because it requires women to relinquish some of their basic rights in marriage.</w:t>
      </w:r>
      <w:r>
        <w:rPr>
          <w:rStyle w:val="FootnoteReference"/>
          <w:rFonts w:ascii="Times New Roman" w:eastAsia="Times New Roman" w:hAnsi="Times New Roman"/>
          <w:color w:val="000000"/>
          <w:sz w:val="24"/>
          <w:szCs w:val="24"/>
        </w:rPr>
        <w:footnoteReference w:id="12"/>
      </w:r>
    </w:p>
    <w:p w14:paraId="60763931" w14:textId="77777777" w:rsidR="000F6425" w:rsidRDefault="00000000">
      <w:pPr>
        <w:pStyle w:val="CommentText"/>
        <w:jc w:val="both"/>
        <w:rPr>
          <w:rFonts w:asciiTheme="majorBidi" w:hAnsiTheme="majorBidi" w:cstheme="majorBidi"/>
          <w:sz w:val="24"/>
          <w:szCs w:val="24"/>
        </w:rPr>
      </w:pPr>
      <w:r>
        <w:rPr>
          <w:rFonts w:ascii="Times New Roman" w:eastAsia="Times New Roman" w:hAnsi="Times New Roman" w:cs="Times New Roman"/>
          <w:color w:val="000000"/>
          <w:sz w:val="24"/>
          <w:szCs w:val="24"/>
        </w:rPr>
        <w:t xml:space="preserve">This indicates the need for in-depth, context-based research to understand how </w:t>
      </w:r>
      <w:proofErr w:type="spellStart"/>
      <w:r>
        <w:rPr>
          <w:rFonts w:ascii="Times New Roman" w:eastAsia="Times New Roman" w:hAnsi="Times New Roman" w:cs="Times New Roman"/>
          <w:color w:val="000000"/>
          <w:sz w:val="24"/>
          <w:szCs w:val="24"/>
        </w:rPr>
        <w:t>misyar</w:t>
      </w:r>
      <w:proofErr w:type="spellEnd"/>
      <w:r>
        <w:rPr>
          <w:rFonts w:ascii="Times New Roman" w:eastAsia="Times New Roman" w:hAnsi="Times New Roman" w:cs="Times New Roman"/>
          <w:color w:val="000000"/>
          <w:sz w:val="24"/>
          <w:szCs w:val="24"/>
        </w:rPr>
        <w:t xml:space="preserve"> marriage is interpreted and practiced at the community level. In the Indonesian context, recent research also confirms that unregistered marriages—including those similar to </w:t>
      </w:r>
      <w:proofErr w:type="spellStart"/>
      <w:r>
        <w:rPr>
          <w:rFonts w:ascii="Times New Roman" w:eastAsia="Times New Roman" w:hAnsi="Times New Roman" w:cs="Times New Roman"/>
          <w:color w:val="000000"/>
          <w:sz w:val="24"/>
          <w:szCs w:val="24"/>
        </w:rPr>
        <w:t>misyar</w:t>
      </w:r>
      <w:proofErr w:type="spellEnd"/>
      <w:r>
        <w:rPr>
          <w:rFonts w:ascii="Times New Roman" w:eastAsia="Times New Roman" w:hAnsi="Times New Roman" w:cs="Times New Roman"/>
          <w:color w:val="000000"/>
          <w:sz w:val="24"/>
          <w:szCs w:val="24"/>
        </w:rPr>
        <w:t>—have direct implications for the vulnerability of women and children due to the absence of formal legal protection.</w:t>
      </w:r>
      <w:r>
        <w:rPr>
          <w:rStyle w:val="FootnoteReference"/>
          <w:rFonts w:ascii="Times New Roman" w:eastAsia="Times New Roman" w:hAnsi="Times New Roman"/>
          <w:color w:val="000000"/>
          <w:sz w:val="24"/>
          <w:szCs w:val="24"/>
        </w:rPr>
        <w:footnoteReference w:id="13"/>
      </w:r>
    </w:p>
    <w:p w14:paraId="327CF0E8" w14:textId="77777777" w:rsidR="000F6425" w:rsidRDefault="00000000">
      <w:pPr>
        <w:spacing w:before="120"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Departing from the differences in opinion among scholars regarding the permissibility of </w:t>
      </w:r>
      <w:proofErr w:type="spellStart"/>
      <w:r>
        <w:rPr>
          <w:rFonts w:ascii="Times New Roman" w:eastAsia="Times New Roman" w:hAnsi="Times New Roman" w:cs="Times New Roman"/>
          <w:color w:val="000000"/>
          <w:sz w:val="24"/>
          <w:szCs w:val="24"/>
        </w:rPr>
        <w:t>misyar</w:t>
      </w:r>
      <w:proofErr w:type="spellEnd"/>
      <w:r>
        <w:rPr>
          <w:rFonts w:ascii="Times New Roman" w:eastAsia="Times New Roman" w:hAnsi="Times New Roman" w:cs="Times New Roman"/>
          <w:color w:val="000000"/>
          <w:sz w:val="24"/>
          <w:szCs w:val="24"/>
        </w:rPr>
        <w:t xml:space="preserve"> marriage, this study provides space to identify how Islamic norms are internalized while still considering local socio-cultural diversity. This is relevant to answering new issues in modern Muslim societies that are increasingly complex. This study takes the perspective </w:t>
      </w:r>
      <w:r>
        <w:rPr>
          <w:rFonts w:ascii="Times New Roman" w:eastAsia="Times New Roman" w:hAnsi="Times New Roman" w:cs="Times New Roman"/>
          <w:i/>
          <w:iCs/>
          <w:color w:val="000000"/>
          <w:sz w:val="24"/>
          <w:szCs w:val="24"/>
        </w:rPr>
        <w:t xml:space="preserve">of </w:t>
      </w:r>
      <w:proofErr w:type="spellStart"/>
      <w:r>
        <w:rPr>
          <w:rFonts w:ascii="Times New Roman" w:eastAsia="Times New Roman" w:hAnsi="Times New Roman" w:cs="Times New Roman"/>
          <w:i/>
          <w:iCs/>
          <w:color w:val="000000"/>
          <w:sz w:val="24"/>
          <w:szCs w:val="24"/>
        </w:rPr>
        <w:t>maqasid</w:t>
      </w:r>
      <w:proofErr w:type="spellEnd"/>
      <w:r>
        <w:rPr>
          <w:rFonts w:ascii="Times New Roman" w:eastAsia="Times New Roman" w:hAnsi="Times New Roman" w:cs="Times New Roman"/>
          <w:i/>
          <w:iCs/>
          <w:color w:val="000000"/>
          <w:sz w:val="24"/>
          <w:szCs w:val="24"/>
        </w:rPr>
        <w:t xml:space="preserve"> al-</w:t>
      </w:r>
      <w:proofErr w:type="spellStart"/>
      <w:r>
        <w:rPr>
          <w:rFonts w:ascii="Times New Roman" w:eastAsia="Times New Roman" w:hAnsi="Times New Roman" w:cs="Times New Roman"/>
          <w:i/>
          <w:iCs/>
          <w:color w:val="000000"/>
          <w:sz w:val="24"/>
          <w:szCs w:val="24"/>
        </w:rPr>
        <w:t>usrah</w:t>
      </w:r>
      <w:proofErr w:type="spellEnd"/>
      <w:r>
        <w:rPr>
          <w:rFonts w:ascii="Times New Roman" w:eastAsia="Times New Roman" w:hAnsi="Times New Roman" w:cs="Times New Roman"/>
          <w:i/>
          <w:iCs/>
          <w:color w:val="000000"/>
          <w:sz w:val="24"/>
          <w:szCs w:val="24"/>
        </w:rPr>
        <w:t xml:space="preserve">, </w:t>
      </w:r>
      <w:r>
        <w:rPr>
          <w:rFonts w:ascii="Times New Roman" w:eastAsia="Times New Roman" w:hAnsi="Times New Roman" w:cs="Times New Roman"/>
          <w:color w:val="000000"/>
          <w:sz w:val="24"/>
          <w:szCs w:val="24"/>
        </w:rPr>
        <w:t xml:space="preserve">a concept of </w:t>
      </w:r>
      <w:proofErr w:type="spellStart"/>
      <w:r>
        <w:rPr>
          <w:rFonts w:ascii="Times New Roman" w:eastAsia="Times New Roman" w:hAnsi="Times New Roman" w:cs="Times New Roman"/>
          <w:color w:val="000000"/>
          <w:sz w:val="24"/>
          <w:szCs w:val="24"/>
        </w:rPr>
        <w:t>maqasid</w:t>
      </w:r>
      <w:proofErr w:type="spellEnd"/>
      <w:r>
        <w:rPr>
          <w:rFonts w:ascii="Times New Roman" w:eastAsia="Times New Roman" w:hAnsi="Times New Roman" w:cs="Times New Roman"/>
          <w:color w:val="000000"/>
          <w:sz w:val="24"/>
          <w:szCs w:val="24"/>
        </w:rPr>
        <w:t xml:space="preserve"> sharia in the family proposed by Jamaluddin Athiyah. By using the </w:t>
      </w:r>
      <w:proofErr w:type="spellStart"/>
      <w:r>
        <w:rPr>
          <w:rFonts w:ascii="Times New Roman" w:eastAsia="Times New Roman" w:hAnsi="Times New Roman" w:cs="Times New Roman"/>
          <w:i/>
          <w:iCs/>
          <w:color w:val="000000"/>
          <w:sz w:val="24"/>
          <w:szCs w:val="24"/>
        </w:rPr>
        <w:t>maqasid</w:t>
      </w:r>
      <w:proofErr w:type="spellEnd"/>
      <w:r>
        <w:rPr>
          <w:rFonts w:ascii="Times New Roman" w:eastAsia="Times New Roman" w:hAnsi="Times New Roman" w:cs="Times New Roman"/>
          <w:i/>
          <w:iCs/>
          <w:color w:val="000000"/>
          <w:sz w:val="24"/>
          <w:szCs w:val="24"/>
        </w:rPr>
        <w:t xml:space="preserve"> al-</w:t>
      </w:r>
      <w:proofErr w:type="spellStart"/>
      <w:r>
        <w:rPr>
          <w:rFonts w:ascii="Times New Roman" w:eastAsia="Times New Roman" w:hAnsi="Times New Roman" w:cs="Times New Roman"/>
          <w:i/>
          <w:iCs/>
          <w:color w:val="000000"/>
          <w:sz w:val="24"/>
          <w:szCs w:val="24"/>
        </w:rPr>
        <w:t>usrah</w:t>
      </w:r>
      <w:proofErr w:type="spellEnd"/>
      <w:r>
        <w:rPr>
          <w:rFonts w:ascii="Times New Roman" w:eastAsia="Times New Roman" w:hAnsi="Times New Roman" w:cs="Times New Roman"/>
          <w:i/>
          <w:iCs/>
          <w:color w:val="000000"/>
          <w:sz w:val="24"/>
          <w:szCs w:val="24"/>
        </w:rPr>
        <w:t xml:space="preserve"> </w:t>
      </w:r>
      <w:r>
        <w:rPr>
          <w:rFonts w:ascii="Times New Roman" w:eastAsia="Times New Roman" w:hAnsi="Times New Roman" w:cs="Times New Roman"/>
          <w:color w:val="000000"/>
          <w:sz w:val="24"/>
          <w:szCs w:val="24"/>
        </w:rPr>
        <w:t>perspective, this study is expected to offer solutions based on Islamic values that are not only in accordance with legal provisions but also fair and socially relevant to the current conditions of society.</w:t>
      </w:r>
    </w:p>
    <w:p w14:paraId="7E32C187" w14:textId="77777777" w:rsidR="000F6425" w:rsidRDefault="000F6425">
      <w:pPr>
        <w:spacing w:before="120" w:after="120" w:line="240" w:lineRule="auto"/>
        <w:jc w:val="both"/>
        <w:rPr>
          <w:rFonts w:ascii="Times New Roman" w:eastAsia="Times New Roman" w:hAnsi="Times New Roman" w:cs="Times New Roman"/>
          <w:color w:val="000000"/>
          <w:sz w:val="24"/>
          <w:szCs w:val="24"/>
          <w:lang w:eastAsia="zh-CN"/>
        </w:rPr>
      </w:pPr>
    </w:p>
    <w:p w14:paraId="7C3762A8" w14:textId="77777777" w:rsidR="000F6425" w:rsidRDefault="00000000">
      <w:pPr>
        <w:spacing w:before="120" w:after="12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Method</w:t>
      </w:r>
    </w:p>
    <w:p w14:paraId="73D0C8BB" w14:textId="77777777" w:rsidR="000F6425" w:rsidRDefault="00000000">
      <w:pPr>
        <w:spacing w:before="120"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zh-CN"/>
        </w:rPr>
        <w:t xml:space="preserve">This study focuses on the phenomenon of misyar marriage that has developed in various major cities in Muslim countries, </w:t>
      </w:r>
      <w:r>
        <w:rPr>
          <w:rFonts w:ascii="Times New Roman" w:eastAsia="Times New Roman" w:hAnsi="Times New Roman" w:cs="Times New Roman"/>
          <w:color w:val="000000"/>
          <w:sz w:val="24"/>
          <w:szCs w:val="24"/>
        </w:rPr>
        <w:t xml:space="preserve">such as </w:t>
      </w:r>
      <w:r>
        <w:rPr>
          <w:rFonts w:ascii="Times New Roman" w:eastAsia="Times New Roman" w:hAnsi="Times New Roman" w:cs="Times New Roman"/>
          <w:color w:val="000000"/>
          <w:sz w:val="24"/>
          <w:szCs w:val="24"/>
          <w:lang w:val="zh-CN"/>
        </w:rPr>
        <w:t xml:space="preserve">Saudi Arabia, Morocco, Egypt, Malaysia, and Indonesia. </w:t>
      </w:r>
      <w:r>
        <w:rPr>
          <w:rFonts w:ascii="Times New Roman" w:eastAsia="Times New Roman" w:hAnsi="Times New Roman" w:cs="Times New Roman"/>
          <w:color w:val="000000"/>
          <w:sz w:val="24"/>
          <w:szCs w:val="24"/>
        </w:rPr>
        <w:t xml:space="preserve">These Muslim countries were chosen because </w:t>
      </w:r>
      <w:proofErr w:type="spellStart"/>
      <w:r>
        <w:rPr>
          <w:rFonts w:ascii="Times New Roman" w:eastAsia="Times New Roman" w:hAnsi="Times New Roman" w:cs="Times New Roman"/>
          <w:color w:val="000000"/>
          <w:sz w:val="24"/>
          <w:szCs w:val="24"/>
        </w:rPr>
        <w:t>misyar</w:t>
      </w:r>
      <w:proofErr w:type="spellEnd"/>
      <w:r>
        <w:rPr>
          <w:rFonts w:ascii="Times New Roman" w:eastAsia="Times New Roman" w:hAnsi="Times New Roman" w:cs="Times New Roman"/>
          <w:color w:val="000000"/>
          <w:sz w:val="24"/>
          <w:szCs w:val="24"/>
        </w:rPr>
        <w:t xml:space="preserve"> marriage first appeared in Egypt and then spread to other Muslim countries. In addition, the first scholars to legalize </w:t>
      </w:r>
      <w:proofErr w:type="spellStart"/>
      <w:r>
        <w:rPr>
          <w:rFonts w:ascii="Times New Roman" w:eastAsia="Times New Roman" w:hAnsi="Times New Roman" w:cs="Times New Roman"/>
          <w:color w:val="000000"/>
          <w:sz w:val="24"/>
          <w:szCs w:val="24"/>
        </w:rPr>
        <w:t>misyar</w:t>
      </w:r>
      <w:proofErr w:type="spellEnd"/>
      <w:r>
        <w:rPr>
          <w:rFonts w:ascii="Times New Roman" w:eastAsia="Times New Roman" w:hAnsi="Times New Roman" w:cs="Times New Roman"/>
          <w:color w:val="000000"/>
          <w:sz w:val="24"/>
          <w:szCs w:val="24"/>
        </w:rPr>
        <w:t xml:space="preserve"> marriage were also from Egypt. </w:t>
      </w:r>
    </w:p>
    <w:p w14:paraId="2BB197F5" w14:textId="77777777" w:rsidR="000F6425" w:rsidRDefault="00000000">
      <w:pPr>
        <w:spacing w:before="120"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zh-CN"/>
        </w:rPr>
        <w:t xml:space="preserve">The object of this research covers the practice </w:t>
      </w:r>
      <w:r>
        <w:rPr>
          <w:rFonts w:ascii="Times New Roman" w:eastAsia="Times New Roman" w:hAnsi="Times New Roman" w:cs="Times New Roman"/>
          <w:color w:val="000000"/>
          <w:sz w:val="24"/>
          <w:szCs w:val="24"/>
        </w:rPr>
        <w:t xml:space="preserve">of </w:t>
      </w:r>
      <w:proofErr w:type="spellStart"/>
      <w:r>
        <w:rPr>
          <w:rFonts w:ascii="Times New Roman" w:eastAsia="Times New Roman" w:hAnsi="Times New Roman" w:cs="Times New Roman"/>
          <w:color w:val="000000"/>
          <w:sz w:val="24"/>
          <w:szCs w:val="24"/>
        </w:rPr>
        <w:t>misyar</w:t>
      </w:r>
      <w:proofErr w:type="spellEnd"/>
      <w:r>
        <w:rPr>
          <w:rFonts w:ascii="Times New Roman" w:eastAsia="Times New Roman" w:hAnsi="Times New Roman" w:cs="Times New Roman"/>
          <w:color w:val="000000"/>
          <w:sz w:val="24"/>
          <w:szCs w:val="24"/>
          <w:lang w:val="zh-CN"/>
        </w:rPr>
        <w:t xml:space="preserve"> marriage in its various forms and variations, </w:t>
      </w:r>
      <w:r>
        <w:rPr>
          <w:rFonts w:ascii="Times New Roman" w:eastAsia="Times New Roman" w:hAnsi="Times New Roman" w:cs="Times New Roman"/>
          <w:color w:val="000000"/>
          <w:sz w:val="24"/>
          <w:szCs w:val="24"/>
        </w:rPr>
        <w:t xml:space="preserve">of which there are seven types, </w:t>
      </w:r>
      <w:r>
        <w:rPr>
          <w:rFonts w:ascii="Times New Roman" w:eastAsia="Times New Roman" w:hAnsi="Times New Roman" w:cs="Times New Roman"/>
          <w:color w:val="000000"/>
          <w:sz w:val="24"/>
          <w:szCs w:val="24"/>
          <w:lang w:val="zh-CN"/>
        </w:rPr>
        <w:t>ranging from marriages aimed solely at biological satisfaction to marriages with foreign partners to obtain better offspring</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zh-CN"/>
        </w:rPr>
        <w:t>This phenomenon was chosen as the focus because of the controversy it has caused, both in the realm of Islamic law and in terms of its socio-cultural implications.</w:t>
      </w:r>
    </w:p>
    <w:p w14:paraId="571F6CBE" w14:textId="77777777" w:rsidR="000F6425" w:rsidRDefault="00000000">
      <w:pPr>
        <w:spacing w:before="120" w:after="120" w:line="240" w:lineRule="auto"/>
        <w:jc w:val="both"/>
        <w:rPr>
          <w:rFonts w:ascii="Times New Roman" w:eastAsia="Times New Roman" w:hAnsi="Times New Roman" w:cs="Times New Roman"/>
          <w:color w:val="000000"/>
          <w:sz w:val="24"/>
          <w:szCs w:val="24"/>
          <w:lang w:val="zh-CN"/>
        </w:rPr>
      </w:pPr>
      <w:r>
        <w:rPr>
          <w:rFonts w:ascii="Times New Roman" w:eastAsia="Times New Roman" w:hAnsi="Times New Roman" w:cs="Times New Roman"/>
          <w:color w:val="000000"/>
          <w:sz w:val="24"/>
          <w:szCs w:val="24"/>
          <w:lang w:val="zh-CN"/>
        </w:rPr>
        <w:t>The approach used is a qualitative approach with a phenomenological method. The phenomenological approach was chosen to explore a deep understanding of the experiences, views, and interpretations of the actors and fiqh scholars regarding misyar marriage.</w:t>
      </w:r>
      <w:r>
        <w:rPr>
          <w:rStyle w:val="FootnoteReference"/>
          <w:rFonts w:ascii="Times New Roman" w:eastAsia="Times New Roman" w:hAnsi="Times New Roman"/>
          <w:color w:val="000000"/>
          <w:sz w:val="24"/>
          <w:szCs w:val="24"/>
          <w:lang w:val="zh-CN"/>
        </w:rPr>
        <w:footnoteReference w:id="14"/>
      </w:r>
      <w:r>
        <w:rPr>
          <w:rFonts w:ascii="Times New Roman" w:eastAsia="Times New Roman" w:hAnsi="Times New Roman" w:cs="Times New Roman"/>
          <w:color w:val="000000"/>
          <w:sz w:val="24"/>
          <w:szCs w:val="24"/>
          <w:lang w:val="zh-CN"/>
        </w:rPr>
        <w:t xml:space="preserve"> Through phenomenology, researchers can explore the meaning behind this phenomenon based on the direct experiences of the participants and their social context. This approach is in line with the view of Pramai et al. (2023) that phenomenology is capable of revealing hidden aspects that are not apparent in a normative legal approach.</w:t>
      </w:r>
      <w:r>
        <w:rPr>
          <w:rStyle w:val="FootnoteReference"/>
          <w:rFonts w:ascii="Times New Roman" w:eastAsia="Times New Roman" w:hAnsi="Times New Roman"/>
          <w:color w:val="000000"/>
          <w:sz w:val="24"/>
          <w:szCs w:val="24"/>
          <w:lang w:val="zh-CN"/>
        </w:rPr>
        <w:footnoteReference w:id="15"/>
      </w:r>
    </w:p>
    <w:p w14:paraId="6B9B8D96" w14:textId="77777777" w:rsidR="000F6425" w:rsidRDefault="00000000">
      <w:pPr>
        <w:spacing w:before="120" w:after="120" w:line="240" w:lineRule="auto"/>
        <w:jc w:val="both"/>
        <w:rPr>
          <w:rFonts w:ascii="Times New Roman" w:eastAsia="Times New Roman" w:hAnsi="Times New Roman" w:cs="Times New Roman"/>
          <w:color w:val="000000"/>
          <w:sz w:val="24"/>
          <w:szCs w:val="24"/>
          <w:lang w:val="zh-CN"/>
        </w:rPr>
      </w:pPr>
      <w:r>
        <w:rPr>
          <w:rFonts w:ascii="Times New Roman" w:eastAsia="Times New Roman" w:hAnsi="Times New Roman" w:cs="Times New Roman"/>
          <w:color w:val="000000"/>
          <w:sz w:val="24"/>
          <w:szCs w:val="24"/>
          <w:lang w:val="zh-CN"/>
        </w:rPr>
        <w:t xml:space="preserve">Primary data in this study was collected through in-depth interviews with misyar marriage practitioners and other related parties. </w:t>
      </w:r>
      <w:r>
        <w:rPr>
          <w:rFonts w:ascii="Times New Roman" w:eastAsia="Times New Roman" w:hAnsi="Times New Roman" w:cs="Times New Roman"/>
          <w:color w:val="000000"/>
          <w:sz w:val="24"/>
          <w:szCs w:val="24"/>
        </w:rPr>
        <w:t xml:space="preserve">The researchers found 20 informants from various Muslim countries. </w:t>
      </w:r>
      <w:r>
        <w:rPr>
          <w:rFonts w:ascii="Times New Roman" w:eastAsia="Times New Roman" w:hAnsi="Times New Roman" w:cs="Times New Roman"/>
          <w:color w:val="000000"/>
          <w:sz w:val="24"/>
          <w:szCs w:val="24"/>
          <w:lang w:val="zh-CN"/>
        </w:rPr>
        <w:t xml:space="preserve">Secondary data included Islamic legal documents (such as compilations of Islamic law and related fatwas), books, journal articles, and other literature relevant to the topic of misyar marriage </w:t>
      </w:r>
      <w:r>
        <w:rPr>
          <w:rFonts w:ascii="Times New Roman" w:eastAsia="Times New Roman" w:hAnsi="Times New Roman" w:cs="Times New Roman"/>
          <w:color w:val="000000"/>
          <w:sz w:val="24"/>
          <w:szCs w:val="24"/>
        </w:rPr>
        <w:t xml:space="preserve">and </w:t>
      </w:r>
      <w:r>
        <w:rPr>
          <w:rFonts w:ascii="Times New Roman" w:eastAsia="Times New Roman" w:hAnsi="Times New Roman" w:cs="Times New Roman"/>
          <w:color w:val="000000"/>
          <w:sz w:val="24"/>
          <w:szCs w:val="24"/>
          <w:lang w:val="zh-CN"/>
        </w:rPr>
        <w:t>fiqh munakahat.</w:t>
      </w:r>
    </w:p>
    <w:p w14:paraId="4993A828" w14:textId="77777777" w:rsidR="000F6425" w:rsidRDefault="00000000">
      <w:pPr>
        <w:spacing w:before="120" w:after="120" w:line="240" w:lineRule="auto"/>
        <w:jc w:val="both"/>
        <w:rPr>
          <w:rFonts w:ascii="Times New Roman" w:eastAsia="Times New Roman" w:hAnsi="Times New Roman" w:cs="Times New Roman"/>
          <w:color w:val="000000"/>
          <w:sz w:val="24"/>
          <w:szCs w:val="24"/>
          <w:lang w:val="zh-CN"/>
        </w:rPr>
      </w:pPr>
      <w:r>
        <w:rPr>
          <w:rFonts w:ascii="Times New Roman" w:eastAsia="Times New Roman" w:hAnsi="Times New Roman" w:cs="Times New Roman"/>
          <w:color w:val="000000"/>
          <w:sz w:val="24"/>
          <w:szCs w:val="24"/>
          <w:lang w:val="zh-CN"/>
        </w:rPr>
        <w:t xml:space="preserve">Data collection techniques were carried out in three main ways: interviews, observation, and documentation. Interviews were conducted in a semi-structured manner to elicit in-depth information from informants. </w:t>
      </w:r>
      <w:r>
        <w:rPr>
          <w:rFonts w:ascii="Times New Roman" w:eastAsia="Times New Roman" w:hAnsi="Times New Roman" w:cs="Times New Roman"/>
          <w:color w:val="000000"/>
          <w:sz w:val="24"/>
          <w:szCs w:val="24"/>
          <w:lang w:val="zh-CN" w:eastAsia="zh-CN"/>
        </w:rPr>
        <w:t xml:space="preserve">Participatory observation was conducted at research sites </w:t>
      </w:r>
      <w:r>
        <w:rPr>
          <w:rFonts w:ascii="Times New Roman" w:eastAsia="Times New Roman" w:hAnsi="Times New Roman" w:cs="Times New Roman"/>
          <w:color w:val="000000"/>
          <w:sz w:val="24"/>
          <w:szCs w:val="24"/>
          <w:lang w:eastAsia="zh-CN"/>
        </w:rPr>
        <w:t xml:space="preserve">over a period of one year </w:t>
      </w:r>
      <w:r>
        <w:rPr>
          <w:rFonts w:ascii="Times New Roman" w:eastAsia="Times New Roman" w:hAnsi="Times New Roman" w:cs="Times New Roman"/>
          <w:color w:val="000000"/>
          <w:sz w:val="24"/>
          <w:szCs w:val="24"/>
          <w:lang w:val="zh-CN" w:eastAsia="zh-CN"/>
        </w:rPr>
        <w:t>to directly observe the social context in which misyar marriages take place</w:t>
      </w:r>
      <w:r>
        <w:rPr>
          <w:rFonts w:ascii="Times New Roman" w:eastAsia="Times New Roman" w:hAnsi="Times New Roman" w:cs="Times New Roman"/>
          <w:color w:val="000000"/>
          <w:sz w:val="24"/>
          <w:szCs w:val="24"/>
          <w:lang w:eastAsia="zh-CN"/>
        </w:rPr>
        <w:t xml:space="preserve">. </w:t>
      </w:r>
      <w:r>
        <w:rPr>
          <w:rFonts w:ascii="Times New Roman" w:eastAsia="Times New Roman" w:hAnsi="Times New Roman" w:cs="Times New Roman"/>
          <w:color w:val="000000"/>
          <w:sz w:val="24"/>
          <w:szCs w:val="24"/>
          <w:lang w:val="zh-CN"/>
        </w:rPr>
        <w:t xml:space="preserve">Documentation was carried out by collecting data from official documents (e.g., marriage regulations </w:t>
      </w:r>
      <w:r>
        <w:rPr>
          <w:rFonts w:ascii="Times New Roman" w:eastAsia="Times New Roman" w:hAnsi="Times New Roman" w:cs="Times New Roman"/>
          <w:color w:val="000000"/>
          <w:sz w:val="24"/>
          <w:szCs w:val="24"/>
        </w:rPr>
        <w:t>and the Compilation of Islamic Law)</w:t>
      </w:r>
      <w:r>
        <w:rPr>
          <w:rFonts w:ascii="Times New Roman" w:eastAsia="Times New Roman" w:hAnsi="Times New Roman" w:cs="Times New Roman"/>
          <w:color w:val="000000"/>
          <w:sz w:val="24"/>
          <w:szCs w:val="24"/>
          <w:lang w:val="zh-CN"/>
        </w:rPr>
        <w:t>, researchers' field notes, and relevant news archives or reports. To increase the credibility of the findings, the researchers applied triangulation techniques, which involved comparing and verifying data obtained from various sources (interviews, observations, documents) with one another</w:t>
      </w:r>
      <w:r>
        <w:rPr>
          <w:rFonts w:ascii="Times New Roman" w:eastAsia="Times New Roman" w:hAnsi="Times New Roman" w:cs="Times New Roman"/>
          <w:color w:val="000000"/>
          <w:sz w:val="24"/>
          <w:szCs w:val="24"/>
        </w:rPr>
        <w:t>.</w:t>
      </w:r>
      <w:r>
        <w:rPr>
          <w:rStyle w:val="FootnoteReference"/>
          <w:rFonts w:ascii="Times New Roman" w:eastAsia="Times New Roman" w:hAnsi="Times New Roman"/>
          <w:color w:val="000000"/>
          <w:sz w:val="24"/>
          <w:szCs w:val="24"/>
          <w:lang w:val="zh-CN"/>
        </w:rPr>
        <w:footnoteReference w:id="16"/>
      </w:r>
      <w:r>
        <w:rPr>
          <w:rFonts w:ascii="Times New Roman" w:eastAsia="Times New Roman" w:hAnsi="Times New Roman" w:cs="Times New Roman"/>
          <w:color w:val="000000"/>
          <w:sz w:val="24"/>
          <w:szCs w:val="24"/>
          <w:lang w:val="zh-CN"/>
        </w:rPr>
        <w:t xml:space="preserve"> This triangulation approach ensured that the research findings were more robust and accountable.</w:t>
      </w:r>
    </w:p>
    <w:p w14:paraId="40A6D954" w14:textId="77777777" w:rsidR="000F6425" w:rsidRDefault="00000000">
      <w:pPr>
        <w:spacing w:before="120" w:after="120" w:line="240" w:lineRule="auto"/>
        <w:jc w:val="both"/>
        <w:rPr>
          <w:rFonts w:ascii="Times New Roman" w:eastAsia="Times New Roman" w:hAnsi="Times New Roman" w:cs="Times New Roman"/>
          <w:color w:val="000000"/>
          <w:sz w:val="24"/>
          <w:szCs w:val="24"/>
          <w:lang w:val="zh-CN"/>
        </w:rPr>
      </w:pPr>
      <w:r>
        <w:rPr>
          <w:rFonts w:ascii="Times New Roman" w:eastAsia="Times New Roman" w:hAnsi="Times New Roman" w:cs="Times New Roman"/>
          <w:color w:val="000000"/>
          <w:sz w:val="24"/>
          <w:szCs w:val="24"/>
          <w:lang w:val="zh-CN"/>
        </w:rPr>
        <w:t>The research procedure was divided into several stages. The first stage was planning, which included identifying the problem, preparing research instruments (interview guidelines, observation lists), and selecting research subjects/participants. The second stage was data collection, which was carried out through in-depth interviews, participatory observation, and documentation studies. At this stage, for example, researchers interviewed misyar practitioners at each research location, observed their social environment, and collected relevant documents or archives. The third stage is data analysis. Researchers apply the Miles and Huberman analysis model, which includes data reduction, data presentation, and verification or conclusion drawing. Data reduction is carried out by sorting data relevant to the research focus, data presentation is carried out in the form of descriptive narratives and thematic matrices, and conclusions are verified iteratively throughout data collection. The final stage is drawing conclusions and compiling research reports, in which the analyzed data is integrated to answer research questions and objectives.</w:t>
      </w:r>
      <w:r>
        <w:rPr>
          <w:rStyle w:val="FootnoteReference"/>
          <w:rFonts w:ascii="Times New Roman" w:eastAsia="Times New Roman" w:hAnsi="Times New Roman"/>
          <w:color w:val="000000"/>
          <w:sz w:val="24"/>
          <w:szCs w:val="24"/>
          <w:lang w:val="zh-CN"/>
        </w:rPr>
        <w:footnoteReference w:id="17"/>
      </w:r>
      <w:r>
        <w:rPr>
          <w:rFonts w:ascii="Times New Roman" w:eastAsia="Times New Roman" w:hAnsi="Times New Roman" w:cs="Times New Roman"/>
          <w:color w:val="000000"/>
          <w:sz w:val="24"/>
          <w:szCs w:val="24"/>
          <w:lang w:val="zh-CN"/>
        </w:rPr>
        <w:t xml:space="preserve"> All of these stages are carried out with reference to qualitative research methodological guidelines and standards of rigor in phenomenological research.</w:t>
      </w:r>
      <w:r>
        <w:rPr>
          <w:rStyle w:val="FootnoteReference"/>
          <w:rFonts w:ascii="Times New Roman" w:eastAsia="Times New Roman" w:hAnsi="Times New Roman"/>
          <w:color w:val="000000"/>
          <w:sz w:val="24"/>
          <w:szCs w:val="24"/>
          <w:lang w:val="zh-CN"/>
        </w:rPr>
        <w:footnoteReference w:id="18"/>
      </w:r>
    </w:p>
    <w:p w14:paraId="5BEC3A57" w14:textId="77777777" w:rsidR="000F6425" w:rsidRDefault="000F6425">
      <w:pPr>
        <w:spacing w:before="120" w:after="120" w:line="240" w:lineRule="auto"/>
        <w:jc w:val="both"/>
        <w:rPr>
          <w:rFonts w:ascii="Times New Roman" w:eastAsia="Times New Roman" w:hAnsi="Times New Roman" w:cs="Times New Roman"/>
          <w:color w:val="000000"/>
          <w:sz w:val="24"/>
          <w:szCs w:val="24"/>
          <w:lang w:eastAsia="zh-CN"/>
        </w:rPr>
      </w:pPr>
    </w:p>
    <w:p w14:paraId="1086F8BF" w14:textId="77777777" w:rsidR="000F6425" w:rsidRDefault="00000000">
      <w:pPr>
        <w:spacing w:before="120" w:after="12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Result and Discussion</w:t>
      </w:r>
    </w:p>
    <w:p w14:paraId="25016266" w14:textId="77777777" w:rsidR="000F6425" w:rsidRDefault="00000000">
      <w:pPr>
        <w:spacing w:after="120" w:line="240" w:lineRule="auto"/>
        <w:jc w:val="both"/>
        <w:rPr>
          <w:rFonts w:ascii="Times New Roman" w:eastAsia="Times New Roman" w:hAnsi="Times New Roman" w:cs="Times New Roman"/>
          <w:bCs/>
          <w:sz w:val="24"/>
          <w:szCs w:val="24"/>
        </w:rPr>
      </w:pPr>
      <w:proofErr w:type="spellStart"/>
      <w:r>
        <w:rPr>
          <w:rFonts w:ascii="Times New Roman" w:eastAsia="Times New Roman" w:hAnsi="Times New Roman" w:cs="Times New Roman"/>
          <w:b/>
          <w:bCs/>
          <w:sz w:val="24"/>
          <w:szCs w:val="24"/>
        </w:rPr>
        <w:t>Misyar</w:t>
      </w:r>
      <w:proofErr w:type="spellEnd"/>
      <w:r>
        <w:rPr>
          <w:rFonts w:ascii="Times New Roman" w:eastAsia="Times New Roman" w:hAnsi="Times New Roman" w:cs="Times New Roman"/>
          <w:b/>
          <w:bCs/>
          <w:sz w:val="24"/>
          <w:szCs w:val="24"/>
        </w:rPr>
        <w:t xml:space="preserve"> Practices by Socialite Women in Muslim Countries</w:t>
      </w:r>
    </w:p>
    <w:p w14:paraId="4128A092" w14:textId="77777777" w:rsidR="000F6425" w:rsidRDefault="00000000">
      <w:pPr>
        <w:spacing w:after="120" w:line="240" w:lineRule="auto"/>
        <w:ind w:firstLine="567"/>
        <w:jc w:val="both"/>
        <w:rPr>
          <w:rFonts w:ascii="Times New Roman" w:eastAsia="Times New Roman" w:hAnsi="Times New Roman" w:cs="Times New Roman"/>
          <w:bCs/>
          <w:sz w:val="24"/>
          <w:szCs w:val="24"/>
          <w:lang w:val="zh-CN"/>
        </w:rPr>
      </w:pPr>
      <w:r>
        <w:rPr>
          <w:rFonts w:ascii="Times New Roman" w:eastAsia="Times New Roman" w:hAnsi="Times New Roman" w:cs="Times New Roman"/>
          <w:bCs/>
          <w:sz w:val="24"/>
          <w:szCs w:val="24"/>
          <w:lang w:val="zh-CN"/>
        </w:rPr>
        <w:t xml:space="preserve">Misyar </w:t>
      </w:r>
      <w:r>
        <w:rPr>
          <w:rFonts w:ascii="Times New Roman" w:eastAsia="Times New Roman" w:hAnsi="Times New Roman" w:cs="Times New Roman"/>
          <w:bCs/>
          <w:sz w:val="24"/>
          <w:szCs w:val="24"/>
        </w:rPr>
        <w:t xml:space="preserve">marriage </w:t>
      </w:r>
      <w:r>
        <w:rPr>
          <w:rFonts w:ascii="Times New Roman" w:eastAsia="Times New Roman" w:hAnsi="Times New Roman" w:cs="Times New Roman"/>
          <w:bCs/>
          <w:sz w:val="24"/>
          <w:szCs w:val="24"/>
          <w:lang w:val="zh-CN"/>
        </w:rPr>
        <w:t>is often considered a practical solution to overcome social constraints such as the high cost of marriage or customary rules that limit women in finding a spouse.</w:t>
      </w:r>
      <w:r>
        <w:rPr>
          <w:rStyle w:val="FootnoteReference"/>
          <w:rFonts w:ascii="Times New Roman" w:eastAsia="Times New Roman" w:hAnsi="Times New Roman"/>
          <w:bCs/>
          <w:sz w:val="24"/>
          <w:szCs w:val="24"/>
          <w:lang w:val="zh-CN"/>
        </w:rPr>
        <w:footnoteReference w:id="19"/>
      </w:r>
      <w:r>
        <w:rPr>
          <w:rFonts w:ascii="Times New Roman" w:eastAsia="Times New Roman" w:hAnsi="Times New Roman" w:cs="Times New Roman"/>
          <w:bCs/>
          <w:sz w:val="24"/>
          <w:szCs w:val="24"/>
          <w:lang w:val="zh-CN"/>
        </w:rPr>
        <w:t xml:space="preserve"> However, the results of </w:t>
      </w:r>
      <w:r>
        <w:rPr>
          <w:rFonts w:ascii="Times New Roman" w:eastAsia="Times New Roman" w:hAnsi="Times New Roman" w:cs="Times New Roman"/>
          <w:bCs/>
          <w:sz w:val="24"/>
          <w:szCs w:val="24"/>
        </w:rPr>
        <w:t>this</w:t>
      </w:r>
      <w:r>
        <w:rPr>
          <w:rFonts w:ascii="Times New Roman" w:eastAsia="Times New Roman" w:hAnsi="Times New Roman" w:cs="Times New Roman"/>
          <w:bCs/>
          <w:sz w:val="24"/>
          <w:szCs w:val="24"/>
          <w:lang w:val="zh-CN"/>
        </w:rPr>
        <w:t xml:space="preserve"> study show that the application of this practice today—especially in </w:t>
      </w:r>
      <w:r>
        <w:rPr>
          <w:rFonts w:ascii="Times New Roman" w:eastAsia="Times New Roman" w:hAnsi="Times New Roman" w:cs="Times New Roman"/>
          <w:bCs/>
          <w:sz w:val="24"/>
          <w:szCs w:val="24"/>
        </w:rPr>
        <w:t>Muslim</w:t>
      </w:r>
      <w:r>
        <w:rPr>
          <w:rFonts w:ascii="Times New Roman" w:eastAsia="Times New Roman" w:hAnsi="Times New Roman" w:cs="Times New Roman"/>
          <w:bCs/>
          <w:sz w:val="24"/>
          <w:szCs w:val="24"/>
          <w:lang w:val="zh-CN"/>
        </w:rPr>
        <w:t xml:space="preserve"> countries—faces different challenges. Cultural and social norms between the Middle East and other countries make misyar marriage difficult for local communities to accept, even though it is considered valid under Islamic law. This study also complements previous literature by highlighting the social and legal implications of misyar marriage, which are often overlooked in purely normative studies.</w:t>
      </w:r>
    </w:p>
    <w:p w14:paraId="4EA4DFBF" w14:textId="77777777" w:rsidR="000F6425" w:rsidRDefault="00000000">
      <w:pPr>
        <w:spacing w:after="120" w:line="240" w:lineRule="auto"/>
        <w:ind w:firstLine="567"/>
        <w:jc w:val="both"/>
        <w:rPr>
          <w:rFonts w:ascii="Times New Roman" w:eastAsia="Times New Roman" w:hAnsi="Times New Roman" w:cs="Times New Roman"/>
          <w:bCs/>
          <w:sz w:val="24"/>
          <w:szCs w:val="24"/>
          <w:lang w:val="zh-CN"/>
        </w:rPr>
      </w:pPr>
      <w:r>
        <w:rPr>
          <w:rFonts w:ascii="Times New Roman" w:eastAsia="Times New Roman" w:hAnsi="Times New Roman" w:cs="Times New Roman"/>
          <w:bCs/>
          <w:sz w:val="24"/>
          <w:szCs w:val="24"/>
          <w:lang w:val="zh-CN"/>
        </w:rPr>
        <w:t xml:space="preserve">From a social perspective, the practice of misyar marriage has a significant impact on the women involved. An interview with one of the misyar practitioners in Surabaya, let's call her </w:t>
      </w:r>
      <w:r>
        <w:rPr>
          <w:rFonts w:ascii="Times New Roman" w:eastAsia="Times New Roman" w:hAnsi="Times New Roman" w:cs="Times New Roman"/>
          <w:bCs/>
          <w:i/>
          <w:iCs/>
          <w:sz w:val="24"/>
          <w:szCs w:val="24"/>
          <w:lang w:val="zh-CN"/>
        </w:rPr>
        <w:t>Susi</w:t>
      </w:r>
      <w:r>
        <w:rPr>
          <w:rFonts w:ascii="Times New Roman" w:eastAsia="Times New Roman" w:hAnsi="Times New Roman" w:cs="Times New Roman"/>
          <w:bCs/>
          <w:sz w:val="24"/>
          <w:szCs w:val="24"/>
          <w:lang w:val="zh-CN"/>
        </w:rPr>
        <w:t>, revealed that although misyar gave her the freedom to live without the burden of conventional household responsibilities, she often felt isolated from her community.</w:t>
      </w:r>
      <w:r>
        <w:rPr>
          <w:rStyle w:val="FootnoteReference"/>
          <w:rFonts w:ascii="Times New Roman" w:eastAsia="Times New Roman" w:hAnsi="Times New Roman"/>
          <w:bCs/>
          <w:sz w:val="24"/>
          <w:szCs w:val="24"/>
          <w:lang w:val="zh-CN"/>
        </w:rPr>
        <w:footnoteReference w:id="20"/>
      </w:r>
      <w:r>
        <w:rPr>
          <w:rFonts w:ascii="Times New Roman" w:eastAsia="Times New Roman" w:hAnsi="Times New Roman" w:cs="Times New Roman"/>
          <w:bCs/>
          <w:sz w:val="24"/>
          <w:szCs w:val="24"/>
          <w:lang w:val="zh-CN"/>
        </w:rPr>
        <w:t xml:space="preserve"> The social stigma against women who enter into misyar marriages is still very strong, especially in the city of Surabaya, where the community tends to be conservative in its views on marriage. In addition, the lack of legal protection makes many women feel insecure in misyar relationships, especially if their partners decide to end the marriage unilaterally without prior consent or notification. These findings show that although misyar marriage provides certain benefits for some women (e.g., freedom from routine household obligations), its negative impact on women's social and emotional well-being is far greater and more tangible.</w:t>
      </w:r>
    </w:p>
    <w:p w14:paraId="26289301" w14:textId="77777777" w:rsidR="000F6425" w:rsidRDefault="00000000">
      <w:pPr>
        <w:spacing w:after="120" w:line="240" w:lineRule="auto"/>
        <w:ind w:firstLine="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zh-CN"/>
        </w:rPr>
        <w:t xml:space="preserve">The Practice of Misyar Marriage in Jeddah, Saudi Arabia: Saudi Arabia is a country with very strict marriage traditions: marriage is generally difficult to achieve unless the prospective groom is financially stable. These difficulties have led to an increase in the number of men and women who remain single. </w:t>
      </w:r>
      <w:r>
        <w:rPr>
          <w:rFonts w:ascii="Times New Roman" w:eastAsia="Times New Roman" w:hAnsi="Times New Roman" w:cs="Times New Roman"/>
          <w:bCs/>
          <w:sz w:val="24"/>
          <w:szCs w:val="24"/>
          <w:lang w:val="zh-CN" w:eastAsia="zh-CN"/>
        </w:rPr>
        <w:t xml:space="preserve">A further impact is the emergence of unusual forms of marriage, such as misyar marriage, as an alternative. </w:t>
      </w:r>
      <w:r>
        <w:rPr>
          <w:rFonts w:ascii="Times New Roman" w:eastAsia="Times New Roman" w:hAnsi="Times New Roman" w:cs="Times New Roman"/>
          <w:bCs/>
          <w:sz w:val="24"/>
          <w:szCs w:val="24"/>
          <w:lang w:eastAsia="zh-CN"/>
        </w:rPr>
        <w:t xml:space="preserve">The results of the researcher's interview with </w:t>
      </w:r>
      <w:proofErr w:type="spellStart"/>
      <w:r>
        <w:rPr>
          <w:rFonts w:ascii="Times New Roman" w:eastAsia="Times New Roman" w:hAnsi="Times New Roman" w:cs="Times New Roman"/>
          <w:bCs/>
          <w:sz w:val="24"/>
          <w:szCs w:val="24"/>
          <w:lang w:eastAsia="zh-CN"/>
        </w:rPr>
        <w:t>Rodiyah</w:t>
      </w:r>
      <w:proofErr w:type="spellEnd"/>
      <w:r>
        <w:rPr>
          <w:rFonts w:ascii="Times New Roman" w:eastAsia="Times New Roman" w:hAnsi="Times New Roman" w:cs="Times New Roman"/>
          <w:bCs/>
          <w:sz w:val="24"/>
          <w:szCs w:val="24"/>
          <w:lang w:eastAsia="zh-CN"/>
        </w:rPr>
        <w:t xml:space="preserve"> </w:t>
      </w:r>
      <w:r>
        <w:rPr>
          <w:rFonts w:ascii="Times New Roman" w:eastAsia="Times New Roman" w:hAnsi="Times New Roman" w:cs="Times New Roman"/>
          <w:bCs/>
          <w:sz w:val="24"/>
          <w:szCs w:val="24"/>
          <w:lang w:val="zh-CN" w:eastAsia="zh-CN"/>
        </w:rPr>
        <w:t xml:space="preserve">in the Bab Makkah area of Jeddah, </w:t>
      </w:r>
      <w:r>
        <w:rPr>
          <w:rFonts w:ascii="Times New Roman" w:eastAsia="Times New Roman" w:hAnsi="Times New Roman" w:cs="Times New Roman"/>
          <w:bCs/>
          <w:sz w:val="24"/>
          <w:szCs w:val="24"/>
          <w:lang w:eastAsia="zh-CN"/>
        </w:rPr>
        <w:t>Saudi Arabia</w:t>
      </w:r>
      <w:r>
        <w:rPr>
          <w:rFonts w:ascii="Times New Roman" w:eastAsia="Times New Roman" w:hAnsi="Times New Roman" w:cs="Times New Roman"/>
          <w:bCs/>
          <w:sz w:val="24"/>
          <w:szCs w:val="24"/>
          <w:lang w:val="zh-CN" w:eastAsia="zh-CN"/>
        </w:rPr>
        <w:t>,</w:t>
      </w:r>
      <w:r>
        <w:rPr>
          <w:rFonts w:ascii="Times New Roman" w:eastAsia="Times New Roman" w:hAnsi="Times New Roman" w:cs="Times New Roman"/>
          <w:bCs/>
          <w:sz w:val="24"/>
          <w:szCs w:val="24"/>
          <w:lang w:eastAsia="zh-CN"/>
        </w:rPr>
        <w:t xml:space="preserve"> confirmed that her marriage was a </w:t>
      </w:r>
      <w:proofErr w:type="spellStart"/>
      <w:r>
        <w:rPr>
          <w:rFonts w:ascii="Times New Roman" w:eastAsia="Times New Roman" w:hAnsi="Times New Roman" w:cs="Times New Roman"/>
          <w:bCs/>
          <w:sz w:val="24"/>
          <w:szCs w:val="24"/>
          <w:lang w:eastAsia="zh-CN"/>
        </w:rPr>
        <w:t>misyar</w:t>
      </w:r>
      <w:proofErr w:type="spellEnd"/>
      <w:r>
        <w:rPr>
          <w:rFonts w:ascii="Times New Roman" w:eastAsia="Times New Roman" w:hAnsi="Times New Roman" w:cs="Times New Roman"/>
          <w:bCs/>
          <w:sz w:val="24"/>
          <w:szCs w:val="24"/>
          <w:lang w:eastAsia="zh-CN"/>
        </w:rPr>
        <w:t xml:space="preserve"> marriage. </w:t>
      </w:r>
      <w:r>
        <w:rPr>
          <w:rFonts w:ascii="Times New Roman" w:eastAsia="Times New Roman" w:hAnsi="Times New Roman" w:cs="Times New Roman"/>
          <w:bCs/>
          <w:sz w:val="24"/>
          <w:szCs w:val="24"/>
          <w:lang w:val="zh-CN"/>
        </w:rPr>
        <w:t xml:space="preserve">This attractive middle-aged woman </w:t>
      </w:r>
      <w:r>
        <w:rPr>
          <w:rFonts w:ascii="Times New Roman" w:eastAsia="Times New Roman" w:hAnsi="Times New Roman" w:cs="Times New Roman"/>
          <w:bCs/>
          <w:sz w:val="24"/>
          <w:szCs w:val="24"/>
        </w:rPr>
        <w:t xml:space="preserve">initially </w:t>
      </w:r>
      <w:r>
        <w:rPr>
          <w:rFonts w:ascii="Times New Roman" w:eastAsia="Times New Roman" w:hAnsi="Times New Roman" w:cs="Times New Roman"/>
          <w:bCs/>
          <w:sz w:val="24"/>
          <w:szCs w:val="24"/>
          <w:lang w:val="zh-CN"/>
        </w:rPr>
        <w:t>did not admit that she was married. However, after talking longer and feeling comfortable, she finally revealed that she was married to an Indonesian man working in Saudi Arabia, who was 20 years younger than her. Rodiyah showed the researcher a photo of her husband; he appeared to be tall and much younger. According to her, she married the Indonesian man so that she would have someone to drive and accompany her wherever she we</w:t>
      </w:r>
      <w:r>
        <w:rPr>
          <w:rFonts w:ascii="Times New Roman" w:eastAsia="Times New Roman" w:hAnsi="Times New Roman" w:cs="Times New Roman"/>
          <w:bCs/>
          <w:sz w:val="24"/>
          <w:szCs w:val="24"/>
        </w:rPr>
        <w:t>nt.</w:t>
      </w:r>
      <w:r>
        <w:rPr>
          <w:rStyle w:val="FootnoteReference"/>
          <w:rFonts w:ascii="Times New Roman" w:eastAsia="Times New Roman" w:hAnsi="Times New Roman"/>
          <w:bCs/>
          <w:sz w:val="24"/>
          <w:szCs w:val="24"/>
          <w:lang w:val="zh-CN"/>
        </w:rPr>
        <w:footnoteReference w:id="21"/>
      </w:r>
      <w:r>
        <w:rPr>
          <w:rFonts w:ascii="Times New Roman" w:eastAsia="Times New Roman" w:hAnsi="Times New Roman" w:cs="Times New Roman"/>
          <w:bCs/>
          <w:sz w:val="24"/>
          <w:szCs w:val="24"/>
          <w:lang w:val="zh-CN"/>
        </w:rPr>
        <w:t xml:space="preserve"> In other words, she married him not only because she needed a companion for comfort, but more as a "personal driver" when she went shopping or out for a walk. For her, this misyar marriage was taken lightly; besides not living together, her husband was not burdened with the obligation to provide for her. Her husband was only obliged to accompany her every time she left the house</w:t>
      </w:r>
      <w:r>
        <w:rPr>
          <w:rFonts w:ascii="Times New Roman" w:eastAsia="Times New Roman" w:hAnsi="Times New Roman" w:cs="Times New Roman"/>
          <w:bCs/>
          <w:sz w:val="24"/>
          <w:szCs w:val="24"/>
        </w:rPr>
        <w:t>.</w:t>
      </w:r>
    </w:p>
    <w:p w14:paraId="7D9C676C" w14:textId="77777777" w:rsidR="000F6425" w:rsidRDefault="00000000">
      <w:pPr>
        <w:spacing w:after="120" w:line="240" w:lineRule="auto"/>
        <w:ind w:firstLine="567"/>
        <w:jc w:val="both"/>
        <w:rPr>
          <w:rFonts w:ascii="Times New Roman" w:eastAsia="Times New Roman" w:hAnsi="Times New Roman" w:cs="Times New Roman"/>
          <w:color w:val="000000"/>
          <w:sz w:val="24"/>
          <w:szCs w:val="24"/>
          <w:lang w:val="zh-CN"/>
        </w:rPr>
      </w:pPr>
      <w:r>
        <w:rPr>
          <w:rFonts w:ascii="Times New Roman" w:eastAsia="Times New Roman" w:hAnsi="Times New Roman" w:cs="Times New Roman"/>
          <w:color w:val="000000"/>
          <w:sz w:val="24"/>
          <w:szCs w:val="24"/>
          <w:lang w:val="zh-CN"/>
        </w:rPr>
        <w:t>In addition to Rodiyah, in the same year the researcher met another socialite woman in Jeddah, an Indonesian citizen in her 40s named Muslimah. This woman from Madura admitted that the misyar marriage she was currently in was her third marriage. She bluntly stated that this time she deliberately chose a younger, tall Arab-Pakistani man as her husband, with the main purpose of satisfying her biological desires. According to Muslimah, her marriage to the Pakistani man was conducted without them living together because each of them was busy with their own affairs. Her husband is only obliged to accompany her when she feels lonely, and of course, to satisfy her sexual desires according to their agreement.</w:t>
      </w:r>
      <w:r>
        <w:rPr>
          <w:rStyle w:val="FootnoteReference"/>
          <w:rFonts w:ascii="Times New Roman" w:eastAsia="Times New Roman" w:hAnsi="Times New Roman"/>
          <w:color w:val="000000"/>
          <w:sz w:val="24"/>
          <w:szCs w:val="24"/>
          <w:lang w:val="zh-CN"/>
        </w:rPr>
        <w:footnoteReference w:id="22"/>
      </w:r>
      <w:r>
        <w:rPr>
          <w:rFonts w:ascii="Times New Roman" w:eastAsia="Times New Roman" w:hAnsi="Times New Roman" w:cs="Times New Roman"/>
          <w:color w:val="000000"/>
          <w:sz w:val="24"/>
          <w:szCs w:val="24"/>
          <w:lang w:val="zh-CN"/>
        </w:rPr>
        <w:t xml:space="preserve"> In other words, the husband's role in this misyar relationship is limited to fulfilling his wife's emotional and biological needs without the responsibilities of a husband in a conventional marriage.</w:t>
      </w:r>
    </w:p>
    <w:p w14:paraId="7438A72C" w14:textId="77777777" w:rsidR="000F6425" w:rsidRDefault="00000000">
      <w:pPr>
        <w:spacing w:after="120" w:line="240" w:lineRule="auto"/>
        <w:ind w:firstLine="567"/>
        <w:jc w:val="both"/>
        <w:rPr>
          <w:rFonts w:ascii="Times New Roman" w:eastAsia="Times New Roman" w:hAnsi="Times New Roman" w:cs="Times New Roman"/>
          <w:color w:val="000000"/>
          <w:sz w:val="24"/>
          <w:szCs w:val="24"/>
          <w:lang w:val="zh-CN"/>
        </w:rPr>
      </w:pPr>
      <w:r>
        <w:rPr>
          <w:rFonts w:ascii="Times New Roman" w:eastAsia="Times New Roman" w:hAnsi="Times New Roman" w:cs="Times New Roman"/>
          <w:color w:val="000000"/>
          <w:sz w:val="24"/>
          <w:szCs w:val="24"/>
          <w:lang w:val="zh-CN"/>
        </w:rPr>
        <w:t>In Jeddah, the researcher also met Mahra Abad, a beautiful woman of Arab descent who changed her citizenship to Saudi after marrying her first husband (a Dubai citizen) who died four years ago. Mahra revealed that she had remarried under a misyar marriage with a man from Egypt. This marriage was conducted secretly, without the knowledge of her children and extended family, because her late husband's family forbade Mahra from remarrying on the grounds that she still had two young children. Mahra explained that her motivation for marrying the Egyptian man in a misyar marriage was solely to fulfill her biological needs as a woman. Her husband is not obliged to provide financial support or a place to live. Her husband's presence is only to fulfill her physical needs, nothing more. This is evident from Mahra's admission that they do not live together and have never even appeared together in public. The two only meet periodically to satisfy their longing and biological needs (for example, meeting for one to two days), then separate again for several days or weeks. The misyar relationship pattern that Mahra and her husband have been living in has been going on for about a year and a half.</w:t>
      </w:r>
      <w:r>
        <w:rPr>
          <w:rStyle w:val="FootnoteReference"/>
          <w:rFonts w:ascii="Times New Roman" w:eastAsia="Times New Roman" w:hAnsi="Times New Roman"/>
          <w:color w:val="000000"/>
          <w:sz w:val="24"/>
          <w:szCs w:val="24"/>
          <w:lang w:val="zh-CN"/>
        </w:rPr>
        <w:footnoteReference w:id="23"/>
      </w:r>
    </w:p>
    <w:p w14:paraId="3C723673" w14:textId="77777777" w:rsidR="000F6425" w:rsidRDefault="00000000">
      <w:pPr>
        <w:spacing w:after="12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Practice of </w:t>
      </w:r>
      <w:proofErr w:type="spellStart"/>
      <w:r>
        <w:rPr>
          <w:rFonts w:ascii="Times New Roman" w:eastAsia="Times New Roman" w:hAnsi="Times New Roman" w:cs="Times New Roman"/>
          <w:color w:val="000000"/>
          <w:sz w:val="24"/>
          <w:szCs w:val="24"/>
        </w:rPr>
        <w:t>Misyar</w:t>
      </w:r>
      <w:proofErr w:type="spellEnd"/>
      <w:r>
        <w:rPr>
          <w:rFonts w:ascii="Times New Roman" w:eastAsia="Times New Roman" w:hAnsi="Times New Roman" w:cs="Times New Roman"/>
          <w:color w:val="000000"/>
          <w:sz w:val="24"/>
          <w:szCs w:val="24"/>
        </w:rPr>
        <w:t xml:space="preserve"> Marriage in Casablanca, Morocco: In 2019, the researcher had the opportunity to visit Morocco as a visiting lecturer at Muhammad V University, Rabat. In between academic activities, the researcher traveled to Casablanca (known as </w:t>
      </w:r>
      <w:r>
        <w:rPr>
          <w:rFonts w:ascii="Times New Roman" w:eastAsia="Times New Roman" w:hAnsi="Times New Roman" w:cs="Times New Roman"/>
          <w:i/>
          <w:iCs/>
          <w:color w:val="000000"/>
          <w:sz w:val="24"/>
          <w:szCs w:val="24"/>
        </w:rPr>
        <w:t xml:space="preserve">Dar al-Bayda' </w:t>
      </w:r>
      <w:r>
        <w:rPr>
          <w:rFonts w:ascii="Times New Roman" w:eastAsia="Times New Roman" w:hAnsi="Times New Roman" w:cs="Times New Roman"/>
          <w:color w:val="000000"/>
          <w:sz w:val="24"/>
          <w:szCs w:val="24"/>
        </w:rPr>
        <w:t>or "White City"). On the train ride to Casablanca, the researcher accidentally met a Moroccan socialite named Iman. During a casual conversation on the train, the researcher carefully asked Iman some personal questions. It turned out that Iman was very open. She said that she came from the city of Marrakech (</w:t>
      </w:r>
      <w:r>
        <w:rPr>
          <w:rFonts w:ascii="Times New Roman" w:eastAsia="Times New Roman" w:hAnsi="Times New Roman" w:cs="Times New Roman"/>
          <w:i/>
          <w:iCs/>
          <w:color w:val="000000"/>
          <w:sz w:val="24"/>
          <w:szCs w:val="24"/>
        </w:rPr>
        <w:t xml:space="preserve">the Red City) </w:t>
      </w:r>
      <w:r>
        <w:rPr>
          <w:rFonts w:ascii="Times New Roman" w:eastAsia="Times New Roman" w:hAnsi="Times New Roman" w:cs="Times New Roman"/>
          <w:color w:val="000000"/>
          <w:sz w:val="24"/>
          <w:szCs w:val="24"/>
        </w:rPr>
        <w:t xml:space="preserve">but now lives and runs a cosmetics and beauty salon business in Casablanca. Iman, a woman of European descent aged around 50, admitted that she had been married in a </w:t>
      </w:r>
      <w:proofErr w:type="spellStart"/>
      <w:r>
        <w:rPr>
          <w:rFonts w:ascii="Times New Roman" w:eastAsia="Times New Roman" w:hAnsi="Times New Roman" w:cs="Times New Roman"/>
          <w:color w:val="000000"/>
          <w:sz w:val="24"/>
          <w:szCs w:val="24"/>
        </w:rPr>
        <w:t>misyar</w:t>
      </w:r>
      <w:proofErr w:type="spellEnd"/>
      <w:r>
        <w:rPr>
          <w:rFonts w:ascii="Times New Roman" w:eastAsia="Times New Roman" w:hAnsi="Times New Roman" w:cs="Times New Roman"/>
          <w:color w:val="000000"/>
          <w:sz w:val="24"/>
          <w:szCs w:val="24"/>
        </w:rPr>
        <w:t xml:space="preserve"> marriage to a student from Mauritania in 2019.</w:t>
      </w:r>
      <w:r>
        <w:rPr>
          <w:rStyle w:val="FootnoteReference"/>
          <w:rFonts w:ascii="Times New Roman" w:eastAsia="Times New Roman" w:hAnsi="Times New Roman"/>
          <w:color w:val="000000"/>
          <w:sz w:val="24"/>
          <w:szCs w:val="24"/>
        </w:rPr>
        <w:footnoteReference w:id="24"/>
      </w:r>
      <w:r>
        <w:rPr>
          <w:rFonts w:ascii="Times New Roman" w:eastAsia="Times New Roman" w:hAnsi="Times New Roman" w:cs="Times New Roman"/>
          <w:color w:val="000000"/>
          <w:sz w:val="24"/>
          <w:szCs w:val="24"/>
        </w:rPr>
        <w:t xml:space="preserve"> She explained that in her </w:t>
      </w:r>
      <w:proofErr w:type="spellStart"/>
      <w:r>
        <w:rPr>
          <w:rFonts w:ascii="Times New Roman" w:eastAsia="Times New Roman" w:hAnsi="Times New Roman" w:cs="Times New Roman"/>
          <w:color w:val="000000"/>
          <w:sz w:val="24"/>
          <w:szCs w:val="24"/>
        </w:rPr>
        <w:t>misyar</w:t>
      </w:r>
      <w:proofErr w:type="spellEnd"/>
      <w:r>
        <w:rPr>
          <w:rFonts w:ascii="Times New Roman" w:eastAsia="Times New Roman" w:hAnsi="Times New Roman" w:cs="Times New Roman"/>
          <w:color w:val="000000"/>
          <w:sz w:val="24"/>
          <w:szCs w:val="24"/>
        </w:rPr>
        <w:t xml:space="preserve"> household, her husband was not burdened with any material obligations. Iman only asked her husband to take good care of her, both at home and outside the home, like a personal bodyguard. In other words, her husband was </w:t>
      </w:r>
      <w:r>
        <w:rPr>
          <w:rFonts w:ascii="Times New Roman" w:eastAsia="Times New Roman" w:hAnsi="Times New Roman" w:cs="Times New Roman"/>
          <w:i/>
          <w:iCs/>
          <w:color w:val="000000"/>
          <w:sz w:val="24"/>
          <w:szCs w:val="24"/>
        </w:rPr>
        <w:t xml:space="preserve">her bodyguard </w:t>
      </w:r>
      <w:r>
        <w:rPr>
          <w:rFonts w:ascii="Times New Roman" w:eastAsia="Times New Roman" w:hAnsi="Times New Roman" w:cs="Times New Roman"/>
          <w:color w:val="000000"/>
          <w:sz w:val="24"/>
          <w:szCs w:val="24"/>
        </w:rPr>
        <w:t xml:space="preserve">who was always ready to accompany her. Additionally, Iman and her husband agreed not to have children from this marriage. Iman felt she already had enough children from her previous marriage (Iman's first husband had passed away) and did not want to get pregnant again. They explicitly agreed that there would be no pregnancy or children in this </w:t>
      </w:r>
      <w:proofErr w:type="spellStart"/>
      <w:r>
        <w:rPr>
          <w:rFonts w:ascii="Times New Roman" w:eastAsia="Times New Roman" w:hAnsi="Times New Roman" w:cs="Times New Roman"/>
          <w:color w:val="000000"/>
          <w:sz w:val="24"/>
          <w:szCs w:val="24"/>
        </w:rPr>
        <w:t>misyar</w:t>
      </w:r>
      <w:proofErr w:type="spellEnd"/>
      <w:r>
        <w:rPr>
          <w:rFonts w:ascii="Times New Roman" w:eastAsia="Times New Roman" w:hAnsi="Times New Roman" w:cs="Times New Roman"/>
          <w:color w:val="000000"/>
          <w:sz w:val="24"/>
          <w:szCs w:val="24"/>
        </w:rPr>
        <w:t xml:space="preserve"> marriage.</w:t>
      </w:r>
    </w:p>
    <w:p w14:paraId="049FB02C" w14:textId="77777777" w:rsidR="000F6425" w:rsidRDefault="00000000">
      <w:pPr>
        <w:spacing w:after="12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Practice of </w:t>
      </w:r>
      <w:proofErr w:type="spellStart"/>
      <w:r>
        <w:rPr>
          <w:rFonts w:ascii="Times New Roman" w:eastAsia="Times New Roman" w:hAnsi="Times New Roman" w:cs="Times New Roman"/>
          <w:color w:val="000000"/>
          <w:sz w:val="24"/>
          <w:szCs w:val="24"/>
        </w:rPr>
        <w:t>Misyar</w:t>
      </w:r>
      <w:proofErr w:type="spellEnd"/>
      <w:r>
        <w:rPr>
          <w:rFonts w:ascii="Times New Roman" w:eastAsia="Times New Roman" w:hAnsi="Times New Roman" w:cs="Times New Roman"/>
          <w:color w:val="000000"/>
          <w:sz w:val="24"/>
          <w:szCs w:val="24"/>
        </w:rPr>
        <w:t xml:space="preserve"> Marriage in Alexandria, Egypt: On September 14, 2022, researchers were in the city of Alexandria, Egypt, to visit several historical sites. After visiting the tombs of the prophets </w:t>
      </w:r>
      <w:proofErr w:type="spellStart"/>
      <w:r>
        <w:rPr>
          <w:rFonts w:ascii="Times New Roman" w:eastAsia="Times New Roman" w:hAnsi="Times New Roman" w:cs="Times New Roman"/>
          <w:color w:val="000000"/>
          <w:sz w:val="24"/>
          <w:szCs w:val="24"/>
        </w:rPr>
        <w:t>Luqmanul</w:t>
      </w:r>
      <w:proofErr w:type="spellEnd"/>
      <w:r>
        <w:rPr>
          <w:rFonts w:ascii="Times New Roman" w:eastAsia="Times New Roman" w:hAnsi="Times New Roman" w:cs="Times New Roman"/>
          <w:color w:val="000000"/>
          <w:sz w:val="24"/>
          <w:szCs w:val="24"/>
        </w:rPr>
        <w:t xml:space="preserve"> Hakim and Daniel, the researchers and a colleague took a walk along the Mediterranean coast. There, the researchers met several people from various regions of Egypt. The researchers' attention was drawn to a couple who appeared to be husband and wife with a noticeable age difference (the wife was around 50 years old, while her husband was around 30 years old). The researcher had the opportunity to talk with the couple, and the conversation turned to personal matters regarding their marital status. They revealed that they had been married for only five months and were both happy with their marriage.</w:t>
      </w:r>
      <w:r>
        <w:rPr>
          <w:rStyle w:val="FootnoteReference"/>
          <w:rFonts w:ascii="Times New Roman" w:eastAsia="Times New Roman" w:hAnsi="Times New Roman"/>
          <w:color w:val="000000"/>
          <w:sz w:val="24"/>
          <w:szCs w:val="24"/>
        </w:rPr>
        <w:footnoteReference w:id="25"/>
      </w:r>
    </w:p>
    <w:p w14:paraId="7D364C04" w14:textId="77777777" w:rsidR="000F6425" w:rsidRDefault="00000000">
      <w:pPr>
        <w:spacing w:after="120" w:line="240" w:lineRule="auto"/>
        <w:ind w:firstLine="567"/>
        <w:jc w:val="both"/>
        <w:rPr>
          <w:rFonts w:ascii="Times New Roman" w:eastAsia="Times New Roman" w:hAnsi="Times New Roman" w:cs="Times New Roman"/>
          <w:color w:val="000000"/>
          <w:sz w:val="24"/>
          <w:szCs w:val="24"/>
          <w:lang w:val="zh-CN" w:eastAsia="zh-CN"/>
        </w:rPr>
      </w:pPr>
      <w:r>
        <w:rPr>
          <w:rFonts w:ascii="Times New Roman" w:eastAsia="Times New Roman" w:hAnsi="Times New Roman" w:cs="Times New Roman"/>
          <w:color w:val="000000"/>
          <w:sz w:val="24"/>
          <w:szCs w:val="24"/>
          <w:lang w:val="zh-CN"/>
        </w:rPr>
        <w:t xml:space="preserve">The woman, let's call her Fatimah, explained that her marriage to the young man was conducted without the knowledge of either family. They both lived in one of Fatimah's apartments in Alexandria. Fatimah mentioned that her husband still often returned to his parents' house when Fatimah was out of town on business. However, if Fatimah needed her husband to be present, whenever and for however long, he had to be ready to come to her apartment without delay. When asked about plans to have children, Fatimah firmly replied that this misyar marriage was not intended to produce offspring. According to her, pregnancy would be a burden, especially taking care of a baby and breastfeeding. She added that happiness in marriage does not have to be measured by having children; for her, the most important thing is to have a partner who can understand each other's circumstances. </w:t>
      </w:r>
      <w:r>
        <w:rPr>
          <w:rFonts w:ascii="Times New Roman" w:eastAsia="Times New Roman" w:hAnsi="Times New Roman" w:cs="Times New Roman"/>
          <w:color w:val="000000"/>
          <w:sz w:val="24"/>
          <w:szCs w:val="24"/>
          <w:lang w:val="zh-CN" w:eastAsia="zh-CN"/>
        </w:rPr>
        <w:t>That is enough to make her happy.</w:t>
      </w:r>
      <w:r>
        <w:rPr>
          <w:rStyle w:val="FootnoteReference"/>
          <w:rFonts w:ascii="Times New Roman" w:eastAsia="Times New Roman" w:hAnsi="Times New Roman"/>
          <w:color w:val="000000"/>
          <w:sz w:val="24"/>
          <w:szCs w:val="24"/>
          <w:lang w:val="zh-CN"/>
        </w:rPr>
        <w:footnoteReference w:id="26"/>
      </w:r>
    </w:p>
    <w:p w14:paraId="270F32F6" w14:textId="77777777" w:rsidR="000F6425" w:rsidRDefault="00000000">
      <w:pPr>
        <w:spacing w:after="12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eastAsia="zh-CN"/>
        </w:rPr>
        <w:t xml:space="preserve">The Practice of </w:t>
      </w:r>
      <w:proofErr w:type="spellStart"/>
      <w:r>
        <w:rPr>
          <w:rFonts w:ascii="Times New Roman" w:eastAsia="Times New Roman" w:hAnsi="Times New Roman" w:cs="Times New Roman"/>
          <w:color w:val="000000"/>
          <w:sz w:val="24"/>
          <w:szCs w:val="24"/>
          <w:lang w:eastAsia="zh-CN"/>
        </w:rPr>
        <w:t>Misyar</w:t>
      </w:r>
      <w:proofErr w:type="spellEnd"/>
      <w:r>
        <w:rPr>
          <w:rFonts w:ascii="Times New Roman" w:eastAsia="Times New Roman" w:hAnsi="Times New Roman" w:cs="Times New Roman"/>
          <w:color w:val="000000"/>
          <w:sz w:val="24"/>
          <w:szCs w:val="24"/>
          <w:lang w:eastAsia="zh-CN"/>
        </w:rPr>
        <w:t xml:space="preserve"> Marriage in Gombak, Malaysia: The practice of </w:t>
      </w:r>
      <w:proofErr w:type="spellStart"/>
      <w:r>
        <w:rPr>
          <w:rFonts w:ascii="Times New Roman" w:eastAsia="Times New Roman" w:hAnsi="Times New Roman" w:cs="Times New Roman"/>
          <w:color w:val="000000"/>
          <w:sz w:val="24"/>
          <w:szCs w:val="24"/>
          <w:lang w:eastAsia="zh-CN"/>
        </w:rPr>
        <w:t>misyar</w:t>
      </w:r>
      <w:proofErr w:type="spellEnd"/>
      <w:r>
        <w:rPr>
          <w:rFonts w:ascii="Times New Roman" w:eastAsia="Times New Roman" w:hAnsi="Times New Roman" w:cs="Times New Roman"/>
          <w:color w:val="000000"/>
          <w:sz w:val="24"/>
          <w:szCs w:val="24"/>
          <w:lang w:eastAsia="zh-CN"/>
        </w:rPr>
        <w:t xml:space="preserve"> marriage also occurs in Malaysia. This was proven by the findings of researchers in the Gombak area of Malaysia, when they accidentally met a socialite named </w:t>
      </w:r>
      <w:proofErr w:type="spellStart"/>
      <w:r>
        <w:rPr>
          <w:rFonts w:ascii="Times New Roman" w:eastAsia="Times New Roman" w:hAnsi="Times New Roman" w:cs="Times New Roman"/>
          <w:color w:val="000000"/>
          <w:sz w:val="24"/>
          <w:szCs w:val="24"/>
          <w:lang w:eastAsia="zh-CN"/>
        </w:rPr>
        <w:t>Karmila</w:t>
      </w:r>
      <w:proofErr w:type="spellEnd"/>
      <w:r>
        <w:rPr>
          <w:rFonts w:ascii="Times New Roman" w:eastAsia="Times New Roman" w:hAnsi="Times New Roman" w:cs="Times New Roman"/>
          <w:color w:val="000000"/>
          <w:sz w:val="24"/>
          <w:szCs w:val="24"/>
          <w:lang w:eastAsia="zh-CN"/>
        </w:rPr>
        <w:t xml:space="preserve">. The 48-year-old woman, who works as a medical equipment entrepreneur, admitted to having entered into a </w:t>
      </w:r>
      <w:proofErr w:type="spellStart"/>
      <w:r>
        <w:rPr>
          <w:rFonts w:ascii="Times New Roman" w:eastAsia="Times New Roman" w:hAnsi="Times New Roman" w:cs="Times New Roman"/>
          <w:color w:val="000000"/>
          <w:sz w:val="24"/>
          <w:szCs w:val="24"/>
          <w:lang w:eastAsia="zh-CN"/>
        </w:rPr>
        <w:t>misyar</w:t>
      </w:r>
      <w:proofErr w:type="spellEnd"/>
      <w:r>
        <w:rPr>
          <w:rFonts w:ascii="Times New Roman" w:eastAsia="Times New Roman" w:hAnsi="Times New Roman" w:cs="Times New Roman"/>
          <w:color w:val="000000"/>
          <w:sz w:val="24"/>
          <w:szCs w:val="24"/>
          <w:lang w:eastAsia="zh-CN"/>
        </w:rPr>
        <w:t xml:space="preserve"> marriage with a man of her choice who is younger than her. </w:t>
      </w:r>
      <w:proofErr w:type="spellStart"/>
      <w:r>
        <w:rPr>
          <w:rFonts w:ascii="Times New Roman" w:eastAsia="Times New Roman" w:hAnsi="Times New Roman" w:cs="Times New Roman"/>
          <w:color w:val="000000"/>
          <w:sz w:val="24"/>
          <w:szCs w:val="24"/>
          <w:lang w:eastAsia="zh-CN"/>
        </w:rPr>
        <w:t>Karmila</w:t>
      </w:r>
      <w:proofErr w:type="spellEnd"/>
      <w:r>
        <w:rPr>
          <w:rFonts w:ascii="Times New Roman" w:eastAsia="Times New Roman" w:hAnsi="Times New Roman" w:cs="Times New Roman"/>
          <w:color w:val="000000"/>
          <w:sz w:val="24"/>
          <w:szCs w:val="24"/>
          <w:lang w:eastAsia="zh-CN"/>
        </w:rPr>
        <w:t xml:space="preserve"> explained that her husband is not burdened with any material obligations in their marriage. Her husband was not required to provide financial support because </w:t>
      </w:r>
      <w:proofErr w:type="spellStart"/>
      <w:r>
        <w:rPr>
          <w:rFonts w:ascii="Times New Roman" w:eastAsia="Times New Roman" w:hAnsi="Times New Roman" w:cs="Times New Roman"/>
          <w:color w:val="000000"/>
          <w:sz w:val="24"/>
          <w:szCs w:val="24"/>
          <w:lang w:eastAsia="zh-CN"/>
        </w:rPr>
        <w:t>Karmila</w:t>
      </w:r>
      <w:proofErr w:type="spellEnd"/>
      <w:r>
        <w:rPr>
          <w:rFonts w:ascii="Times New Roman" w:eastAsia="Times New Roman" w:hAnsi="Times New Roman" w:cs="Times New Roman"/>
          <w:color w:val="000000"/>
          <w:sz w:val="24"/>
          <w:szCs w:val="24"/>
          <w:lang w:eastAsia="zh-CN"/>
        </w:rPr>
        <w:t xml:space="preserve"> was financially stable, nor did he have to provide a place to live because </w:t>
      </w:r>
      <w:proofErr w:type="spellStart"/>
      <w:r>
        <w:rPr>
          <w:rFonts w:ascii="Times New Roman" w:eastAsia="Times New Roman" w:hAnsi="Times New Roman" w:cs="Times New Roman"/>
          <w:color w:val="000000"/>
          <w:sz w:val="24"/>
          <w:szCs w:val="24"/>
          <w:lang w:eastAsia="zh-CN"/>
        </w:rPr>
        <w:t>Karmila</w:t>
      </w:r>
      <w:proofErr w:type="spellEnd"/>
      <w:r>
        <w:rPr>
          <w:rFonts w:ascii="Times New Roman" w:eastAsia="Times New Roman" w:hAnsi="Times New Roman" w:cs="Times New Roman"/>
          <w:color w:val="000000"/>
          <w:sz w:val="24"/>
          <w:szCs w:val="24"/>
          <w:lang w:eastAsia="zh-CN"/>
        </w:rPr>
        <w:t xml:space="preserve"> already owned a house that she had purchased with her own hard-earned money</w:t>
      </w:r>
      <w:r>
        <w:rPr>
          <w:rFonts w:ascii="Times New Roman" w:eastAsia="Times New Roman" w:hAnsi="Times New Roman" w:cs="Times New Roman"/>
          <w:color w:val="000000"/>
          <w:sz w:val="24"/>
          <w:szCs w:val="24"/>
        </w:rPr>
        <w:t>.</w:t>
      </w:r>
      <w:r>
        <w:rPr>
          <w:rStyle w:val="FootnoteReference"/>
          <w:rFonts w:ascii="Times New Roman" w:eastAsia="Times New Roman" w:hAnsi="Times New Roman"/>
          <w:color w:val="000000"/>
          <w:sz w:val="24"/>
          <w:szCs w:val="24"/>
        </w:rPr>
        <w:footnoteReference w:id="27"/>
      </w:r>
      <w:r>
        <w:rPr>
          <w:rFonts w:ascii="Times New Roman" w:eastAsia="Times New Roman" w:hAnsi="Times New Roman" w:cs="Times New Roman"/>
          <w:color w:val="000000"/>
          <w:sz w:val="24"/>
          <w:szCs w:val="24"/>
        </w:rPr>
        <w:t xml:space="preserve"> According to her, in this </w:t>
      </w:r>
      <w:proofErr w:type="spellStart"/>
      <w:r>
        <w:rPr>
          <w:rFonts w:ascii="Times New Roman" w:eastAsia="Times New Roman" w:hAnsi="Times New Roman" w:cs="Times New Roman"/>
          <w:color w:val="000000"/>
          <w:sz w:val="24"/>
          <w:szCs w:val="24"/>
        </w:rPr>
        <w:t>misyar</w:t>
      </w:r>
      <w:proofErr w:type="spellEnd"/>
      <w:r>
        <w:rPr>
          <w:rFonts w:ascii="Times New Roman" w:eastAsia="Times New Roman" w:hAnsi="Times New Roman" w:cs="Times New Roman"/>
          <w:color w:val="000000"/>
          <w:sz w:val="24"/>
          <w:szCs w:val="24"/>
        </w:rPr>
        <w:t xml:space="preserve"> practice, her husband only has a few obligations towards her, namely: (1) to accompany </w:t>
      </w:r>
      <w:proofErr w:type="spellStart"/>
      <w:r>
        <w:rPr>
          <w:rFonts w:ascii="Times New Roman" w:eastAsia="Times New Roman" w:hAnsi="Times New Roman" w:cs="Times New Roman"/>
          <w:color w:val="000000"/>
          <w:sz w:val="24"/>
          <w:szCs w:val="24"/>
        </w:rPr>
        <w:t>Karmila</w:t>
      </w:r>
      <w:proofErr w:type="spellEnd"/>
      <w:r>
        <w:rPr>
          <w:rFonts w:ascii="Times New Roman" w:eastAsia="Times New Roman" w:hAnsi="Times New Roman" w:cs="Times New Roman"/>
          <w:color w:val="000000"/>
          <w:sz w:val="24"/>
          <w:szCs w:val="24"/>
        </w:rPr>
        <w:t xml:space="preserve"> when she feels lonely; (2) to fulfill her biological needs when she wants to have intimate relations; and (3) to always accompany her when she attends meetings with employees or business partners. Furthermore, </w:t>
      </w:r>
      <w:proofErr w:type="spellStart"/>
      <w:r>
        <w:rPr>
          <w:rFonts w:ascii="Times New Roman" w:eastAsia="Times New Roman" w:hAnsi="Times New Roman" w:cs="Times New Roman"/>
          <w:color w:val="000000"/>
          <w:sz w:val="24"/>
          <w:szCs w:val="24"/>
        </w:rPr>
        <w:t>Karmila</w:t>
      </w:r>
      <w:proofErr w:type="spellEnd"/>
      <w:r>
        <w:rPr>
          <w:rFonts w:ascii="Times New Roman" w:eastAsia="Times New Roman" w:hAnsi="Times New Roman" w:cs="Times New Roman"/>
          <w:color w:val="000000"/>
          <w:sz w:val="24"/>
          <w:szCs w:val="24"/>
        </w:rPr>
        <w:t xml:space="preserve"> emphasized that in the </w:t>
      </w:r>
      <w:proofErr w:type="spellStart"/>
      <w:r>
        <w:rPr>
          <w:rFonts w:ascii="Times New Roman" w:eastAsia="Times New Roman" w:hAnsi="Times New Roman" w:cs="Times New Roman"/>
          <w:color w:val="000000"/>
          <w:sz w:val="24"/>
          <w:szCs w:val="24"/>
        </w:rPr>
        <w:t>misyar</w:t>
      </w:r>
      <w:proofErr w:type="spellEnd"/>
      <w:r>
        <w:rPr>
          <w:rFonts w:ascii="Times New Roman" w:eastAsia="Times New Roman" w:hAnsi="Times New Roman" w:cs="Times New Roman"/>
          <w:color w:val="000000"/>
          <w:sz w:val="24"/>
          <w:szCs w:val="24"/>
        </w:rPr>
        <w:t xml:space="preserve"> marriage she entered into, there was absolutely no intention to have children (no desire to have offspring). This marriage was purely for the purpose of having a life partner without the burden of traditional household responsibilities, as well as fulfilling her emotional and physical needs.</w:t>
      </w:r>
      <w:r>
        <w:rPr>
          <w:rStyle w:val="FootnoteReference"/>
          <w:rFonts w:ascii="Times New Roman" w:eastAsia="Times New Roman" w:hAnsi="Times New Roman"/>
          <w:color w:val="000000"/>
          <w:sz w:val="24"/>
          <w:szCs w:val="24"/>
        </w:rPr>
        <w:footnoteReference w:id="28"/>
      </w:r>
    </w:p>
    <w:p w14:paraId="0D22C470" w14:textId="77777777" w:rsidR="000F6425" w:rsidRDefault="00000000">
      <w:pPr>
        <w:spacing w:after="120" w:line="240" w:lineRule="auto"/>
        <w:ind w:firstLine="567"/>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Praktik</w:t>
      </w:r>
      <w:proofErr w:type="spellEnd"/>
      <w:r>
        <w:rPr>
          <w:rFonts w:ascii="Times New Roman" w:eastAsia="Times New Roman" w:hAnsi="Times New Roman" w:cs="Times New Roman"/>
          <w:color w:val="000000"/>
          <w:sz w:val="24"/>
          <w:szCs w:val="24"/>
        </w:rPr>
        <w:t xml:space="preserve"> Kawin </w:t>
      </w:r>
      <w:proofErr w:type="spellStart"/>
      <w:r>
        <w:rPr>
          <w:rFonts w:ascii="Times New Roman" w:eastAsia="Times New Roman" w:hAnsi="Times New Roman" w:cs="Times New Roman"/>
          <w:color w:val="000000"/>
          <w:sz w:val="24"/>
          <w:szCs w:val="24"/>
        </w:rPr>
        <w:t>Misyar</w:t>
      </w:r>
      <w:proofErr w:type="spellEnd"/>
      <w:r>
        <w:rPr>
          <w:rFonts w:ascii="Times New Roman" w:eastAsia="Times New Roman" w:hAnsi="Times New Roman" w:cs="Times New Roman"/>
          <w:color w:val="000000"/>
          <w:sz w:val="24"/>
          <w:szCs w:val="24"/>
        </w:rPr>
        <w:t xml:space="preserve"> di Surabaya, Indonesia: Kota Surabaya </w:t>
      </w:r>
      <w:proofErr w:type="spellStart"/>
      <w:r>
        <w:rPr>
          <w:rFonts w:ascii="Times New Roman" w:eastAsia="Times New Roman" w:hAnsi="Times New Roman" w:cs="Times New Roman"/>
          <w:color w:val="000000"/>
          <w:sz w:val="24"/>
          <w:szCs w:val="24"/>
        </w:rPr>
        <w:t>merupakan</w:t>
      </w:r>
      <w:proofErr w:type="spellEnd"/>
      <w:r>
        <w:rPr>
          <w:rFonts w:ascii="Times New Roman" w:eastAsia="Times New Roman" w:hAnsi="Times New Roman" w:cs="Times New Roman"/>
          <w:color w:val="000000"/>
          <w:sz w:val="24"/>
          <w:szCs w:val="24"/>
        </w:rPr>
        <w:t xml:space="preserve"> salah </w:t>
      </w:r>
      <w:proofErr w:type="spellStart"/>
      <w:r>
        <w:rPr>
          <w:rFonts w:ascii="Times New Roman" w:eastAsia="Times New Roman" w:hAnsi="Times New Roman" w:cs="Times New Roman"/>
          <w:color w:val="000000"/>
          <w:sz w:val="24"/>
          <w:szCs w:val="24"/>
        </w:rPr>
        <w:t>satu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besar</w:t>
      </w:r>
      <w:proofErr w:type="spellEnd"/>
      <w:r>
        <w:rPr>
          <w:rFonts w:ascii="Times New Roman" w:eastAsia="Times New Roman" w:hAnsi="Times New Roman" w:cs="Times New Roman"/>
          <w:color w:val="000000"/>
          <w:sz w:val="24"/>
          <w:szCs w:val="24"/>
        </w:rPr>
        <w:t xml:space="preserve"> di Indonesia yang </w:t>
      </w:r>
      <w:proofErr w:type="spellStart"/>
      <w:r>
        <w:rPr>
          <w:rFonts w:ascii="Times New Roman" w:eastAsia="Times New Roman" w:hAnsi="Times New Roman" w:cs="Times New Roman"/>
          <w:color w:val="000000"/>
          <w:sz w:val="24"/>
          <w:szCs w:val="24"/>
        </w:rPr>
        <w:t>menjadi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lokasi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temuan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praktik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misyar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mengamati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bahwa</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beberapa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kompleks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perumahan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elit</w:t>
      </w:r>
      <w:proofErr w:type="spellEnd"/>
      <w:r>
        <w:rPr>
          <w:rFonts w:ascii="Times New Roman" w:eastAsia="Times New Roman" w:hAnsi="Times New Roman" w:cs="Times New Roman"/>
          <w:color w:val="000000"/>
          <w:sz w:val="24"/>
          <w:szCs w:val="24"/>
        </w:rPr>
        <w:t xml:space="preserve"> di Surabaya </w:t>
      </w:r>
      <w:proofErr w:type="spellStart"/>
      <w:r>
        <w:rPr>
          <w:rFonts w:ascii="Times New Roman" w:eastAsia="Times New Roman" w:hAnsi="Times New Roman" w:cs="Times New Roman"/>
          <w:color w:val="000000"/>
          <w:sz w:val="24"/>
          <w:szCs w:val="24"/>
        </w:rPr>
        <w:t>terdapat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perempuan-perempuan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umumnya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janda</w:t>
      </w:r>
      <w:proofErr w:type="spellEnd"/>
      <w:r>
        <w:rPr>
          <w:rFonts w:ascii="Times New Roman" w:eastAsia="Times New Roman" w:hAnsi="Times New Roman" w:cs="Times New Roman"/>
          <w:color w:val="000000"/>
          <w:sz w:val="24"/>
          <w:szCs w:val="24"/>
        </w:rPr>
        <w:t xml:space="preserve"> kaya dan </w:t>
      </w:r>
      <w:proofErr w:type="spellStart"/>
      <w:r>
        <w:rPr>
          <w:rFonts w:ascii="Times New Roman" w:eastAsia="Times New Roman" w:hAnsi="Times New Roman" w:cs="Times New Roman"/>
          <w:color w:val="000000"/>
          <w:sz w:val="24"/>
          <w:szCs w:val="24"/>
        </w:rPr>
        <w:t>beberapa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lajang</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hidup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sendirian</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rumah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besar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kadang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ditemani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seorang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asisten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rumah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tangga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finansial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mereka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berkecukupan</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sebenarnya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siap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materi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menikah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namun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tampaknya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mereka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tertarik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menikah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konvensional</w:t>
      </w:r>
      <w:proofErr w:type="spellEnd"/>
      <w:r>
        <w:rPr>
          <w:rFonts w:ascii="Times New Roman" w:eastAsia="Times New Roman" w:hAnsi="Times New Roman" w:cs="Times New Roman"/>
          <w:color w:val="000000"/>
          <w:sz w:val="24"/>
          <w:szCs w:val="24"/>
        </w:rPr>
        <w:t xml:space="preserve">. Para </w:t>
      </w:r>
      <w:proofErr w:type="spellStart"/>
      <w:r>
        <w:rPr>
          <w:rFonts w:ascii="Times New Roman" w:eastAsia="Times New Roman" w:hAnsi="Times New Roman" w:cs="Times New Roman"/>
          <w:color w:val="000000"/>
          <w:sz w:val="24"/>
          <w:szCs w:val="24"/>
        </w:rPr>
        <w:t>perempuan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tersebut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dikenal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taat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beragama</w:t>
      </w:r>
      <w:proofErr w:type="spellEnd"/>
      <w:r>
        <w:rPr>
          <w:rFonts w:ascii="Times New Roman" w:eastAsia="Times New Roman" w:hAnsi="Times New Roman" w:cs="Times New Roman"/>
          <w:color w:val="000000"/>
          <w:sz w:val="24"/>
          <w:szCs w:val="24"/>
        </w:rPr>
        <w:t xml:space="preserve"> – </w:t>
      </w:r>
      <w:proofErr w:type="spellStart"/>
      <w:r>
        <w:rPr>
          <w:rFonts w:ascii="Times New Roman" w:eastAsia="Times New Roman" w:hAnsi="Times New Roman" w:cs="Times New Roman"/>
          <w:color w:val="000000"/>
          <w:sz w:val="24"/>
          <w:szCs w:val="24"/>
        </w:rPr>
        <w:t>terbukti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mereka</w:t>
      </w:r>
      <w:proofErr w:type="spellEnd"/>
      <w:r>
        <w:rPr>
          <w:rFonts w:ascii="Times New Roman" w:eastAsia="Times New Roman" w:hAnsi="Times New Roman" w:cs="Times New Roman"/>
          <w:color w:val="000000"/>
          <w:sz w:val="24"/>
          <w:szCs w:val="24"/>
        </w:rPr>
        <w:t xml:space="preserve"> rutin </w:t>
      </w:r>
      <w:proofErr w:type="spellStart"/>
      <w:r>
        <w:rPr>
          <w:rFonts w:ascii="Times New Roman" w:eastAsia="Times New Roman" w:hAnsi="Times New Roman" w:cs="Times New Roman"/>
          <w:color w:val="000000"/>
          <w:sz w:val="24"/>
          <w:szCs w:val="24"/>
        </w:rPr>
        <w:t>hadir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pengajian</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kompleks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perumahan</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aktif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berdiskusi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tentang</w:t>
      </w:r>
      <w:proofErr w:type="spellEnd"/>
      <w:r>
        <w:rPr>
          <w:rFonts w:ascii="Times New Roman" w:eastAsia="Times New Roman" w:hAnsi="Times New Roman" w:cs="Times New Roman"/>
          <w:color w:val="000000"/>
          <w:sz w:val="24"/>
          <w:szCs w:val="24"/>
        </w:rPr>
        <w:t xml:space="preserve"> agama. </w:t>
      </w:r>
      <w:proofErr w:type="spellStart"/>
      <w:r>
        <w:rPr>
          <w:rFonts w:ascii="Times New Roman" w:eastAsia="Times New Roman" w:hAnsi="Times New Roman" w:cs="Times New Roman"/>
          <w:color w:val="000000"/>
          <w:sz w:val="24"/>
          <w:szCs w:val="24"/>
        </w:rPr>
        <w:t>Kondisi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mendorong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bertanya-tanya</w:t>
      </w:r>
      <w:proofErr w:type="spellEnd"/>
      <w:r>
        <w:rPr>
          <w:rFonts w:ascii="Times New Roman" w:eastAsia="Times New Roman" w:hAnsi="Times New Roman" w:cs="Times New Roman"/>
          <w:color w:val="000000"/>
          <w:sz w:val="24"/>
          <w:szCs w:val="24"/>
        </w:rPr>
        <w:t>: “</w:t>
      </w:r>
      <w:proofErr w:type="spellStart"/>
      <w:r>
        <w:rPr>
          <w:rFonts w:ascii="Times New Roman" w:eastAsia="Times New Roman" w:hAnsi="Times New Roman" w:cs="Times New Roman"/>
          <w:color w:val="000000"/>
          <w:sz w:val="24"/>
          <w:szCs w:val="24"/>
        </w:rPr>
        <w:t>Mengapa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mereka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menikah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padahal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agama </w:t>
      </w:r>
      <w:proofErr w:type="spellStart"/>
      <w:r>
        <w:rPr>
          <w:rFonts w:ascii="Times New Roman" w:eastAsia="Times New Roman" w:hAnsi="Times New Roman" w:cs="Times New Roman"/>
          <w:color w:val="000000"/>
          <w:sz w:val="24"/>
          <w:szCs w:val="24"/>
        </w:rPr>
        <w:t>mereka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tergolong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taat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kemudian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menelusuri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lebih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memperoleh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informasi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bahwa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sebenarnya</w:t>
      </w:r>
      <w:proofErr w:type="spellEnd"/>
      <w:r>
        <w:rPr>
          <w:rFonts w:ascii="Times New Roman" w:eastAsia="Times New Roman" w:hAnsi="Times New Roman" w:cs="Times New Roman"/>
          <w:color w:val="000000"/>
          <w:sz w:val="24"/>
          <w:szCs w:val="24"/>
        </w:rPr>
        <w:t xml:space="preserve"> “para </w:t>
      </w:r>
      <w:proofErr w:type="spellStart"/>
      <w:r>
        <w:rPr>
          <w:rFonts w:ascii="Times New Roman" w:eastAsia="Times New Roman" w:hAnsi="Times New Roman" w:cs="Times New Roman"/>
          <w:color w:val="000000"/>
          <w:sz w:val="24"/>
          <w:szCs w:val="24"/>
        </w:rPr>
        <w:t>perempuan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tersebut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sudah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bersuami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namun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suaminya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tinggal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serumah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Informasi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awal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inilah</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menjadi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petunjuk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bagi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menghubungkan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fenomena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tren</w:t>
      </w:r>
      <w:proofErr w:type="spellEnd"/>
      <w:r>
        <w:rPr>
          <w:rFonts w:ascii="Times New Roman" w:eastAsia="Times New Roman" w:hAnsi="Times New Roman" w:cs="Times New Roman"/>
          <w:color w:val="000000"/>
          <w:sz w:val="24"/>
          <w:szCs w:val="24"/>
        </w:rPr>
        <w:t xml:space="preserve"> model </w:t>
      </w:r>
      <w:proofErr w:type="spellStart"/>
      <w:r>
        <w:rPr>
          <w:rFonts w:ascii="Times New Roman" w:eastAsia="Times New Roman" w:hAnsi="Times New Roman" w:cs="Times New Roman"/>
          <w:color w:val="000000"/>
          <w:sz w:val="24"/>
          <w:szCs w:val="24"/>
        </w:rPr>
        <w:t>perkawinan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abad</w:t>
      </w:r>
      <w:proofErr w:type="spellEnd"/>
      <w:r>
        <w:rPr>
          <w:rFonts w:ascii="Times New Roman" w:eastAsia="Times New Roman" w:hAnsi="Times New Roman" w:cs="Times New Roman"/>
          <w:color w:val="000000"/>
          <w:sz w:val="24"/>
          <w:szCs w:val="24"/>
        </w:rPr>
        <w:t xml:space="preserve"> modern. </w:t>
      </w:r>
      <w:proofErr w:type="spellStart"/>
      <w:r>
        <w:rPr>
          <w:rFonts w:ascii="Times New Roman" w:eastAsia="Times New Roman" w:hAnsi="Times New Roman" w:cs="Times New Roman"/>
          <w:color w:val="000000"/>
          <w:sz w:val="24"/>
          <w:szCs w:val="24"/>
        </w:rPr>
        <w:t>Hasilnya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menyimpulkan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bahwa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perkawinan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mereka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jalani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model </w:t>
      </w:r>
      <w:proofErr w:type="spellStart"/>
      <w:r>
        <w:rPr>
          <w:rFonts w:ascii="Times New Roman" w:eastAsia="Times New Roman" w:hAnsi="Times New Roman" w:cs="Times New Roman"/>
          <w:color w:val="000000"/>
          <w:sz w:val="24"/>
          <w:szCs w:val="24"/>
        </w:rPr>
        <w:t>kawin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misyar</w:t>
      </w:r>
      <w:proofErr w:type="spellEnd"/>
      <w:r>
        <w:rPr>
          <w:rFonts w:ascii="Times New Roman" w:eastAsia="Times New Roman" w:hAnsi="Times New Roman" w:cs="Times New Roman"/>
          <w:color w:val="000000"/>
          <w:sz w:val="24"/>
          <w:szCs w:val="24"/>
        </w:rPr>
        <w:t>.</w:t>
      </w:r>
    </w:p>
    <w:p w14:paraId="09D6B197" w14:textId="77777777" w:rsidR="000F6425" w:rsidRDefault="00000000">
      <w:pPr>
        <w:spacing w:after="12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Practice of </w:t>
      </w:r>
      <w:proofErr w:type="spellStart"/>
      <w:r>
        <w:rPr>
          <w:rFonts w:ascii="Times New Roman" w:eastAsia="Times New Roman" w:hAnsi="Times New Roman" w:cs="Times New Roman"/>
          <w:color w:val="000000"/>
          <w:sz w:val="24"/>
          <w:szCs w:val="24"/>
        </w:rPr>
        <w:t>Misyar</w:t>
      </w:r>
      <w:proofErr w:type="spellEnd"/>
      <w:r>
        <w:rPr>
          <w:rFonts w:ascii="Times New Roman" w:eastAsia="Times New Roman" w:hAnsi="Times New Roman" w:cs="Times New Roman"/>
          <w:color w:val="000000"/>
          <w:sz w:val="24"/>
          <w:szCs w:val="24"/>
        </w:rPr>
        <w:t xml:space="preserve"> Marriage in Surabaya, Indonesia: The city of Surabaya is one of the major cities in Indonesia where the practice of </w:t>
      </w:r>
      <w:proofErr w:type="spellStart"/>
      <w:r>
        <w:rPr>
          <w:rFonts w:ascii="Times New Roman" w:eastAsia="Times New Roman" w:hAnsi="Times New Roman" w:cs="Times New Roman"/>
          <w:color w:val="000000"/>
          <w:sz w:val="24"/>
          <w:szCs w:val="24"/>
        </w:rPr>
        <w:t>misyar</w:t>
      </w:r>
      <w:proofErr w:type="spellEnd"/>
      <w:r>
        <w:rPr>
          <w:rFonts w:ascii="Times New Roman" w:eastAsia="Times New Roman" w:hAnsi="Times New Roman" w:cs="Times New Roman"/>
          <w:color w:val="000000"/>
          <w:sz w:val="24"/>
          <w:szCs w:val="24"/>
        </w:rPr>
        <w:t xml:space="preserve"> has been observed. Researchers have noted that in several elite housing complexes in Surabaya, there are women (generally wealthy widows and some single women) who live alone in large houses, sometimes accompanied only by a domestic helper. Financially, they are well-off and actually ready to get married, but they do not seem interested in conventional marriage. These women are known to be religious—as evidenced by their regular attendance at religious lectures in the housing complex and their active participation in discussions about religion. This situation prompted researchers to ask: "Why don't they want to get married even though they are religiously devout?" The researchers then investigated further and discovered that "these women are actually married, but their husbands do not live with them." This initial information led the researchers to link this phenomenon to modern marriage trends. As a result, the researchers concluded that the marriages they were in were </w:t>
      </w:r>
      <w:proofErr w:type="spellStart"/>
      <w:r>
        <w:rPr>
          <w:rFonts w:ascii="Times New Roman" w:eastAsia="Times New Roman" w:hAnsi="Times New Roman" w:cs="Times New Roman"/>
          <w:color w:val="000000"/>
          <w:sz w:val="24"/>
          <w:szCs w:val="24"/>
        </w:rPr>
        <w:t>misyar</w:t>
      </w:r>
      <w:proofErr w:type="spellEnd"/>
      <w:r>
        <w:rPr>
          <w:rFonts w:ascii="Times New Roman" w:eastAsia="Times New Roman" w:hAnsi="Times New Roman" w:cs="Times New Roman"/>
          <w:color w:val="000000"/>
          <w:sz w:val="24"/>
          <w:szCs w:val="24"/>
        </w:rPr>
        <w:t xml:space="preserve"> marriages.</w:t>
      </w:r>
    </w:p>
    <w:p w14:paraId="0C67AA7A" w14:textId="77777777" w:rsidR="000F6425" w:rsidRDefault="00000000">
      <w:pPr>
        <w:spacing w:after="120" w:line="240" w:lineRule="auto"/>
        <w:ind w:firstLine="567"/>
        <w:jc w:val="both"/>
        <w:rPr>
          <w:rFonts w:ascii="Times New Roman" w:eastAsia="Times New Roman" w:hAnsi="Times New Roman" w:cs="Times New Roman"/>
          <w:color w:val="000000"/>
          <w:sz w:val="24"/>
          <w:szCs w:val="24"/>
          <w:lang w:val="zh-CN"/>
        </w:rPr>
      </w:pPr>
      <w:r>
        <w:rPr>
          <w:rFonts w:ascii="Times New Roman" w:eastAsia="Times New Roman" w:hAnsi="Times New Roman" w:cs="Times New Roman"/>
          <w:color w:val="000000"/>
          <w:sz w:val="24"/>
          <w:szCs w:val="24"/>
          <w:lang w:val="zh-CN"/>
        </w:rPr>
        <w:t xml:space="preserve">The misyar marriage model in Indonesia is generally determined by the woman, with the man acting as </w:t>
      </w:r>
      <w:r>
        <w:rPr>
          <w:rFonts w:ascii="Times New Roman" w:eastAsia="Times New Roman" w:hAnsi="Times New Roman" w:cs="Times New Roman"/>
          <w:i/>
          <w:iCs/>
          <w:color w:val="000000"/>
          <w:sz w:val="24"/>
          <w:szCs w:val="24"/>
          <w:lang w:val="zh-CN"/>
        </w:rPr>
        <w:t xml:space="preserve">a "puppet" </w:t>
      </w:r>
      <w:r>
        <w:rPr>
          <w:rFonts w:ascii="Times New Roman" w:eastAsia="Times New Roman" w:hAnsi="Times New Roman" w:cs="Times New Roman"/>
          <w:color w:val="000000"/>
          <w:sz w:val="24"/>
          <w:szCs w:val="24"/>
          <w:lang w:val="zh-CN"/>
        </w:rPr>
        <w:t xml:space="preserve">who can be taken anywhere according to his wife's wishes. There are various ways of meeting; some are through the media or friends, while others search for themselves directly. One example was revealed by Lela, a misyar practitioner: women who want to enter into a misyar marriage usually seek information from friends or the media about the man they will choose. The criteria for the man they seek are generally that he is handsome and younger. After finding a suitable candidate, the woman will contact the man and look for </w:t>
      </w:r>
      <w:r>
        <w:rPr>
          <w:rFonts w:ascii="Times New Roman" w:eastAsia="Times New Roman" w:hAnsi="Times New Roman" w:cs="Times New Roman"/>
          <w:i/>
          <w:iCs/>
          <w:color w:val="000000"/>
          <w:sz w:val="24"/>
          <w:szCs w:val="24"/>
          <w:lang w:val="zh-CN"/>
        </w:rPr>
        <w:t xml:space="preserve">a mudin </w:t>
      </w:r>
      <w:r>
        <w:rPr>
          <w:rFonts w:ascii="Times New Roman" w:eastAsia="Times New Roman" w:hAnsi="Times New Roman" w:cs="Times New Roman"/>
          <w:color w:val="000000"/>
          <w:sz w:val="24"/>
          <w:szCs w:val="24"/>
          <w:lang w:val="zh-CN"/>
        </w:rPr>
        <w:t xml:space="preserve">(religious leader) who is willing to marry them. According to Lela, the misyar marriage process involves very few people: just the bride and groom, two witnesses, and a </w:t>
      </w:r>
      <w:r>
        <w:rPr>
          <w:rFonts w:ascii="Times New Roman" w:eastAsia="Times New Roman" w:hAnsi="Times New Roman" w:cs="Times New Roman"/>
          <w:i/>
          <w:iCs/>
          <w:color w:val="000000"/>
          <w:sz w:val="24"/>
          <w:szCs w:val="24"/>
          <w:lang w:val="zh-CN"/>
        </w:rPr>
        <w:t xml:space="preserve">mudin </w:t>
      </w:r>
      <w:r>
        <w:rPr>
          <w:rFonts w:ascii="Times New Roman" w:eastAsia="Times New Roman" w:hAnsi="Times New Roman" w:cs="Times New Roman"/>
          <w:color w:val="000000"/>
          <w:sz w:val="24"/>
          <w:szCs w:val="24"/>
          <w:lang w:val="zh-CN"/>
        </w:rPr>
        <w:t>to officiate the ceremony.</w:t>
      </w:r>
      <w:r>
        <w:rPr>
          <w:rStyle w:val="FootnoteReference"/>
          <w:rFonts w:ascii="Times New Roman" w:eastAsia="Times New Roman" w:hAnsi="Times New Roman"/>
          <w:color w:val="000000"/>
          <w:sz w:val="24"/>
          <w:szCs w:val="24"/>
          <w:lang w:val="zh-CN"/>
        </w:rPr>
        <w:footnoteReference w:id="29"/>
      </w:r>
      <w:r>
        <w:rPr>
          <w:rFonts w:ascii="Times New Roman" w:eastAsia="Times New Roman" w:hAnsi="Times New Roman" w:cs="Times New Roman"/>
          <w:color w:val="000000"/>
          <w:sz w:val="24"/>
          <w:szCs w:val="24"/>
          <w:lang w:val="zh-CN"/>
        </w:rPr>
        <w:t xml:space="preserve"> The misyar marriage process that Lela underwent is common among career women in big cities because it is simple, secretive, and does not involve many family members.</w:t>
      </w:r>
    </w:p>
    <w:p w14:paraId="0003BBC7" w14:textId="77777777" w:rsidR="000F6425" w:rsidRDefault="00000000">
      <w:pPr>
        <w:spacing w:after="120" w:line="240" w:lineRule="auto"/>
        <w:ind w:firstLine="567"/>
        <w:jc w:val="both"/>
        <w:rPr>
          <w:rFonts w:ascii="Times New Roman" w:eastAsia="Times New Roman" w:hAnsi="Times New Roman" w:cs="Times New Roman"/>
          <w:color w:val="000000"/>
          <w:sz w:val="24"/>
          <w:szCs w:val="24"/>
          <w:lang w:val="zh-CN"/>
        </w:rPr>
      </w:pPr>
      <w:r>
        <w:rPr>
          <w:rFonts w:ascii="Times New Roman" w:eastAsia="Times New Roman" w:hAnsi="Times New Roman" w:cs="Times New Roman"/>
          <w:color w:val="000000"/>
          <w:sz w:val="24"/>
          <w:szCs w:val="24"/>
          <w:lang w:val="zh-CN"/>
        </w:rPr>
        <w:t>Unlike Lela, Suti underwent misyar marriage in her own way. According to her, before undergoing misyar, she deliberately sought out a foreign man who was visiting Indonesia, until she finally found a tall, elderly Arab man. They underwent misyar marriage and the relationship produced two daughters, before they eventually separated. Suti's case shows that in some situations, misyar in Indonesia can continue to the point of having children, even though the couple eventually separates as initially agreed.</w:t>
      </w:r>
    </w:p>
    <w:p w14:paraId="2A477046" w14:textId="77777777" w:rsidR="000F6425" w:rsidRDefault="00000000">
      <w:pPr>
        <w:spacing w:after="120" w:line="240" w:lineRule="auto"/>
        <w:ind w:firstLine="567"/>
        <w:jc w:val="both"/>
        <w:rPr>
          <w:rFonts w:ascii="Times New Roman" w:eastAsia="Times New Roman" w:hAnsi="Times New Roman" w:cs="Times New Roman"/>
          <w:color w:val="000000"/>
          <w:sz w:val="24"/>
          <w:szCs w:val="24"/>
          <w:lang w:val="zh-CN"/>
        </w:rPr>
      </w:pPr>
      <w:r>
        <w:rPr>
          <w:rFonts w:ascii="Times New Roman" w:eastAsia="Times New Roman" w:hAnsi="Times New Roman" w:cs="Times New Roman"/>
          <w:color w:val="000000"/>
          <w:sz w:val="24"/>
          <w:szCs w:val="24"/>
          <w:lang w:val="zh-CN"/>
        </w:rPr>
        <w:t xml:space="preserve">In general, there are several differences between the practice of misyar marriage in Indonesia and in the Middle East. These differences mainly relate to the intentions of the parties involved, the process of selecting a husband, the marriage procedure, the duration/period of the marriage, and the guardian who performs the marriage. In the Middle East, marriages are usually officiated by a guardian of the bloodline (the father/relative of the bride), while in Indonesia, misyar marriages are often officiated by a </w:t>
      </w:r>
      <w:r>
        <w:rPr>
          <w:rFonts w:ascii="Times New Roman" w:eastAsia="Times New Roman" w:hAnsi="Times New Roman" w:cs="Times New Roman"/>
          <w:i/>
          <w:iCs/>
          <w:color w:val="000000"/>
          <w:sz w:val="24"/>
          <w:szCs w:val="24"/>
          <w:lang w:val="zh-CN"/>
        </w:rPr>
        <w:t xml:space="preserve">mudin </w:t>
      </w:r>
      <w:r>
        <w:rPr>
          <w:rFonts w:ascii="Times New Roman" w:eastAsia="Times New Roman" w:hAnsi="Times New Roman" w:cs="Times New Roman"/>
          <w:color w:val="000000"/>
          <w:sz w:val="24"/>
          <w:szCs w:val="24"/>
          <w:lang w:val="zh-CN"/>
        </w:rPr>
        <w:t xml:space="preserve">or informal religious leader. In addition, in Indonesia, some misyar participants (such as Rika in the Pasuruan case) even chose to formalize their misyar marriage by registering it with the KUA after feeling compatible with their partner. This shows a tendency that misyar in Indonesia can be a kind of </w:t>
      </w:r>
      <w:r>
        <w:rPr>
          <w:rFonts w:ascii="Times New Roman" w:eastAsia="Times New Roman" w:hAnsi="Times New Roman" w:cs="Times New Roman"/>
          <w:i/>
          <w:iCs/>
          <w:color w:val="000000"/>
          <w:sz w:val="24"/>
          <w:szCs w:val="24"/>
          <w:lang w:val="zh-CN"/>
        </w:rPr>
        <w:t xml:space="preserve">"trial" </w:t>
      </w:r>
      <w:r>
        <w:rPr>
          <w:rFonts w:ascii="Times New Roman" w:eastAsia="Times New Roman" w:hAnsi="Times New Roman" w:cs="Times New Roman"/>
          <w:color w:val="000000"/>
          <w:sz w:val="24"/>
          <w:szCs w:val="24"/>
          <w:lang w:val="zh-CN"/>
        </w:rPr>
        <w:t>before formal marriage, while in the Middle East, misyar is seen more as a long-term solution without the intention of formalizing the relationship.</w:t>
      </w:r>
    </w:p>
    <w:p w14:paraId="11AB0301" w14:textId="77777777" w:rsidR="000F6425" w:rsidRDefault="00000000">
      <w:pPr>
        <w:spacing w:before="120" w:after="12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Motives of Socialite Women Choosing the </w:t>
      </w:r>
      <w:proofErr w:type="spellStart"/>
      <w:r>
        <w:rPr>
          <w:rFonts w:ascii="Times New Roman" w:eastAsia="Times New Roman" w:hAnsi="Times New Roman" w:cs="Times New Roman"/>
          <w:b/>
          <w:bCs/>
          <w:color w:val="000000"/>
          <w:sz w:val="24"/>
          <w:szCs w:val="24"/>
        </w:rPr>
        <w:t>Misyar</w:t>
      </w:r>
      <w:proofErr w:type="spellEnd"/>
      <w:r>
        <w:rPr>
          <w:rFonts w:ascii="Times New Roman" w:eastAsia="Times New Roman" w:hAnsi="Times New Roman" w:cs="Times New Roman"/>
          <w:b/>
          <w:bCs/>
          <w:color w:val="000000"/>
          <w:sz w:val="24"/>
          <w:szCs w:val="24"/>
        </w:rPr>
        <w:t xml:space="preserve"> Marriage Model</w:t>
      </w:r>
    </w:p>
    <w:p w14:paraId="689EE8EF" w14:textId="77777777" w:rsidR="000F6425" w:rsidRDefault="00000000">
      <w:pPr>
        <w:spacing w:after="120" w:line="240" w:lineRule="auto"/>
        <w:ind w:firstLine="567"/>
        <w:jc w:val="both"/>
        <w:rPr>
          <w:rFonts w:ascii="Times New Roman" w:eastAsia="Times New Roman" w:hAnsi="Times New Roman" w:cs="Times New Roman"/>
          <w:color w:val="000000"/>
          <w:sz w:val="24"/>
          <w:szCs w:val="24"/>
          <w:lang w:val="zh-CN"/>
        </w:rPr>
      </w:pPr>
      <w:r>
        <w:rPr>
          <w:rFonts w:ascii="Times New Roman" w:eastAsia="Times New Roman" w:hAnsi="Times New Roman" w:cs="Times New Roman"/>
          <w:color w:val="000000"/>
          <w:sz w:val="24"/>
          <w:szCs w:val="24"/>
          <w:lang w:val="zh-CN"/>
        </w:rPr>
        <w:t>The reasons behind socialite women choosing the misyar marriage model vary. Based on field data collected by researchers, at least seven main motives have been identified:</w:t>
      </w:r>
    </w:p>
    <w:p w14:paraId="335AF76C" w14:textId="77777777" w:rsidR="000F6425" w:rsidRDefault="00000000">
      <w:pPr>
        <w:spacing w:after="120" w:line="240" w:lineRule="auto"/>
        <w:ind w:firstLine="567"/>
        <w:jc w:val="both"/>
        <w:rPr>
          <w:rFonts w:ascii="Times New Roman" w:eastAsia="Times New Roman" w:hAnsi="Times New Roman" w:cs="Times New Roman"/>
          <w:color w:val="000000"/>
          <w:sz w:val="24"/>
          <w:szCs w:val="24"/>
          <w:lang w:val="zh-CN"/>
        </w:rPr>
      </w:pPr>
      <w:r>
        <w:rPr>
          <w:rFonts w:ascii="Times New Roman" w:eastAsia="Times New Roman" w:hAnsi="Times New Roman" w:cs="Times New Roman"/>
          <w:b/>
          <w:bCs/>
          <w:color w:val="000000"/>
          <w:sz w:val="24"/>
          <w:szCs w:val="24"/>
          <w:lang w:val="zh-CN"/>
        </w:rPr>
        <w:t xml:space="preserve">First, freedom from the husband's hegemony. </w:t>
      </w:r>
      <w:r>
        <w:rPr>
          <w:rFonts w:ascii="Times New Roman" w:eastAsia="Times New Roman" w:hAnsi="Times New Roman" w:cs="Times New Roman"/>
          <w:color w:val="000000"/>
          <w:sz w:val="24"/>
          <w:szCs w:val="24"/>
          <w:lang w:val="zh-CN"/>
        </w:rPr>
        <w:t xml:space="preserve">Many wealthy career women choose misyar marriage to avoid the husband's dominance in domestic life. </w:t>
      </w:r>
      <w:r>
        <w:rPr>
          <w:rFonts w:ascii="Times New Roman" w:eastAsia="Times New Roman" w:hAnsi="Times New Roman" w:cs="Times New Roman"/>
          <w:b/>
          <w:bCs/>
          <w:color w:val="000000"/>
          <w:sz w:val="24"/>
          <w:szCs w:val="24"/>
          <w:lang w:val="zh-CN"/>
        </w:rPr>
        <w:t>Mimi</w:t>
      </w:r>
      <w:r>
        <w:rPr>
          <w:rFonts w:ascii="Times New Roman" w:eastAsia="Times New Roman" w:hAnsi="Times New Roman" w:cs="Times New Roman"/>
          <w:color w:val="000000"/>
          <w:sz w:val="24"/>
          <w:szCs w:val="24"/>
          <w:lang w:val="zh-CN"/>
        </w:rPr>
        <w:t xml:space="preserve">, a successful </w:t>
      </w:r>
      <w:r>
        <w:rPr>
          <w:rFonts w:ascii="Times New Roman" w:eastAsia="Times New Roman" w:hAnsi="Times New Roman" w:cs="Times New Roman"/>
          <w:i/>
          <w:iCs/>
          <w:color w:val="000000"/>
          <w:sz w:val="24"/>
          <w:szCs w:val="24"/>
          <w:lang w:val="zh-CN"/>
        </w:rPr>
        <w:t xml:space="preserve">single mother </w:t>
      </w:r>
      <w:r>
        <w:rPr>
          <w:rFonts w:ascii="Times New Roman" w:eastAsia="Times New Roman" w:hAnsi="Times New Roman" w:cs="Times New Roman"/>
          <w:color w:val="000000"/>
          <w:sz w:val="24"/>
          <w:szCs w:val="24"/>
          <w:lang w:val="zh-CN"/>
        </w:rPr>
        <w:t>in Surabaya, admits that the misyar marriage procession is simple and not as complicated as a normal marriage, making it suitable as a means of fulfilling biological needs without burdensome ties. The main factor that prompted her to enter into misyar was simply to find warmth, as economic aspects were no longer an important consideration for her</w:t>
      </w:r>
      <w:r>
        <w:rPr>
          <w:rFonts w:ascii="Times New Roman" w:eastAsia="Times New Roman" w:hAnsi="Times New Roman" w:cs="Times New Roman"/>
          <w:color w:val="000000"/>
          <w:sz w:val="24"/>
          <w:szCs w:val="24"/>
        </w:rPr>
        <w:t>.</w:t>
      </w:r>
      <w:r>
        <w:rPr>
          <w:rStyle w:val="FootnoteReference"/>
          <w:rFonts w:ascii="Times New Roman" w:eastAsia="Times New Roman" w:hAnsi="Times New Roman"/>
          <w:color w:val="000000"/>
          <w:sz w:val="24"/>
          <w:szCs w:val="24"/>
          <w:lang w:val="zh-CN"/>
        </w:rPr>
        <w:footnoteReference w:id="30"/>
      </w:r>
      <w:r>
        <w:rPr>
          <w:rFonts w:ascii="Times New Roman" w:eastAsia="Times New Roman" w:hAnsi="Times New Roman" w:cs="Times New Roman"/>
          <w:color w:val="000000"/>
          <w:sz w:val="24"/>
          <w:szCs w:val="24"/>
          <w:lang w:val="zh-CN"/>
        </w:rPr>
        <w:t xml:space="preserve"> According to Mimi, with misyar marriage, wives can be free from the hegemony of their husbands; wives do not have to live together or constantly obey their husbands. Titin, an Arab woman in Surabaya who also entered into misyar marriage, expressed a similar sentiment. She said that in a misyar family, the wife is responsible for the family's livelihood, so she becomes the head of the household and the husband is in a position like </w:t>
      </w:r>
      <w:r>
        <w:rPr>
          <w:rFonts w:ascii="Times New Roman" w:eastAsia="Times New Roman" w:hAnsi="Times New Roman" w:cs="Times New Roman"/>
          <w:i/>
          <w:iCs/>
          <w:color w:val="000000"/>
          <w:sz w:val="24"/>
          <w:szCs w:val="24"/>
          <w:lang w:val="zh-CN"/>
        </w:rPr>
        <w:t xml:space="preserve">a "subordinate" </w:t>
      </w:r>
      <w:r>
        <w:rPr>
          <w:rFonts w:ascii="Times New Roman" w:eastAsia="Times New Roman" w:hAnsi="Times New Roman" w:cs="Times New Roman"/>
          <w:color w:val="000000"/>
          <w:sz w:val="24"/>
          <w:szCs w:val="24"/>
          <w:lang w:val="zh-CN"/>
        </w:rPr>
        <w:t>who has no authority to command his wife. For Titin, this model helps her live her life with more enthusiasm because she can feel the warmth of a husband-wife relationship, but on the other hand, there is no husband who binds or controls her daily life.</w:t>
      </w:r>
      <w:r>
        <w:rPr>
          <w:rStyle w:val="FootnoteReference"/>
          <w:rFonts w:ascii="Times New Roman" w:eastAsia="Times New Roman" w:hAnsi="Times New Roman"/>
          <w:color w:val="000000"/>
          <w:sz w:val="24"/>
          <w:szCs w:val="24"/>
          <w:lang w:val="zh-CN"/>
        </w:rPr>
        <w:footnoteReference w:id="31"/>
      </w:r>
      <w:r>
        <w:rPr>
          <w:rFonts w:ascii="Times New Roman" w:eastAsia="Times New Roman" w:hAnsi="Times New Roman" w:cs="Times New Roman"/>
          <w:color w:val="000000"/>
          <w:sz w:val="24"/>
          <w:szCs w:val="24"/>
          <w:lang w:val="zh-CN"/>
        </w:rPr>
        <w:t xml:space="preserve"> The cases of Mimi and Titin illustrate emancipatory motivations: misyar is chosen as a way for women to enjoy companionship and intimate relationships without losing their independence and autonomy in life.</w:t>
      </w:r>
    </w:p>
    <w:p w14:paraId="43D2BD41" w14:textId="77777777" w:rsidR="000F6425" w:rsidRDefault="00000000">
      <w:pPr>
        <w:spacing w:after="120" w:line="240" w:lineRule="auto"/>
        <w:ind w:firstLine="567"/>
        <w:jc w:val="both"/>
        <w:rPr>
          <w:rFonts w:ascii="Times New Roman" w:eastAsia="Times New Roman" w:hAnsi="Times New Roman" w:cs="Times New Roman"/>
          <w:color w:val="000000"/>
          <w:sz w:val="24"/>
          <w:szCs w:val="24"/>
          <w:lang w:val="zh-CN"/>
        </w:rPr>
      </w:pPr>
      <w:r>
        <w:rPr>
          <w:rFonts w:ascii="Times New Roman" w:eastAsia="Times New Roman" w:hAnsi="Times New Roman" w:cs="Times New Roman"/>
          <w:b/>
          <w:bCs/>
          <w:color w:val="000000"/>
          <w:sz w:val="24"/>
          <w:szCs w:val="24"/>
          <w:lang w:val="zh-CN"/>
        </w:rPr>
        <w:t xml:space="preserve">Second, the similarity to kawin sirri (unregistered marriage). </w:t>
      </w:r>
      <w:r>
        <w:rPr>
          <w:rFonts w:ascii="Times New Roman" w:eastAsia="Times New Roman" w:hAnsi="Times New Roman" w:cs="Times New Roman"/>
          <w:color w:val="000000"/>
          <w:sz w:val="24"/>
          <w:szCs w:val="24"/>
          <w:lang w:val="zh-CN"/>
        </w:rPr>
        <w:t xml:space="preserve">Some socialite women are attracted to misyar because its status is not recorded by state institutions, similar to nikah </w:t>
      </w:r>
      <w:r>
        <w:rPr>
          <w:rFonts w:ascii="Times New Roman" w:eastAsia="Times New Roman" w:hAnsi="Times New Roman" w:cs="Times New Roman"/>
          <w:i/>
          <w:iCs/>
          <w:color w:val="000000"/>
          <w:sz w:val="24"/>
          <w:szCs w:val="24"/>
          <w:lang w:val="zh-CN"/>
        </w:rPr>
        <w:t>sirri</w:t>
      </w:r>
      <w:r>
        <w:rPr>
          <w:rFonts w:ascii="Times New Roman" w:eastAsia="Times New Roman" w:hAnsi="Times New Roman" w:cs="Times New Roman"/>
          <w:color w:val="000000"/>
          <w:sz w:val="24"/>
          <w:szCs w:val="24"/>
          <w:lang w:val="zh-CN"/>
        </w:rPr>
        <w:t xml:space="preserve">. </w:t>
      </w:r>
      <w:r>
        <w:rPr>
          <w:rFonts w:ascii="Times New Roman" w:eastAsia="Times New Roman" w:hAnsi="Times New Roman" w:cs="Times New Roman"/>
          <w:b/>
          <w:bCs/>
          <w:color w:val="000000"/>
          <w:sz w:val="24"/>
          <w:szCs w:val="24"/>
          <w:lang w:val="zh-CN"/>
        </w:rPr>
        <w:t>Mahra</w:t>
      </w:r>
      <w:r>
        <w:rPr>
          <w:rFonts w:ascii="Times New Roman" w:eastAsia="Times New Roman" w:hAnsi="Times New Roman" w:cs="Times New Roman"/>
          <w:color w:val="000000"/>
          <w:sz w:val="24"/>
          <w:szCs w:val="24"/>
          <w:lang w:val="zh-CN"/>
        </w:rPr>
        <w:t>, a woman from Jeddah, said that her misyar marriage was not registered with any official state agency.</w:t>
      </w:r>
      <w:r>
        <w:rPr>
          <w:rStyle w:val="FootnoteReference"/>
          <w:rFonts w:ascii="Times New Roman" w:eastAsia="Times New Roman" w:hAnsi="Times New Roman"/>
          <w:color w:val="000000"/>
          <w:sz w:val="24"/>
          <w:szCs w:val="24"/>
          <w:lang w:val="zh-CN"/>
        </w:rPr>
        <w:footnoteReference w:id="32"/>
      </w:r>
      <w:r>
        <w:rPr>
          <w:rFonts w:ascii="Times New Roman" w:eastAsia="Times New Roman" w:hAnsi="Times New Roman" w:cs="Times New Roman"/>
          <w:color w:val="000000"/>
          <w:sz w:val="24"/>
          <w:szCs w:val="24"/>
          <w:lang w:val="zh-CN"/>
        </w:rPr>
        <w:t xml:space="preserve"> Similarly, </w:t>
      </w:r>
      <w:r>
        <w:rPr>
          <w:rFonts w:ascii="Times New Roman" w:eastAsia="Times New Roman" w:hAnsi="Times New Roman" w:cs="Times New Roman"/>
          <w:b/>
          <w:bCs/>
          <w:color w:val="000000"/>
          <w:sz w:val="24"/>
          <w:szCs w:val="24"/>
          <w:lang w:val="zh-CN"/>
        </w:rPr>
        <w:t xml:space="preserve">Ira, </w:t>
      </w:r>
      <w:r>
        <w:rPr>
          <w:rFonts w:ascii="Times New Roman" w:eastAsia="Times New Roman" w:hAnsi="Times New Roman" w:cs="Times New Roman"/>
          <w:color w:val="000000"/>
          <w:sz w:val="24"/>
          <w:szCs w:val="24"/>
          <w:lang w:val="zh-CN"/>
        </w:rPr>
        <w:t xml:space="preserve">a wealthy widow in Surabaya, admitted that she entered into a misyar marriage partly because this practice is similar to a secret marriage, where the marriage is not registered, thus providing more privacy. Ira, who owns a gold shop, initially tried misyar just for </w:t>
      </w:r>
      <w:r>
        <w:rPr>
          <w:rFonts w:ascii="Times New Roman" w:eastAsia="Times New Roman" w:hAnsi="Times New Roman" w:cs="Times New Roman"/>
          <w:i/>
          <w:iCs/>
          <w:color w:val="000000"/>
          <w:sz w:val="24"/>
          <w:szCs w:val="24"/>
          <w:lang w:val="zh-CN"/>
        </w:rPr>
        <w:t xml:space="preserve">fun, </w:t>
      </w:r>
      <w:r>
        <w:rPr>
          <w:rFonts w:ascii="Times New Roman" w:eastAsia="Times New Roman" w:hAnsi="Times New Roman" w:cs="Times New Roman"/>
          <w:color w:val="000000"/>
          <w:sz w:val="24"/>
          <w:szCs w:val="24"/>
          <w:lang w:val="zh-CN"/>
        </w:rPr>
        <w:t>but eventually became addicted to this model because she felt more at ease without having to share a house with her husband</w:t>
      </w:r>
      <w:r>
        <w:rPr>
          <w:rFonts w:ascii="Times New Roman" w:eastAsia="Times New Roman" w:hAnsi="Times New Roman" w:cs="Times New Roman"/>
          <w:color w:val="000000"/>
          <w:sz w:val="24"/>
          <w:szCs w:val="24"/>
        </w:rPr>
        <w:t>.</w:t>
      </w:r>
      <w:r>
        <w:rPr>
          <w:rStyle w:val="FootnoteReference"/>
          <w:rFonts w:ascii="Times New Roman" w:eastAsia="Times New Roman" w:hAnsi="Times New Roman"/>
          <w:color w:val="000000"/>
          <w:sz w:val="24"/>
          <w:szCs w:val="24"/>
          <w:lang w:val="zh-CN"/>
        </w:rPr>
        <w:footnoteReference w:id="33"/>
      </w:r>
      <w:r>
        <w:rPr>
          <w:rFonts w:ascii="Times New Roman" w:eastAsia="Times New Roman" w:hAnsi="Times New Roman" w:cs="Times New Roman"/>
          <w:color w:val="000000"/>
          <w:sz w:val="24"/>
          <w:szCs w:val="24"/>
          <w:lang w:val="zh-CN"/>
        </w:rPr>
        <w:t xml:space="preserve"> According to Ira, with misyar she does not have to bother with daily household chores or worry about family conflicts involving children, because her husband does not live with her. She calls her husband only when she needs his presence to get </w:t>
      </w:r>
      <w:r>
        <w:rPr>
          <w:rFonts w:ascii="Times New Roman" w:eastAsia="Times New Roman" w:hAnsi="Times New Roman" w:cs="Times New Roman"/>
          <w:i/>
          <w:iCs/>
          <w:color w:val="000000"/>
          <w:sz w:val="24"/>
          <w:szCs w:val="24"/>
          <w:lang w:val="zh-CN"/>
        </w:rPr>
        <w:t xml:space="preserve">"affection" </w:t>
      </w:r>
      <w:r>
        <w:rPr>
          <w:rFonts w:ascii="Times New Roman" w:eastAsia="Times New Roman" w:hAnsi="Times New Roman" w:cs="Times New Roman"/>
          <w:color w:val="000000"/>
          <w:sz w:val="24"/>
          <w:szCs w:val="24"/>
          <w:lang w:val="zh-CN"/>
        </w:rPr>
        <w:t>and nothing more. This model gives her freedom and saves her from the hassle of taking care of a husband as in a conventional marriage. She even hinted that she had entered into this type of marriage more than once in her life, although she was reluctant to specify the exact number. The reason for this "secret marriage" shows that some women feel that misyar marriage offers the advantage of a husband-wife relationship without bureaucratic involvement or interference from extended family, making it easier to end the relationship in the future.</w:t>
      </w:r>
    </w:p>
    <w:p w14:paraId="06B34A59" w14:textId="77777777" w:rsidR="000F6425" w:rsidRDefault="00000000">
      <w:pPr>
        <w:spacing w:after="120" w:line="240" w:lineRule="auto"/>
        <w:ind w:firstLine="567"/>
        <w:jc w:val="both"/>
        <w:rPr>
          <w:rFonts w:ascii="Times New Roman" w:eastAsia="Times New Roman" w:hAnsi="Times New Roman" w:cs="Times New Roman"/>
          <w:color w:val="000000"/>
          <w:sz w:val="24"/>
          <w:szCs w:val="24"/>
          <w:lang w:val="zh-CN"/>
        </w:rPr>
      </w:pPr>
      <w:r>
        <w:rPr>
          <w:rFonts w:ascii="Times New Roman" w:eastAsia="Times New Roman" w:hAnsi="Times New Roman" w:cs="Times New Roman"/>
          <w:b/>
          <w:bCs/>
          <w:color w:val="000000"/>
          <w:sz w:val="24"/>
          <w:szCs w:val="24"/>
          <w:lang w:val="zh-CN"/>
        </w:rPr>
        <w:t xml:space="preserve">Third, the ease of divorce. </w:t>
      </w:r>
      <w:r>
        <w:rPr>
          <w:rFonts w:ascii="Times New Roman" w:eastAsia="Times New Roman" w:hAnsi="Times New Roman" w:cs="Times New Roman"/>
          <w:color w:val="000000"/>
          <w:sz w:val="24"/>
          <w:szCs w:val="24"/>
          <w:lang w:val="zh-CN"/>
        </w:rPr>
        <w:t xml:space="preserve">One of the attractions of misyar for those who practice it is the ease of ending the marriage because it is not bound by formal legal procedures. </w:t>
      </w:r>
      <w:r>
        <w:rPr>
          <w:rFonts w:ascii="Times New Roman" w:eastAsia="Times New Roman" w:hAnsi="Times New Roman" w:cs="Times New Roman"/>
          <w:b/>
          <w:bCs/>
          <w:color w:val="000000"/>
          <w:sz w:val="24"/>
          <w:szCs w:val="24"/>
          <w:lang w:val="zh-CN"/>
        </w:rPr>
        <w:t xml:space="preserve">Susi, </w:t>
      </w:r>
      <w:r>
        <w:rPr>
          <w:rFonts w:ascii="Times New Roman" w:eastAsia="Times New Roman" w:hAnsi="Times New Roman" w:cs="Times New Roman"/>
          <w:color w:val="000000"/>
          <w:sz w:val="24"/>
          <w:szCs w:val="24"/>
          <w:lang w:val="zh-CN"/>
        </w:rPr>
        <w:t>a successful woman in Surabaya who had never been married before, stated that she chose misyar marriage because it is not registered with the Office of Religious Affairs (KUA), so if she divorces, the process is not too difficult and can be settled between the two parties without involving the court.</w:t>
      </w:r>
      <w:r>
        <w:rPr>
          <w:rStyle w:val="FootnoteReference"/>
          <w:rFonts w:ascii="Times New Roman" w:eastAsia="Times New Roman" w:hAnsi="Times New Roman"/>
          <w:color w:val="000000"/>
          <w:sz w:val="24"/>
          <w:szCs w:val="24"/>
          <w:lang w:val="zh-CN"/>
        </w:rPr>
        <w:footnoteReference w:id="34"/>
      </w:r>
      <w:r>
        <w:rPr>
          <w:rFonts w:ascii="Times New Roman" w:eastAsia="Times New Roman" w:hAnsi="Times New Roman" w:cs="Times New Roman"/>
          <w:color w:val="000000"/>
          <w:sz w:val="24"/>
          <w:szCs w:val="24"/>
          <w:lang w:val="zh-CN"/>
        </w:rPr>
        <w:t xml:space="preserve"> Susi lives alone in an elite housing complex accompanied by a maid, and her husband does indeed reside outside the city. Whenever she needs her husband's presence, she simply calls him and they meet at an agreed location. Similar to Susi, Mrs. Mumun, a wealthy widow in Surabaya nicknamed the "Queen of Boarding Houses," admits to having entered into misyar marriages multiple times. She says she likes the misyar model because the marriage and especially divorce processes in misyar are very easy and practical—there is no need for divorce proceedings, no need for a formal division of property, everything can be settled amicably. For women like Susi and Mumun, the ease of "getting out" of a misyar relationship is an important factor in why they engage in it.</w:t>
      </w:r>
      <w:r>
        <w:rPr>
          <w:rStyle w:val="FootnoteReference"/>
          <w:rFonts w:ascii="Times New Roman" w:eastAsia="Times New Roman" w:hAnsi="Times New Roman"/>
          <w:color w:val="000000"/>
          <w:sz w:val="24"/>
          <w:szCs w:val="24"/>
          <w:lang w:val="zh-CN"/>
        </w:rPr>
        <w:footnoteReference w:id="35"/>
      </w:r>
    </w:p>
    <w:p w14:paraId="2737E2BE" w14:textId="77777777" w:rsidR="000F6425" w:rsidRDefault="00000000">
      <w:pPr>
        <w:spacing w:after="120" w:line="240" w:lineRule="auto"/>
        <w:ind w:firstLine="567"/>
        <w:jc w:val="both"/>
        <w:rPr>
          <w:rFonts w:ascii="Times New Roman" w:eastAsia="Times New Roman" w:hAnsi="Times New Roman" w:cs="Times New Roman"/>
          <w:color w:val="000000"/>
          <w:sz w:val="24"/>
          <w:szCs w:val="24"/>
          <w:lang w:val="zh-CN"/>
        </w:rPr>
      </w:pPr>
      <w:r>
        <w:rPr>
          <w:rFonts w:ascii="Times New Roman" w:eastAsia="Times New Roman" w:hAnsi="Times New Roman" w:cs="Times New Roman"/>
          <w:b/>
          <w:bCs/>
          <w:color w:val="000000"/>
          <w:sz w:val="24"/>
          <w:szCs w:val="24"/>
          <w:lang w:val="zh-CN"/>
        </w:rPr>
        <w:t>Keempat, fleksibel untuk gonta-ganti pasangan.</w:t>
      </w:r>
      <w:r>
        <w:rPr>
          <w:rFonts w:ascii="Times New Roman" w:eastAsia="Times New Roman" w:hAnsi="Times New Roman" w:cs="Times New Roman"/>
          <w:color w:val="000000"/>
          <w:sz w:val="24"/>
          <w:szCs w:val="24"/>
          <w:lang w:val="zh-CN"/>
        </w:rPr>
        <w:t xml:space="preserve"> Beberapa wanita melihat misyar sebagai solusi agar dapat berganti pasangan dengan lebih leluasa tanpa komplikasi sosial atau hukum seperti dalam pernikahan biasa. Lela, seorang perempuan lajang berusia matang, menceritakan bahwa ia telah berulang kali melakukan kawin misyar karena dengan model ini ia merasa mudah untuk bergonta-ganti pasangan. Lela sengaja tidak memilih model pernikahan konvensional supaya ia bisa mengakhiri hubungan dengan mudah ketika merasa tidak cocok, lalu mencari pasangan lain tanpa harus melalui prosedur perceraian formal yang rumit.</w:t>
      </w:r>
      <w:r>
        <w:rPr>
          <w:rStyle w:val="FootnoteReference"/>
          <w:rFonts w:ascii="Times New Roman" w:eastAsia="Times New Roman" w:hAnsi="Times New Roman"/>
          <w:color w:val="000000"/>
          <w:sz w:val="24"/>
          <w:szCs w:val="24"/>
          <w:lang w:val="zh-CN"/>
        </w:rPr>
        <w:footnoteReference w:id="36"/>
      </w:r>
      <w:r>
        <w:rPr>
          <w:rFonts w:ascii="Times New Roman" w:eastAsia="Times New Roman" w:hAnsi="Times New Roman" w:cs="Times New Roman"/>
          <w:color w:val="000000"/>
          <w:sz w:val="24"/>
          <w:szCs w:val="24"/>
          <w:lang w:val="zh-CN"/>
        </w:rPr>
        <w:t xml:space="preserve"> Rika, a wealthy widow from Pasuruan, also admitted to having entered into a misyar marriage with a religious leader in Surabaya. Initially, Rika entered into misyar because she was following the trend and was curious. After three months of misyar, she actually felt comfortable and compatible with her misyar husband. Finally, Rika and her husband agreed to change their misyar marriage status to an official marriage registered at the KUA (Office of Religious Affairs) – they remarried officially and now live as ordinary husband and wife. Rika's experience shows that for some women, misyar can be used as a kind of </w:t>
      </w:r>
      <w:r>
        <w:rPr>
          <w:rFonts w:ascii="Times New Roman" w:eastAsia="Times New Roman" w:hAnsi="Times New Roman" w:cs="Times New Roman"/>
          <w:i/>
          <w:iCs/>
          <w:color w:val="000000"/>
          <w:sz w:val="24"/>
          <w:szCs w:val="24"/>
          <w:lang w:val="zh-CN"/>
        </w:rPr>
        <w:t xml:space="preserve">"trial period" </w:t>
      </w:r>
      <w:r>
        <w:rPr>
          <w:rFonts w:ascii="Times New Roman" w:eastAsia="Times New Roman" w:hAnsi="Times New Roman" w:cs="Times New Roman"/>
          <w:color w:val="000000"/>
          <w:sz w:val="24"/>
          <w:szCs w:val="24"/>
          <w:lang w:val="zh-CN"/>
        </w:rPr>
        <w:t>before deciding to make a permanent commitment; if it turns out to be a good fit, the misyar relationship can be continued into a formal marriage. However, as long as it is still in the form of misyar, the participants feel they have the freedom to end the relationship at any time and move on to another partner without any significant legal consequences.</w:t>
      </w:r>
    </w:p>
    <w:p w14:paraId="26026585" w14:textId="77777777" w:rsidR="000F6425" w:rsidRDefault="00000000">
      <w:pPr>
        <w:spacing w:after="120" w:line="240" w:lineRule="auto"/>
        <w:ind w:firstLine="567"/>
        <w:jc w:val="both"/>
        <w:rPr>
          <w:rFonts w:ascii="Times New Roman" w:eastAsia="Times New Roman" w:hAnsi="Times New Roman" w:cs="Times New Roman"/>
          <w:color w:val="000000"/>
          <w:sz w:val="24"/>
          <w:szCs w:val="24"/>
          <w:lang w:val="zh-CN"/>
        </w:rPr>
      </w:pPr>
      <w:r>
        <w:rPr>
          <w:rFonts w:ascii="Times New Roman" w:eastAsia="Times New Roman" w:hAnsi="Times New Roman" w:cs="Times New Roman"/>
          <w:b/>
          <w:bCs/>
          <w:color w:val="000000"/>
          <w:sz w:val="24"/>
          <w:szCs w:val="24"/>
          <w:lang w:val="zh-CN"/>
        </w:rPr>
        <w:t xml:space="preserve">Fifth, the desire to improve one's lineage. </w:t>
      </w:r>
      <w:r>
        <w:rPr>
          <w:rFonts w:ascii="Times New Roman" w:eastAsia="Times New Roman" w:hAnsi="Times New Roman" w:cs="Times New Roman"/>
          <w:color w:val="000000"/>
          <w:sz w:val="24"/>
          <w:szCs w:val="24"/>
          <w:lang w:val="zh-CN"/>
        </w:rPr>
        <w:t xml:space="preserve">Another motive that emerged was the desire to have children with certain qualities (e.g., foreign blood) through misyar. </w:t>
      </w:r>
      <w:r>
        <w:rPr>
          <w:rFonts w:ascii="Times New Roman" w:eastAsia="Times New Roman" w:hAnsi="Times New Roman" w:cs="Times New Roman"/>
          <w:b/>
          <w:bCs/>
          <w:color w:val="000000"/>
          <w:sz w:val="24"/>
          <w:szCs w:val="24"/>
          <w:lang w:val="zh-CN"/>
        </w:rPr>
        <w:t>Suti</w:t>
      </w:r>
      <w:r>
        <w:rPr>
          <w:rFonts w:ascii="Times New Roman" w:eastAsia="Times New Roman" w:hAnsi="Times New Roman" w:cs="Times New Roman"/>
          <w:color w:val="000000"/>
          <w:sz w:val="24"/>
          <w:szCs w:val="24"/>
          <w:lang w:val="zh-CN"/>
        </w:rPr>
        <w:t>, for example, admitted to entering into a misyar marriage with a Middle Eastern man because she wanted to "improve her lineage"—in the sense of wanting children with mixed Middle Eastern blood—while retaining control over her own household.</w:t>
      </w:r>
      <w:r>
        <w:rPr>
          <w:rStyle w:val="FootnoteReference"/>
          <w:rFonts w:ascii="Times New Roman" w:eastAsia="Times New Roman" w:hAnsi="Times New Roman"/>
          <w:color w:val="000000"/>
          <w:sz w:val="24"/>
          <w:szCs w:val="24"/>
          <w:lang w:val="zh-CN"/>
        </w:rPr>
        <w:footnoteReference w:id="37"/>
      </w:r>
      <w:r>
        <w:rPr>
          <w:rFonts w:ascii="Times New Roman" w:eastAsia="Times New Roman" w:hAnsi="Times New Roman" w:cs="Times New Roman"/>
          <w:color w:val="000000"/>
          <w:sz w:val="24"/>
          <w:szCs w:val="24"/>
          <w:lang w:val="zh-CN"/>
        </w:rPr>
        <w:t xml:space="preserve"> Suti, a mother of two, explained that she chose the misyar model so that she, as a woman, could be the deciding party in all matters: from financial support, marital relations, and even divorce, she was in control. She mentioned that from the beginning, she only intended to be married for a few years until she had children, after which she would separate. Sure enough, she and her husband did not live together; Suti continued to live in her own house, while her husband rented a separate house in an area near Porong, Sidoarjo. After successfully having two daughters from the misyar marriage, they both agreed to separate according to their initial plan. This motive of "improving offspring" shows that misyar is sometimes viewed as </w:t>
      </w:r>
      <w:r>
        <w:rPr>
          <w:rFonts w:ascii="Times New Roman" w:eastAsia="Times New Roman" w:hAnsi="Times New Roman" w:cs="Times New Roman"/>
          <w:i/>
          <w:iCs/>
          <w:color w:val="000000"/>
          <w:sz w:val="24"/>
          <w:szCs w:val="24"/>
          <w:lang w:val="zh-CN"/>
        </w:rPr>
        <w:t xml:space="preserve">a "temporary marriage" </w:t>
      </w:r>
      <w:r>
        <w:rPr>
          <w:rFonts w:ascii="Times New Roman" w:eastAsia="Times New Roman" w:hAnsi="Times New Roman" w:cs="Times New Roman"/>
          <w:color w:val="000000"/>
          <w:sz w:val="24"/>
          <w:szCs w:val="24"/>
          <w:lang w:val="zh-CN"/>
        </w:rPr>
        <w:t>with a very specific purpose (to have children with certain genetics), and once that purpose is achieved, the marriage can be easily ended.</w:t>
      </w:r>
    </w:p>
    <w:p w14:paraId="44FD78A2" w14:textId="77777777" w:rsidR="000F6425" w:rsidRDefault="00000000">
      <w:pPr>
        <w:spacing w:after="120" w:line="240" w:lineRule="auto"/>
        <w:ind w:firstLine="567"/>
        <w:jc w:val="both"/>
        <w:rPr>
          <w:rFonts w:ascii="Times New Roman" w:eastAsia="Times New Roman" w:hAnsi="Times New Roman" w:cs="Times New Roman"/>
          <w:color w:val="000000"/>
          <w:sz w:val="24"/>
          <w:szCs w:val="24"/>
          <w:lang w:val="zh-CN"/>
        </w:rPr>
      </w:pPr>
      <w:r>
        <w:rPr>
          <w:rFonts w:ascii="Times New Roman" w:eastAsia="Times New Roman" w:hAnsi="Times New Roman" w:cs="Times New Roman"/>
          <w:b/>
          <w:bCs/>
          <w:color w:val="000000"/>
          <w:sz w:val="24"/>
          <w:szCs w:val="24"/>
          <w:lang w:val="zh-CN"/>
        </w:rPr>
        <w:t xml:space="preserve">Sixth, finding a companion (bodyguard) for social events. </w:t>
      </w:r>
      <w:r>
        <w:rPr>
          <w:rFonts w:ascii="Times New Roman" w:eastAsia="Times New Roman" w:hAnsi="Times New Roman" w:cs="Times New Roman"/>
          <w:color w:val="000000"/>
          <w:sz w:val="24"/>
          <w:szCs w:val="24"/>
          <w:lang w:val="zh-CN"/>
        </w:rPr>
        <w:t>Some socialite women enter into misyar marriages solely to have a companion when attending events outside the home or in their social circles. Karmila in Gombak, Malaysia, for example, stated that one of her goals in entering into a misyar marriage was to have a husband who could accompany and protect her when attending activities outside the home.</w:t>
      </w:r>
      <w:r>
        <w:rPr>
          <w:rStyle w:val="FootnoteReference"/>
          <w:rFonts w:ascii="Times New Roman" w:eastAsia="Times New Roman" w:hAnsi="Times New Roman"/>
          <w:color w:val="000000"/>
          <w:sz w:val="24"/>
          <w:szCs w:val="24"/>
          <w:lang w:val="zh-CN"/>
        </w:rPr>
        <w:footnoteReference w:id="38"/>
      </w:r>
      <w:r>
        <w:rPr>
          <w:rFonts w:ascii="Times New Roman" w:eastAsia="Times New Roman" w:hAnsi="Times New Roman" w:cs="Times New Roman"/>
          <w:color w:val="000000"/>
          <w:sz w:val="24"/>
          <w:szCs w:val="24"/>
          <w:lang w:val="zh-CN"/>
        </w:rPr>
        <w:t xml:space="preserve"> For her, a misyar husband functions as a driver and personal bodyguard who makes her feel safe from various threats. Iman in Casablanca expressed a similar sentiment; she entered into a misyar marriage so that she would have a husband who could be her bodyguard whenever she was in public.</w:t>
      </w:r>
      <w:r>
        <w:rPr>
          <w:rStyle w:val="FootnoteReference"/>
          <w:rFonts w:ascii="Times New Roman" w:eastAsia="Times New Roman" w:hAnsi="Times New Roman"/>
          <w:color w:val="000000"/>
          <w:sz w:val="24"/>
          <w:szCs w:val="24"/>
          <w:lang w:val="zh-CN"/>
        </w:rPr>
        <w:footnoteReference w:id="39"/>
      </w:r>
      <w:r>
        <w:rPr>
          <w:rFonts w:ascii="Times New Roman" w:eastAsia="Times New Roman" w:hAnsi="Times New Roman" w:cs="Times New Roman"/>
          <w:color w:val="000000"/>
          <w:sz w:val="24"/>
          <w:szCs w:val="24"/>
          <w:lang w:val="zh-CN"/>
        </w:rPr>
        <w:t xml:space="preserve"> They openly admit that the role of the husband in a misyar marriage is more as a companion so that they </w:t>
      </w:r>
      <w:r>
        <w:rPr>
          <w:rFonts w:ascii="Times New Roman" w:eastAsia="Times New Roman" w:hAnsi="Times New Roman" w:cs="Times New Roman"/>
          <w:i/>
          <w:iCs/>
          <w:color w:val="000000"/>
          <w:sz w:val="24"/>
          <w:szCs w:val="24"/>
          <w:lang w:val="zh-CN"/>
        </w:rPr>
        <w:t xml:space="preserve">have a husband </w:t>
      </w:r>
      <w:r>
        <w:rPr>
          <w:rFonts w:ascii="Times New Roman" w:eastAsia="Times New Roman" w:hAnsi="Times New Roman" w:cs="Times New Roman"/>
          <w:color w:val="000000"/>
          <w:sz w:val="24"/>
          <w:szCs w:val="24"/>
          <w:lang w:val="zh-CN"/>
        </w:rPr>
        <w:t>when appearing in public, making them feel more respected or at least protected, but without having to involve the husband in other household matters.</w:t>
      </w:r>
    </w:p>
    <w:p w14:paraId="4B09A61C" w14:textId="77777777" w:rsidR="000F6425" w:rsidRDefault="00000000">
      <w:pPr>
        <w:spacing w:after="120" w:line="240" w:lineRule="auto"/>
        <w:ind w:firstLine="567"/>
        <w:jc w:val="both"/>
        <w:rPr>
          <w:rFonts w:ascii="Times New Roman" w:eastAsia="Times New Roman" w:hAnsi="Times New Roman" w:cs="Times New Roman"/>
          <w:color w:val="000000"/>
          <w:sz w:val="24"/>
          <w:szCs w:val="24"/>
          <w:lang w:val="zh-CN"/>
        </w:rPr>
      </w:pPr>
      <w:r>
        <w:rPr>
          <w:rFonts w:ascii="Times New Roman" w:eastAsia="Times New Roman" w:hAnsi="Times New Roman" w:cs="Times New Roman"/>
          <w:b/>
          <w:bCs/>
          <w:color w:val="000000"/>
          <w:sz w:val="24"/>
          <w:szCs w:val="24"/>
          <w:lang w:val="zh-CN"/>
        </w:rPr>
        <w:t xml:space="preserve">Seventh, the fulfillment of the wife's sexual desires. </w:t>
      </w:r>
      <w:r>
        <w:rPr>
          <w:rFonts w:ascii="Times New Roman" w:eastAsia="Times New Roman" w:hAnsi="Times New Roman" w:cs="Times New Roman"/>
          <w:color w:val="000000"/>
          <w:sz w:val="24"/>
          <w:szCs w:val="24"/>
          <w:lang w:val="zh-CN"/>
        </w:rPr>
        <w:t>The last and most prominent motive is the desire for sexual satisfaction for the wife. A number of informants stated that they chose a younger or more attractive misyar husband in order to satisfy their biological desires. Karmila (one of the informants) admitted that she married a younger man in order to fulfill her biological needs.</w:t>
      </w:r>
      <w:r>
        <w:rPr>
          <w:rStyle w:val="FootnoteReference"/>
          <w:rFonts w:ascii="Times New Roman" w:eastAsia="Times New Roman" w:hAnsi="Times New Roman"/>
          <w:color w:val="000000"/>
          <w:sz w:val="24"/>
          <w:szCs w:val="24"/>
          <w:lang w:val="zh-CN"/>
        </w:rPr>
        <w:footnoteReference w:id="40"/>
      </w:r>
      <w:r>
        <w:rPr>
          <w:rFonts w:ascii="Times New Roman" w:eastAsia="Times New Roman" w:hAnsi="Times New Roman" w:cs="Times New Roman"/>
          <w:color w:val="000000"/>
          <w:sz w:val="24"/>
          <w:szCs w:val="24"/>
          <w:lang w:val="zh-CN"/>
        </w:rPr>
        <w:t xml:space="preserve"> Similarly, Muslimah in Jeddah openly stated that her main purpose in entering into a misyar marriage was to obtain satisfaction in all aspects from her misyar husband.</w:t>
      </w:r>
      <w:r>
        <w:rPr>
          <w:rStyle w:val="FootnoteReference"/>
          <w:rFonts w:ascii="Times New Roman" w:eastAsia="Times New Roman" w:hAnsi="Times New Roman"/>
          <w:color w:val="000000"/>
          <w:sz w:val="24"/>
          <w:szCs w:val="24"/>
          <w:lang w:val="zh-CN"/>
        </w:rPr>
        <w:footnoteReference w:id="41"/>
      </w:r>
      <w:r>
        <w:rPr>
          <w:rFonts w:ascii="Times New Roman" w:eastAsia="Times New Roman" w:hAnsi="Times New Roman" w:cs="Times New Roman"/>
          <w:color w:val="000000"/>
          <w:sz w:val="24"/>
          <w:szCs w:val="24"/>
          <w:lang w:val="zh-CN"/>
        </w:rPr>
        <w:t xml:space="preserve"> Like Karmila and Muslimah, misyar practitioners in Surabaya—for example, Mimi, Titin, Ira, Mumun, and Rika—also admitted that one of the reasons they entered into misyar marriages was to obtain sexual satisfaction, which might be difficult for them to obtain if they were married conventionally. Misyar gives them the freedom to choose a partner who is physically ideal according to their tastes, without being bound by norms of age or status as in a normal marriage. Thus, this motive confirms that for a number of socialite women, misyar marriage is a means of fulfilling their personal biological needs on their own terms.</w:t>
      </w:r>
    </w:p>
    <w:p w14:paraId="4C36500C" w14:textId="77777777" w:rsidR="000F6425" w:rsidRDefault="00000000">
      <w:pPr>
        <w:spacing w:after="12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The Practice of </w:t>
      </w:r>
      <w:proofErr w:type="spellStart"/>
      <w:r>
        <w:rPr>
          <w:rFonts w:ascii="Times New Roman" w:eastAsia="Times New Roman" w:hAnsi="Times New Roman" w:cs="Times New Roman"/>
          <w:b/>
          <w:bCs/>
          <w:color w:val="000000"/>
          <w:sz w:val="24"/>
          <w:szCs w:val="24"/>
        </w:rPr>
        <w:t>Misyar</w:t>
      </w:r>
      <w:proofErr w:type="spellEnd"/>
      <w:r>
        <w:rPr>
          <w:rFonts w:ascii="Times New Roman" w:eastAsia="Times New Roman" w:hAnsi="Times New Roman" w:cs="Times New Roman"/>
          <w:b/>
          <w:bCs/>
          <w:color w:val="000000"/>
          <w:sz w:val="24"/>
          <w:szCs w:val="24"/>
        </w:rPr>
        <w:t xml:space="preserve"> Marriage from a Gender Studies Perspective</w:t>
      </w:r>
    </w:p>
    <w:p w14:paraId="5AA9A7F6" w14:textId="77777777" w:rsidR="000F6425" w:rsidRDefault="00000000">
      <w:pPr>
        <w:spacing w:after="120" w:line="240" w:lineRule="auto"/>
        <w:ind w:firstLine="567"/>
        <w:jc w:val="both"/>
        <w:rPr>
          <w:rFonts w:ascii="Times New Roman" w:eastAsia="Times New Roman" w:hAnsi="Times New Roman" w:cs="Times New Roman"/>
          <w:color w:val="000000"/>
          <w:sz w:val="24"/>
          <w:szCs w:val="24"/>
          <w:lang w:val="zh-CN"/>
        </w:rPr>
      </w:pPr>
      <w:r>
        <w:rPr>
          <w:rFonts w:ascii="Times New Roman" w:eastAsia="Times New Roman" w:hAnsi="Times New Roman" w:cs="Times New Roman"/>
          <w:color w:val="000000"/>
          <w:sz w:val="24"/>
          <w:szCs w:val="24"/>
          <w:lang w:val="zh-CN"/>
        </w:rPr>
        <w:t>From a gender studies perspective, the practice of misyar marriage actually causes more harm than good. Misyar tends to place women in a vulnerable position, so society should be given an understanding and education that the parties most disadvantaged in this case are women and any children that may be born. Because misyar marriage is not recognized by state law, women and children resulting from these relationships cannot obtain their legal rights. For example, with regard to joint property (</w:t>
      </w:r>
      <w:r>
        <w:rPr>
          <w:rFonts w:ascii="Times New Roman" w:eastAsia="Times New Roman" w:hAnsi="Times New Roman" w:cs="Times New Roman"/>
          <w:i/>
          <w:iCs/>
          <w:color w:val="000000"/>
          <w:sz w:val="24"/>
          <w:szCs w:val="24"/>
          <w:lang w:val="zh-CN"/>
        </w:rPr>
        <w:t>gono-gini)</w:t>
      </w:r>
      <w:r>
        <w:rPr>
          <w:rFonts w:ascii="Times New Roman" w:eastAsia="Times New Roman" w:hAnsi="Times New Roman" w:cs="Times New Roman"/>
          <w:color w:val="000000"/>
          <w:sz w:val="24"/>
          <w:szCs w:val="24"/>
          <w:lang w:val="zh-CN"/>
        </w:rPr>
        <w:t xml:space="preserve">, if the couple divorces, the misyar marriage is considered to have never legally existed, so women cannot claim a share of the property. Similarly, from a social perspective, couples who marry secretly without public knowledge are often considered to be </w:t>
      </w:r>
      <w:r>
        <w:rPr>
          <w:rFonts w:ascii="Times New Roman" w:eastAsia="Times New Roman" w:hAnsi="Times New Roman" w:cs="Times New Roman"/>
          <w:i/>
          <w:iCs/>
          <w:color w:val="000000"/>
          <w:sz w:val="24"/>
          <w:szCs w:val="24"/>
          <w:lang w:val="zh-CN"/>
        </w:rPr>
        <w:t xml:space="preserve">cohabiting </w:t>
      </w:r>
      <w:r>
        <w:rPr>
          <w:rFonts w:ascii="Times New Roman" w:eastAsia="Times New Roman" w:hAnsi="Times New Roman" w:cs="Times New Roman"/>
          <w:color w:val="000000"/>
          <w:sz w:val="24"/>
          <w:szCs w:val="24"/>
          <w:lang w:val="zh-CN"/>
        </w:rPr>
        <w:t>(living together outside of marriage) by the community. This is because, in the general view, if two people live together without a legal marriage bond, they are considered to be violating moral norms (even though in the case of misyar, they are only married religiously). This kind of negative stigma is certainly detrimental to women, because in a patriarchal culture, women often bear a heavier social burden for sexual norm deviations. These various disadvantages are in line with the findings of Arsal (2012) and Arsyad (2017) that unregistered marriages (such as kawin sirri/misyar) ultimately reinforce the patriarchal system that is detrimental to women.</w:t>
      </w:r>
      <w:r>
        <w:rPr>
          <w:rStyle w:val="FootnoteReference"/>
          <w:rFonts w:ascii="Times New Roman" w:eastAsia="Times New Roman" w:hAnsi="Times New Roman"/>
          <w:color w:val="000000"/>
          <w:sz w:val="24"/>
          <w:szCs w:val="24"/>
          <w:lang w:val="zh-CN"/>
        </w:rPr>
        <w:footnoteReference w:id="42"/>
      </w:r>
    </w:p>
    <w:p w14:paraId="399D6CC6" w14:textId="77777777" w:rsidR="000F6425" w:rsidRDefault="00000000">
      <w:pPr>
        <w:spacing w:after="120" w:line="240" w:lineRule="auto"/>
        <w:ind w:firstLine="567"/>
        <w:jc w:val="both"/>
        <w:rPr>
          <w:rFonts w:ascii="Times New Roman" w:eastAsia="Times New Roman" w:hAnsi="Times New Roman" w:cs="Times New Roman"/>
          <w:color w:val="000000"/>
          <w:sz w:val="24"/>
          <w:szCs w:val="24"/>
          <w:lang w:val="zh-CN"/>
        </w:rPr>
      </w:pPr>
      <w:r>
        <w:rPr>
          <w:rFonts w:ascii="Times New Roman" w:eastAsia="Times New Roman" w:hAnsi="Times New Roman" w:cs="Times New Roman"/>
          <w:color w:val="000000"/>
          <w:sz w:val="24"/>
          <w:szCs w:val="24"/>
          <w:lang w:val="zh-CN"/>
        </w:rPr>
        <w:t xml:space="preserve">Max Weber, in his sociological theory, argues that individual actions in society cannot be separated from </w:t>
      </w:r>
      <w:r>
        <w:rPr>
          <w:rFonts w:ascii="Times New Roman" w:eastAsia="Times New Roman" w:hAnsi="Times New Roman" w:cs="Times New Roman"/>
          <w:i/>
          <w:iCs/>
          <w:color w:val="000000"/>
          <w:sz w:val="24"/>
          <w:szCs w:val="24"/>
          <w:lang w:val="zh-CN"/>
        </w:rPr>
        <w:t xml:space="preserve">the structure of meaning </w:t>
      </w:r>
      <w:r>
        <w:rPr>
          <w:rFonts w:ascii="Times New Roman" w:eastAsia="Times New Roman" w:hAnsi="Times New Roman" w:cs="Times New Roman"/>
          <w:color w:val="000000"/>
          <w:sz w:val="24"/>
          <w:szCs w:val="24"/>
          <w:lang w:val="zh-CN"/>
        </w:rPr>
        <w:t xml:space="preserve">or </w:t>
      </w:r>
      <w:r>
        <w:rPr>
          <w:rFonts w:ascii="Times New Roman" w:eastAsia="Times New Roman" w:hAnsi="Times New Roman" w:cs="Times New Roman"/>
          <w:i/>
          <w:iCs/>
          <w:color w:val="000000"/>
          <w:sz w:val="24"/>
          <w:szCs w:val="24"/>
          <w:lang w:val="zh-CN"/>
        </w:rPr>
        <w:t xml:space="preserve">common values </w:t>
      </w:r>
      <w:r>
        <w:rPr>
          <w:rFonts w:ascii="Times New Roman" w:eastAsia="Times New Roman" w:hAnsi="Times New Roman" w:cs="Times New Roman"/>
          <w:color w:val="000000"/>
          <w:sz w:val="24"/>
          <w:szCs w:val="24"/>
          <w:lang w:val="zh-CN"/>
        </w:rPr>
        <w:t xml:space="preserve">that apply in that society. Every action basically has a specific purpose and is influenced by the values held by the perpetrator. Therefore, to understand a social action (including the phenomenon of misyar marriage), we must understand the context of meaning and cultural values in the surrounding community. Weber offers an </w:t>
      </w:r>
      <w:r>
        <w:rPr>
          <w:rFonts w:ascii="Times New Roman" w:eastAsia="Times New Roman" w:hAnsi="Times New Roman" w:cs="Times New Roman"/>
          <w:i/>
          <w:iCs/>
          <w:color w:val="000000"/>
          <w:sz w:val="24"/>
          <w:szCs w:val="24"/>
          <w:lang w:val="zh-CN"/>
        </w:rPr>
        <w:t xml:space="preserve">interpretative understanding </w:t>
      </w:r>
      <w:r>
        <w:rPr>
          <w:rFonts w:ascii="Times New Roman" w:eastAsia="Times New Roman" w:hAnsi="Times New Roman" w:cs="Times New Roman"/>
          <w:color w:val="000000"/>
          <w:sz w:val="24"/>
          <w:szCs w:val="24"/>
          <w:lang w:val="zh-CN"/>
        </w:rPr>
        <w:t xml:space="preserve">approach – </w:t>
      </w:r>
      <w:r>
        <w:rPr>
          <w:rFonts w:ascii="Times New Roman" w:eastAsia="Times New Roman" w:hAnsi="Times New Roman" w:cs="Times New Roman"/>
          <w:i/>
          <w:iCs/>
          <w:color w:val="000000"/>
          <w:sz w:val="24"/>
          <w:szCs w:val="24"/>
          <w:lang w:val="zh-CN"/>
        </w:rPr>
        <w:t xml:space="preserve">Verstehen </w:t>
      </w:r>
      <w:r>
        <w:rPr>
          <w:rFonts w:ascii="Times New Roman" w:eastAsia="Times New Roman" w:hAnsi="Times New Roman" w:cs="Times New Roman"/>
          <w:color w:val="000000"/>
          <w:sz w:val="24"/>
          <w:szCs w:val="24"/>
          <w:lang w:val="zh-CN"/>
        </w:rPr>
        <w:t>– to understand the motives behind social actions. In this context, it is important to first understand how society interprets marriage itself. In societies that are not yet educated about gender equality, marriage is often interpreted in a gender-biased manner, where men are considered dominant and women subordinate. Misyar marriage, when viewed from a feminist perspective, clearly contains gender inequality: there is often no equality of roles within it, and women are vulnerable to exploitation (for example, being used merely as objects to satisfy sexual needs). Before going further, it is necessary to realize that the issue of gender bias still overlaps in our society. Ideally, gender should position men and women as equals in all matters. So, if there are practices such as misyar marriage that exhibit significant gender bias, a society that is aware and educated about gender equality should reject or prevent them. However, if gender education is not widespread and the public's understanding of the importance of equality is incomplete, gender bias will continue to color society. In the case of misyar marriage, a lack of understanding of the principle of equality makes this practice acceptable or even supported by some people, even though it clearly places women in an unequal position (for example, only being used as a means to satisfy men's needs). In other words, the practice of misyar marriage is very likely to exacerbate gender bias if society does not yet have a critical awareness of gender issues. This view is in line with Lutfiyah (2015), who asserts that gender bias in the phenomenon of marriage arises because of social constructs that still place women as second-class citizens in many aspects of life.</w:t>
      </w:r>
      <w:r>
        <w:rPr>
          <w:rStyle w:val="FootnoteReference"/>
          <w:rFonts w:ascii="Times New Roman" w:eastAsia="Times New Roman" w:hAnsi="Times New Roman"/>
          <w:color w:val="000000"/>
          <w:sz w:val="24"/>
          <w:szCs w:val="24"/>
          <w:lang w:val="zh-CN"/>
        </w:rPr>
        <w:footnoteReference w:id="43"/>
      </w:r>
    </w:p>
    <w:p w14:paraId="6762AAB0" w14:textId="77777777" w:rsidR="000F6425" w:rsidRDefault="00000000">
      <w:pPr>
        <w:spacing w:after="120" w:line="240" w:lineRule="auto"/>
        <w:ind w:firstLine="567"/>
        <w:jc w:val="both"/>
        <w:rPr>
          <w:rFonts w:ascii="Times New Roman" w:eastAsia="Times New Roman" w:hAnsi="Times New Roman" w:cs="Times New Roman"/>
          <w:color w:val="000000"/>
          <w:sz w:val="24"/>
          <w:szCs w:val="24"/>
          <w:lang w:val="zh-CN"/>
        </w:rPr>
      </w:pPr>
      <w:r>
        <w:rPr>
          <w:rFonts w:ascii="Times New Roman" w:eastAsia="Times New Roman" w:hAnsi="Times New Roman" w:cs="Times New Roman"/>
          <w:color w:val="000000"/>
          <w:sz w:val="24"/>
          <w:szCs w:val="24"/>
          <w:lang w:val="zh-CN"/>
        </w:rPr>
        <w:t xml:space="preserve">The phenomenon of gender inequality manifested in misyar marriage needs to be understood as a reflection of inequality that has been structured and constructed by social and cultural systems, and even by interpretations of religious teachings. This inequality ultimately creates human rights violations, especially experienced by women. This reality has encouraged the emergence of many feminist movements defending women's rights in various parts of the world. In the global context, there have been formal legal efforts to protect women from discrimination, such as the Universal Declaration of Human Rights (UDHR) by the United Nations in 1948, which affirms the high dignity of human beings regardless of gender. Then there is </w:t>
      </w:r>
      <w:r>
        <w:rPr>
          <w:rFonts w:ascii="Times New Roman" w:eastAsia="Times New Roman" w:hAnsi="Times New Roman" w:cs="Times New Roman"/>
          <w:i/>
          <w:iCs/>
          <w:color w:val="000000"/>
          <w:sz w:val="24"/>
          <w:szCs w:val="24"/>
          <w:lang w:val="zh-CN"/>
        </w:rPr>
        <w:t xml:space="preserve">the Convention on the Elimination of All Forms of Discrimination Against Women </w:t>
      </w:r>
      <w:r>
        <w:rPr>
          <w:rFonts w:ascii="Times New Roman" w:eastAsia="Times New Roman" w:hAnsi="Times New Roman" w:cs="Times New Roman"/>
          <w:color w:val="000000"/>
          <w:sz w:val="24"/>
          <w:szCs w:val="24"/>
          <w:lang w:val="zh-CN"/>
        </w:rPr>
        <w:t>(CEDAW) in 1979 by the United Nations, which specifically underlines the elimination of discrimination against women. Indonesia ratified this UN convention through Law No. 7 of 1984. This means that, legally, Indonesia recognizes that discrimination against women is a serious social problem that must be addressed. However, in practice, gender discrimination continues to occur, including in the form of non-conventional marriages such as misyar. Nursjahbani Katjasungkana, an Indonesian women's rights activist, stated that the commitment to improve the position and role of women in various aspects of life (in order to achieve gender equality and justice) has been proclaimed for a long time, especially since the government ratified the convention on the elimination of discrimination in 1984.</w:t>
      </w:r>
      <w:r>
        <w:rPr>
          <w:rStyle w:val="FootnoteReference"/>
          <w:rFonts w:ascii="Times New Roman" w:eastAsia="Times New Roman" w:hAnsi="Times New Roman"/>
          <w:color w:val="000000"/>
          <w:sz w:val="24"/>
          <w:szCs w:val="24"/>
          <w:lang w:val="zh-CN"/>
        </w:rPr>
        <w:footnoteReference w:id="44"/>
      </w:r>
    </w:p>
    <w:p w14:paraId="4F3B1C12" w14:textId="77777777" w:rsidR="000F6425" w:rsidRDefault="00000000">
      <w:pPr>
        <w:spacing w:after="120" w:line="240" w:lineRule="auto"/>
        <w:ind w:firstLine="567"/>
        <w:jc w:val="both"/>
        <w:rPr>
          <w:rFonts w:ascii="Times New Roman" w:eastAsia="Times New Roman" w:hAnsi="Times New Roman" w:cs="Times New Roman"/>
          <w:color w:val="000000"/>
          <w:sz w:val="24"/>
          <w:szCs w:val="24"/>
          <w:lang w:val="zh-CN"/>
        </w:rPr>
      </w:pPr>
      <w:r>
        <w:rPr>
          <w:rFonts w:ascii="Times New Roman" w:eastAsia="Times New Roman" w:hAnsi="Times New Roman" w:cs="Times New Roman"/>
          <w:color w:val="000000"/>
          <w:sz w:val="24"/>
          <w:szCs w:val="24"/>
          <w:lang w:val="zh-CN"/>
        </w:rPr>
        <w:t>Criticism of misyar marriage practices from a gender activist perspective basically focuses on the issue of discrimination experienced by women. Feminist groups view injustice against women as a fundamental and universal phenomenon. This view arises because, in general, such discrimination is based on a patriarchal worldview that is negative towards women.</w:t>
      </w:r>
      <w:r>
        <w:rPr>
          <w:rStyle w:val="FootnoteReference"/>
          <w:rFonts w:ascii="Times New Roman" w:eastAsia="Times New Roman" w:hAnsi="Times New Roman"/>
          <w:color w:val="000000"/>
          <w:sz w:val="24"/>
          <w:szCs w:val="24"/>
          <w:lang w:val="zh-CN"/>
        </w:rPr>
        <w:footnoteReference w:id="45"/>
      </w:r>
      <w:r>
        <w:rPr>
          <w:rFonts w:ascii="Times New Roman" w:eastAsia="Times New Roman" w:hAnsi="Times New Roman" w:cs="Times New Roman"/>
          <w:color w:val="000000"/>
          <w:sz w:val="24"/>
          <w:szCs w:val="24"/>
          <w:lang w:val="zh-CN"/>
        </w:rPr>
        <w:t xml:space="preserve"> Paula Rothenberg and Alison Jaggar, two feminist thinkers, argue that violence and discrimination against women are closely related to gender constructs; patriarchy places women in a position of perpetual subordination, and this has been the case throughout human cultural history.</w:t>
      </w:r>
      <w:r>
        <w:rPr>
          <w:rStyle w:val="FootnoteReference"/>
          <w:rFonts w:ascii="Times New Roman" w:eastAsia="Times New Roman" w:hAnsi="Times New Roman"/>
          <w:color w:val="000000"/>
          <w:sz w:val="24"/>
          <w:szCs w:val="24"/>
          <w:lang w:val="zh-CN"/>
        </w:rPr>
        <w:footnoteReference w:id="46"/>
      </w:r>
      <w:r>
        <w:rPr>
          <w:rFonts w:ascii="Times New Roman" w:eastAsia="Times New Roman" w:hAnsi="Times New Roman" w:cs="Times New Roman"/>
          <w:color w:val="000000"/>
          <w:sz w:val="24"/>
          <w:szCs w:val="24"/>
          <w:lang w:val="zh-CN"/>
        </w:rPr>
        <w:t xml:space="preserve"> Their views reflect a radical feminist perspective that sees the roots of women's oppression in the patriarchal system. Furthermore, Nancy Holmstrom, a Marxist feminist, argues that all women experience oppression because of their gender, but the level/degree of oppression experienced can vary (it is not homogeneous) depending on their social position and the economic system that surrounds them. Holmstrom believes that differences in social status and class in capitalist societies also determine the degree of discrimination against women.</w:t>
      </w:r>
      <w:r>
        <w:rPr>
          <w:rStyle w:val="FootnoteReference"/>
          <w:rFonts w:ascii="Times New Roman" w:eastAsia="Times New Roman" w:hAnsi="Times New Roman"/>
          <w:color w:val="000000"/>
          <w:sz w:val="24"/>
          <w:szCs w:val="24"/>
          <w:lang w:val="zh-CN"/>
        </w:rPr>
        <w:footnoteReference w:id="47"/>
      </w:r>
      <w:r>
        <w:rPr>
          <w:rFonts w:ascii="Times New Roman" w:eastAsia="Times New Roman" w:hAnsi="Times New Roman" w:cs="Times New Roman"/>
          <w:color w:val="000000"/>
          <w:sz w:val="24"/>
          <w:szCs w:val="24"/>
          <w:lang w:val="zh-CN"/>
        </w:rPr>
        <w:t xml:space="preserve"> Thus, the experience of women's oppression is not singular because class and economic factors also play a role, even though ultimately it all boils down to the fact that women are placed second to men.</w:t>
      </w:r>
    </w:p>
    <w:p w14:paraId="29B0BB3A" w14:textId="77777777" w:rsidR="000F6425" w:rsidRDefault="00000000">
      <w:pPr>
        <w:spacing w:after="120" w:line="240" w:lineRule="auto"/>
        <w:ind w:firstLine="567"/>
        <w:jc w:val="both"/>
        <w:rPr>
          <w:rFonts w:ascii="Times New Roman" w:eastAsia="Times New Roman" w:hAnsi="Times New Roman" w:cs="Times New Roman"/>
          <w:color w:val="000000"/>
          <w:sz w:val="24"/>
          <w:szCs w:val="24"/>
          <w:lang w:val="zh-CN"/>
        </w:rPr>
      </w:pPr>
      <w:r>
        <w:rPr>
          <w:rFonts w:ascii="Times New Roman" w:eastAsia="Times New Roman" w:hAnsi="Times New Roman" w:cs="Times New Roman"/>
          <w:color w:val="000000"/>
          <w:sz w:val="24"/>
          <w:szCs w:val="24"/>
          <w:lang w:val="zh-CN"/>
        </w:rPr>
        <w:t xml:space="preserve">Another opinion comes from Zillah Eisenstein, a socialist feminist figure. She states that patriarchy is an ideology that easily intertwines with other ideologies or systems in human culture. Therefore, Eisenstein recommends that discrimination against women be seen as a phenomenon that is both </w:t>
      </w:r>
      <w:r>
        <w:rPr>
          <w:rFonts w:ascii="Times New Roman" w:eastAsia="Times New Roman" w:hAnsi="Times New Roman" w:cs="Times New Roman"/>
          <w:i/>
          <w:iCs/>
          <w:color w:val="000000"/>
          <w:sz w:val="24"/>
          <w:szCs w:val="24"/>
          <w:lang w:val="zh-CN"/>
        </w:rPr>
        <w:t xml:space="preserve">universal </w:t>
      </w:r>
      <w:r>
        <w:rPr>
          <w:rFonts w:ascii="Times New Roman" w:eastAsia="Times New Roman" w:hAnsi="Times New Roman" w:cs="Times New Roman"/>
          <w:color w:val="000000"/>
          <w:sz w:val="24"/>
          <w:szCs w:val="24"/>
          <w:lang w:val="zh-CN"/>
        </w:rPr>
        <w:t xml:space="preserve">and </w:t>
      </w:r>
      <w:r>
        <w:rPr>
          <w:rFonts w:ascii="Times New Roman" w:eastAsia="Times New Roman" w:hAnsi="Times New Roman" w:cs="Times New Roman"/>
          <w:i/>
          <w:iCs/>
          <w:color w:val="000000"/>
          <w:sz w:val="24"/>
          <w:szCs w:val="24"/>
          <w:lang w:val="zh-CN"/>
        </w:rPr>
        <w:t>particular</w:t>
      </w:r>
      <w:r>
        <w:rPr>
          <w:rFonts w:ascii="Times New Roman" w:eastAsia="Times New Roman" w:hAnsi="Times New Roman" w:cs="Times New Roman"/>
          <w:color w:val="000000"/>
          <w:sz w:val="24"/>
          <w:szCs w:val="24"/>
          <w:lang w:val="zh-CN"/>
        </w:rPr>
        <w:t xml:space="preserve">. This means that the oppression of women occurs in all societies (universal) but its manifestation is specific to each context (particular). According to Eisenstein, patriarchy and sexism in various societies are often accepted as something that </w:t>
      </w:r>
      <w:r>
        <w:rPr>
          <w:rFonts w:ascii="Times New Roman" w:eastAsia="Times New Roman" w:hAnsi="Times New Roman" w:cs="Times New Roman"/>
          <w:i/>
          <w:iCs/>
          <w:color w:val="000000"/>
          <w:sz w:val="24"/>
          <w:szCs w:val="24"/>
          <w:lang w:val="zh-CN"/>
        </w:rPr>
        <w:t xml:space="preserve">is taken for granted </w:t>
      </w:r>
      <w:r>
        <w:rPr>
          <w:rFonts w:ascii="Times New Roman" w:eastAsia="Times New Roman" w:hAnsi="Times New Roman" w:cs="Times New Roman"/>
          <w:color w:val="000000"/>
          <w:sz w:val="24"/>
          <w:szCs w:val="24"/>
          <w:lang w:val="zh-CN"/>
        </w:rPr>
        <w:t>(as if it were inevitable), so that the position of women is always subordinate and marginalized.</w:t>
      </w:r>
      <w:r>
        <w:rPr>
          <w:rStyle w:val="FootnoteReference"/>
          <w:rFonts w:ascii="Times New Roman" w:eastAsia="Times New Roman" w:hAnsi="Times New Roman"/>
          <w:color w:val="000000"/>
          <w:sz w:val="24"/>
          <w:szCs w:val="24"/>
          <w:lang w:val="zh-CN"/>
        </w:rPr>
        <w:footnoteReference w:id="48"/>
      </w:r>
      <w:r>
        <w:rPr>
          <w:rFonts w:ascii="Times New Roman" w:eastAsia="Times New Roman" w:hAnsi="Times New Roman" w:cs="Times New Roman"/>
          <w:color w:val="000000"/>
          <w:sz w:val="24"/>
          <w:szCs w:val="24"/>
          <w:lang w:val="zh-CN"/>
        </w:rPr>
        <w:t xml:space="preserve"> The implication of this thinking is that we need to review the phenomenon of misyar marriage by taking these various perspectives into account. Many gender activists have expressed critical opinions regarding misyar, which essentially highlight that this practice is detrimental to women as the </w:t>
      </w:r>
      <w:r>
        <w:rPr>
          <w:rFonts w:ascii="Times New Roman" w:eastAsia="Times New Roman" w:hAnsi="Times New Roman" w:cs="Times New Roman"/>
          <w:i/>
          <w:iCs/>
          <w:color w:val="000000"/>
          <w:sz w:val="24"/>
          <w:szCs w:val="24"/>
          <w:lang w:val="zh-CN"/>
        </w:rPr>
        <w:t>marginalized</w:t>
      </w:r>
      <w:r>
        <w:rPr>
          <w:rFonts w:ascii="Times New Roman" w:eastAsia="Times New Roman" w:hAnsi="Times New Roman" w:cs="Times New Roman"/>
          <w:color w:val="000000"/>
          <w:sz w:val="24"/>
          <w:szCs w:val="24"/>
          <w:lang w:val="zh-CN"/>
        </w:rPr>
        <w:t xml:space="preserve"> party</w:t>
      </w:r>
      <w:r>
        <w:rPr>
          <w:rFonts w:ascii="Times New Roman" w:eastAsia="Times New Roman" w:hAnsi="Times New Roman" w:cs="Times New Roman"/>
          <w:i/>
          <w:iCs/>
          <w:color w:val="000000"/>
          <w:sz w:val="24"/>
          <w:szCs w:val="24"/>
          <w:lang w:val="zh-CN"/>
        </w:rPr>
        <w:t xml:space="preserve">. </w:t>
      </w:r>
      <w:r>
        <w:rPr>
          <w:rFonts w:ascii="Times New Roman" w:eastAsia="Times New Roman" w:hAnsi="Times New Roman" w:cs="Times New Roman"/>
          <w:color w:val="000000"/>
          <w:sz w:val="24"/>
          <w:szCs w:val="24"/>
          <w:lang w:val="zh-CN"/>
        </w:rPr>
        <w:t xml:space="preserve">In fact, in addition to harming women, children born from misyar relationships are also potentially subject to a similar fate—for example, stigma as children born out of wedlock, lack of recognition of their father, and so on—as well as discrimination against their mothers. In other words, misyar is seen as reinforcing </w:t>
      </w:r>
      <w:r>
        <w:rPr>
          <w:rFonts w:ascii="Times New Roman" w:eastAsia="Times New Roman" w:hAnsi="Times New Roman" w:cs="Times New Roman"/>
          <w:i/>
          <w:iCs/>
          <w:color w:val="000000"/>
          <w:sz w:val="24"/>
          <w:szCs w:val="24"/>
          <w:lang w:val="zh-CN"/>
        </w:rPr>
        <w:t xml:space="preserve">gender </w:t>
      </w:r>
      <w:r>
        <w:rPr>
          <w:rFonts w:ascii="Times New Roman" w:eastAsia="Times New Roman" w:hAnsi="Times New Roman" w:cs="Times New Roman"/>
          <w:color w:val="000000"/>
          <w:sz w:val="24"/>
          <w:szCs w:val="24"/>
          <w:lang w:val="zh-CN"/>
        </w:rPr>
        <w:t xml:space="preserve">and </w:t>
      </w:r>
      <w:r>
        <w:rPr>
          <w:rFonts w:ascii="Times New Roman" w:eastAsia="Times New Roman" w:hAnsi="Times New Roman" w:cs="Times New Roman"/>
          <w:i/>
          <w:iCs/>
          <w:color w:val="000000"/>
          <w:sz w:val="24"/>
          <w:szCs w:val="24"/>
          <w:lang w:val="zh-CN"/>
        </w:rPr>
        <w:t xml:space="preserve">family biases </w:t>
      </w:r>
      <w:r>
        <w:rPr>
          <w:rFonts w:ascii="Times New Roman" w:eastAsia="Times New Roman" w:hAnsi="Times New Roman" w:cs="Times New Roman"/>
          <w:color w:val="000000"/>
          <w:sz w:val="24"/>
          <w:szCs w:val="24"/>
          <w:lang w:val="zh-CN"/>
        </w:rPr>
        <w:t>that harm women and children in the long term.</w:t>
      </w:r>
    </w:p>
    <w:p w14:paraId="7C0B6DFE" w14:textId="77777777" w:rsidR="000F6425" w:rsidRDefault="00000000">
      <w:pPr>
        <w:spacing w:after="12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The Practice of </w:t>
      </w:r>
      <w:proofErr w:type="spellStart"/>
      <w:r>
        <w:rPr>
          <w:rFonts w:ascii="Times New Roman" w:eastAsia="Times New Roman" w:hAnsi="Times New Roman" w:cs="Times New Roman"/>
          <w:b/>
          <w:bCs/>
          <w:color w:val="000000"/>
          <w:sz w:val="24"/>
          <w:szCs w:val="24"/>
        </w:rPr>
        <w:t>Misyar</w:t>
      </w:r>
      <w:proofErr w:type="spellEnd"/>
      <w:r>
        <w:rPr>
          <w:rFonts w:ascii="Times New Roman" w:eastAsia="Times New Roman" w:hAnsi="Times New Roman" w:cs="Times New Roman"/>
          <w:b/>
          <w:bCs/>
          <w:color w:val="000000"/>
          <w:sz w:val="24"/>
          <w:szCs w:val="24"/>
        </w:rPr>
        <w:t xml:space="preserve"> Marriage in the Perspective of </w:t>
      </w:r>
      <w:proofErr w:type="spellStart"/>
      <w:r>
        <w:rPr>
          <w:rFonts w:ascii="Times New Roman" w:eastAsia="Times New Roman" w:hAnsi="Times New Roman" w:cs="Times New Roman"/>
          <w:b/>
          <w:bCs/>
          <w:color w:val="000000"/>
          <w:sz w:val="24"/>
          <w:szCs w:val="24"/>
        </w:rPr>
        <w:t>Maqasid</w:t>
      </w:r>
      <w:proofErr w:type="spellEnd"/>
      <w:r>
        <w:rPr>
          <w:rFonts w:ascii="Times New Roman" w:eastAsia="Times New Roman" w:hAnsi="Times New Roman" w:cs="Times New Roman"/>
          <w:b/>
          <w:bCs/>
          <w:color w:val="000000"/>
          <w:sz w:val="24"/>
          <w:szCs w:val="24"/>
        </w:rPr>
        <w:t xml:space="preserve"> al-</w:t>
      </w:r>
      <w:proofErr w:type="spellStart"/>
      <w:r>
        <w:rPr>
          <w:rFonts w:ascii="Times New Roman" w:eastAsia="Times New Roman" w:hAnsi="Times New Roman" w:cs="Times New Roman"/>
          <w:b/>
          <w:bCs/>
          <w:color w:val="000000"/>
          <w:sz w:val="24"/>
          <w:szCs w:val="24"/>
        </w:rPr>
        <w:t>Usrah</w:t>
      </w:r>
      <w:proofErr w:type="spellEnd"/>
    </w:p>
    <w:p w14:paraId="5D87A5E1" w14:textId="77777777" w:rsidR="000F6425" w:rsidRDefault="00000000">
      <w:pPr>
        <w:spacing w:after="120" w:line="240" w:lineRule="auto"/>
        <w:ind w:firstLine="567"/>
        <w:jc w:val="both"/>
        <w:rPr>
          <w:rFonts w:ascii="Times New Roman" w:eastAsia="Times New Roman" w:hAnsi="Times New Roman" w:cs="Times New Roman"/>
          <w:color w:val="000000"/>
          <w:sz w:val="24"/>
          <w:szCs w:val="24"/>
          <w:lang w:val="zh-CN"/>
        </w:rPr>
      </w:pPr>
      <w:r>
        <w:rPr>
          <w:rFonts w:ascii="Times New Roman" w:eastAsia="Times New Roman" w:hAnsi="Times New Roman" w:cs="Times New Roman"/>
          <w:color w:val="000000"/>
          <w:sz w:val="24"/>
          <w:szCs w:val="24"/>
          <w:lang w:val="zh-CN"/>
        </w:rPr>
        <w:t xml:space="preserve">Maqasid al-usrah, as conceived by Jamaluddin Athiyah, is a development of the principle </w:t>
      </w:r>
      <w:r>
        <w:rPr>
          <w:rFonts w:ascii="Times New Roman" w:eastAsia="Times New Roman" w:hAnsi="Times New Roman" w:cs="Times New Roman"/>
          <w:i/>
          <w:iCs/>
          <w:color w:val="000000"/>
          <w:sz w:val="24"/>
          <w:szCs w:val="24"/>
          <w:lang w:val="zh-CN"/>
        </w:rPr>
        <w:t xml:space="preserve">of maqasid al-shari'ah </w:t>
      </w:r>
      <w:r>
        <w:rPr>
          <w:rFonts w:ascii="Times New Roman" w:eastAsia="Times New Roman" w:hAnsi="Times New Roman" w:cs="Times New Roman"/>
          <w:color w:val="000000"/>
          <w:sz w:val="24"/>
          <w:szCs w:val="24"/>
          <w:lang w:val="zh-CN"/>
        </w:rPr>
        <w:t xml:space="preserve">(sharia objectives) specifically applied in the context of the family. According to Athiyah, there are seven main </w:t>
      </w:r>
      <w:r>
        <w:rPr>
          <w:rFonts w:ascii="Times New Roman" w:eastAsia="Times New Roman" w:hAnsi="Times New Roman" w:cs="Times New Roman"/>
          <w:i/>
          <w:iCs/>
          <w:color w:val="000000"/>
          <w:sz w:val="24"/>
          <w:szCs w:val="24"/>
          <w:lang w:val="zh-CN"/>
        </w:rPr>
        <w:t xml:space="preserve">maqasid </w:t>
      </w:r>
      <w:r>
        <w:rPr>
          <w:rFonts w:ascii="Times New Roman" w:eastAsia="Times New Roman" w:hAnsi="Times New Roman" w:cs="Times New Roman"/>
          <w:color w:val="000000"/>
          <w:sz w:val="24"/>
          <w:szCs w:val="24"/>
          <w:lang w:val="zh-CN"/>
        </w:rPr>
        <w:t>in family life that must be realized by a marriage. The following is an analysis of the practice of misyar in light of these seven objectives:</w:t>
      </w:r>
    </w:p>
    <w:p w14:paraId="37F38547" w14:textId="77777777" w:rsidR="000F6425" w:rsidRDefault="00000000">
      <w:pPr>
        <w:spacing w:after="120" w:line="240" w:lineRule="auto"/>
        <w:ind w:firstLine="567"/>
        <w:jc w:val="both"/>
        <w:rPr>
          <w:rFonts w:ascii="Times New Roman" w:eastAsia="Times New Roman" w:hAnsi="Times New Roman" w:cs="Times New Roman"/>
          <w:color w:val="000000"/>
          <w:sz w:val="24"/>
          <w:szCs w:val="24"/>
          <w:lang w:val="zh-CN"/>
        </w:rPr>
      </w:pPr>
      <w:r>
        <w:rPr>
          <w:rFonts w:ascii="Times New Roman" w:eastAsia="Times New Roman" w:hAnsi="Times New Roman" w:cs="Times New Roman"/>
          <w:b/>
          <w:bCs/>
          <w:color w:val="000000"/>
          <w:sz w:val="24"/>
          <w:szCs w:val="24"/>
          <w:lang w:val="zh-CN"/>
        </w:rPr>
        <w:t xml:space="preserve">First, </w:t>
      </w:r>
      <w:r>
        <w:rPr>
          <w:rFonts w:ascii="Times New Roman" w:eastAsia="Times New Roman" w:hAnsi="Times New Roman" w:cs="Times New Roman"/>
          <w:b/>
          <w:bCs/>
          <w:i/>
          <w:iCs/>
          <w:color w:val="000000"/>
          <w:sz w:val="24"/>
          <w:szCs w:val="24"/>
          <w:lang w:val="zh-CN"/>
        </w:rPr>
        <w:t xml:space="preserve">tandhimu ‘alaqah baina al-jinsain </w:t>
      </w:r>
      <w:r>
        <w:rPr>
          <w:rFonts w:ascii="Times New Roman" w:eastAsia="Times New Roman" w:hAnsi="Times New Roman" w:cs="Times New Roman"/>
          <w:b/>
          <w:bCs/>
          <w:color w:val="000000"/>
          <w:sz w:val="24"/>
          <w:szCs w:val="24"/>
          <w:lang w:val="zh-CN"/>
        </w:rPr>
        <w:t xml:space="preserve">(regulating the relationship between the two sexes). </w:t>
      </w:r>
      <w:r>
        <w:rPr>
          <w:rFonts w:ascii="Times New Roman" w:eastAsia="Times New Roman" w:hAnsi="Times New Roman" w:cs="Times New Roman"/>
          <w:color w:val="000000"/>
          <w:sz w:val="24"/>
          <w:szCs w:val="24"/>
          <w:lang w:val="zh-CN"/>
        </w:rPr>
        <w:t>The objective of sharia here is to regulate the relationship between husband and wife so that it avoids negative things and takes place in an orderly manner. In misyar marriages that are carried out secretly (without state registration), this first objective is not fulfilled. The relationship between husband and wife in misyar has the potential to cause disorder and conflict, because their marriage bond is legally weak. If domestic problems arise along the way—for example, disharmony or even violence—the wife and children will be in a weak position because the state cannot provide legal protection (for example, through the courts) to the wife and children. Unregistered misyar marriages cause the state to view the couple as having no bond whatsoever, making it difficult for law enforcement officials to intervene to defend them when their rights are violated. As a result, the wife bears the psychological burden of being powerless in front of her husband. This situation certainly contradicts the first objective of Sharia, whereby the relationship between husband and wife should be regulated to protect each other, not to place one party (the wife) in a vulnerable position without protection.</w:t>
      </w:r>
    </w:p>
    <w:p w14:paraId="144CB4C9" w14:textId="77777777" w:rsidR="000F6425" w:rsidRDefault="00000000">
      <w:pPr>
        <w:spacing w:after="120" w:line="240" w:lineRule="auto"/>
        <w:ind w:firstLine="567"/>
        <w:jc w:val="both"/>
        <w:rPr>
          <w:rFonts w:ascii="Times New Roman" w:eastAsia="Times New Roman" w:hAnsi="Times New Roman" w:cs="Times New Roman"/>
          <w:color w:val="000000"/>
          <w:sz w:val="24"/>
          <w:szCs w:val="24"/>
          <w:lang w:val="zh-CN"/>
        </w:rPr>
      </w:pPr>
      <w:r>
        <w:rPr>
          <w:rFonts w:ascii="Times New Roman" w:eastAsia="Times New Roman" w:hAnsi="Times New Roman" w:cs="Times New Roman"/>
          <w:b/>
          <w:bCs/>
          <w:color w:val="000000"/>
          <w:sz w:val="24"/>
          <w:szCs w:val="24"/>
          <w:lang w:val="zh-CN"/>
        </w:rPr>
        <w:t xml:space="preserve">Second, </w:t>
      </w:r>
      <w:r>
        <w:rPr>
          <w:rFonts w:ascii="Times New Roman" w:eastAsia="Times New Roman" w:hAnsi="Times New Roman" w:cs="Times New Roman"/>
          <w:b/>
          <w:bCs/>
          <w:i/>
          <w:iCs/>
          <w:color w:val="000000"/>
          <w:sz w:val="24"/>
          <w:szCs w:val="24"/>
          <w:lang w:val="zh-CN"/>
        </w:rPr>
        <w:t xml:space="preserve">hifz al-nasl </w:t>
      </w:r>
      <w:r>
        <w:rPr>
          <w:rFonts w:ascii="Times New Roman" w:eastAsia="Times New Roman" w:hAnsi="Times New Roman" w:cs="Times New Roman"/>
          <w:b/>
          <w:bCs/>
          <w:color w:val="000000"/>
          <w:sz w:val="24"/>
          <w:szCs w:val="24"/>
          <w:lang w:val="zh-CN"/>
        </w:rPr>
        <w:t xml:space="preserve">(preserving the lineage). </w:t>
      </w:r>
      <w:r>
        <w:rPr>
          <w:rFonts w:ascii="Times New Roman" w:eastAsia="Times New Roman" w:hAnsi="Times New Roman" w:cs="Times New Roman"/>
          <w:color w:val="000000"/>
          <w:sz w:val="24"/>
          <w:szCs w:val="24"/>
          <w:lang w:val="zh-CN"/>
        </w:rPr>
        <w:t xml:space="preserve">Islamic Sharia strongly emphasizes the importance of clarity regarding the status of children in a marriage. Even when a husband and wife divorce, there is an </w:t>
      </w:r>
      <w:r>
        <w:rPr>
          <w:rFonts w:ascii="Times New Roman" w:eastAsia="Times New Roman" w:hAnsi="Times New Roman" w:cs="Times New Roman"/>
          <w:i/>
          <w:iCs/>
          <w:color w:val="000000"/>
          <w:sz w:val="24"/>
          <w:szCs w:val="24"/>
          <w:lang w:val="zh-CN"/>
        </w:rPr>
        <w:t>'iddah</w:t>
      </w:r>
      <w:r>
        <w:rPr>
          <w:rFonts w:ascii="Times New Roman" w:eastAsia="Times New Roman" w:hAnsi="Times New Roman" w:cs="Times New Roman"/>
          <w:color w:val="000000"/>
          <w:sz w:val="24"/>
          <w:szCs w:val="24"/>
          <w:lang w:val="zh-CN"/>
        </w:rPr>
        <w:t xml:space="preserve"> rule for women to ensure that there is no confusion regarding lineage. In the context of misyar, unregistered marriages can violate this purpose of Sharia because the status of the child born is unclear in the eyes of the law. Children born from misyar cannot legally trace their lineage to their biological father, which has the potential to cause confusion regarding lineage, especially if these children have descendants of their own in the future. In the long term, this can obscure family genealogy. Furthermore, the child also has the potential to lose civil rights such as inheritance rights from his father. The distribution of inheritance is often a source of family conflict even in cases where lineage is clear; moreover, if there are children whose status is not recognized because their parents' marriage is not registered, they will have no legal basis to claim inheritance. This is certainly detrimental to the child and, once again, contradicts the objective of preserving lineage as stipulated by Sharia law. Benuf &amp; Azhar (2019) emphasize that legal research methods must also consider the aspect of lineage protection in every discussion of modern family law</w:t>
      </w:r>
      <w:r>
        <w:rPr>
          <w:rFonts w:ascii="Times New Roman" w:eastAsia="Times New Roman" w:hAnsi="Times New Roman" w:cs="Times New Roman"/>
          <w:color w:val="000000"/>
          <w:sz w:val="24"/>
          <w:szCs w:val="24"/>
        </w:rPr>
        <w:t>.</w:t>
      </w:r>
      <w:r>
        <w:rPr>
          <w:rStyle w:val="FootnoteReference"/>
          <w:rFonts w:ascii="Times New Roman" w:eastAsia="Times New Roman" w:hAnsi="Times New Roman"/>
          <w:color w:val="000000"/>
          <w:sz w:val="24"/>
          <w:szCs w:val="24"/>
          <w:lang w:val="zh-CN"/>
        </w:rPr>
        <w:footnoteReference w:id="49"/>
      </w:r>
    </w:p>
    <w:p w14:paraId="5DC03B24" w14:textId="77777777" w:rsidR="000F6425" w:rsidRDefault="00000000">
      <w:pPr>
        <w:spacing w:after="120" w:line="240" w:lineRule="auto"/>
        <w:ind w:firstLine="567"/>
        <w:jc w:val="both"/>
        <w:rPr>
          <w:rFonts w:ascii="Times New Roman" w:eastAsia="Times New Roman" w:hAnsi="Times New Roman" w:cs="Times New Roman"/>
          <w:color w:val="000000"/>
          <w:sz w:val="24"/>
          <w:szCs w:val="24"/>
          <w:lang w:val="zh-CN"/>
        </w:rPr>
      </w:pPr>
      <w:r>
        <w:rPr>
          <w:rFonts w:ascii="Times New Roman" w:eastAsia="Times New Roman" w:hAnsi="Times New Roman" w:cs="Times New Roman"/>
          <w:b/>
          <w:bCs/>
          <w:color w:val="000000"/>
          <w:sz w:val="24"/>
          <w:szCs w:val="24"/>
          <w:lang w:val="zh-CN"/>
        </w:rPr>
        <w:t xml:space="preserve">Third, </w:t>
      </w:r>
      <w:r>
        <w:rPr>
          <w:rFonts w:ascii="Times New Roman" w:eastAsia="Times New Roman" w:hAnsi="Times New Roman" w:cs="Times New Roman"/>
          <w:b/>
          <w:bCs/>
          <w:i/>
          <w:iCs/>
          <w:color w:val="000000"/>
          <w:sz w:val="24"/>
          <w:szCs w:val="24"/>
          <w:lang w:val="zh-CN"/>
        </w:rPr>
        <w:t xml:space="preserve">tahqīq al-sakan wa al-mawaddah wa al-raḥmah </w:t>
      </w:r>
      <w:r>
        <w:rPr>
          <w:rFonts w:ascii="Times New Roman" w:eastAsia="Times New Roman" w:hAnsi="Times New Roman" w:cs="Times New Roman"/>
          <w:b/>
          <w:bCs/>
          <w:color w:val="000000"/>
          <w:sz w:val="24"/>
          <w:szCs w:val="24"/>
          <w:lang w:val="zh-CN"/>
        </w:rPr>
        <w:t xml:space="preserve">(realizing peace, love, and compassion in the family). </w:t>
      </w:r>
      <w:r>
        <w:rPr>
          <w:rFonts w:ascii="Times New Roman" w:eastAsia="Times New Roman" w:hAnsi="Times New Roman" w:cs="Times New Roman"/>
          <w:color w:val="000000"/>
          <w:sz w:val="24"/>
          <w:szCs w:val="24"/>
          <w:lang w:val="zh-CN"/>
        </w:rPr>
        <w:t xml:space="preserve">Everyone certainly desires a peaceful, harmonious, and loving family. Similarly, Islamic law stipulates that marriage aims to create a </w:t>
      </w:r>
      <w:r>
        <w:rPr>
          <w:rFonts w:ascii="Times New Roman" w:eastAsia="Times New Roman" w:hAnsi="Times New Roman" w:cs="Times New Roman"/>
          <w:i/>
          <w:iCs/>
          <w:color w:val="000000"/>
          <w:sz w:val="24"/>
          <w:szCs w:val="24"/>
          <w:lang w:val="zh-CN"/>
        </w:rPr>
        <w:t xml:space="preserve">sakinah, mawaddah, rahmah </w:t>
      </w:r>
      <w:r>
        <w:rPr>
          <w:rFonts w:ascii="Times New Roman" w:eastAsia="Times New Roman" w:hAnsi="Times New Roman" w:cs="Times New Roman"/>
          <w:color w:val="000000"/>
          <w:sz w:val="24"/>
          <w:szCs w:val="24"/>
          <w:lang w:val="zh-CN"/>
        </w:rPr>
        <w:t>family</w:t>
      </w:r>
      <w:r>
        <w:rPr>
          <w:rFonts w:ascii="Times New Roman" w:eastAsia="Times New Roman" w:hAnsi="Times New Roman" w:cs="Times New Roman"/>
          <w:i/>
          <w:iCs/>
          <w:color w:val="000000"/>
          <w:sz w:val="24"/>
          <w:szCs w:val="24"/>
          <w:lang w:val="zh-CN"/>
        </w:rPr>
        <w:t xml:space="preserve">. </w:t>
      </w:r>
      <w:r>
        <w:rPr>
          <w:rFonts w:ascii="Times New Roman" w:eastAsia="Times New Roman" w:hAnsi="Times New Roman" w:cs="Times New Roman"/>
          <w:color w:val="000000"/>
          <w:sz w:val="24"/>
          <w:szCs w:val="24"/>
          <w:lang w:val="zh-CN"/>
        </w:rPr>
        <w:t>However, if someone enters into a misyar marriage, the potential problems are far greater than in a normal marriage. In a misyar family, each family member—whether husband, wife, or child—is likely to feel uncomfortable because their rights and obligations may not be fulfilled properly. For example, the husband in a misyar marriage feels that he does not have full responsibility, the wife feels that she does not receive her rights to financial support or protection as she should, and the children (if any) feel that they do not receive full recognition or affection from their father. This condition makes the foundation of inner peace in the family very fragile. The author's observations show that misyar marriages generally occur due to factors such as busyness (not wanting to be bothered with household affairs) and the high biological desire of the woman. However, if a child is born from this misyar relationship and a rift occurs between the child and the parents, it is possible that the child will not be recognized by his father. Even if the parents later want to seek legal status for the child, law enforcement will have difficulty because there are no marriage documents as a legal basis. In fact, in cases of domestic violence, wives in misyar marriages do not have access to legal protection because their husbands are not officially recognized as such. In normal circumstances, victims of domestic violence can seek protection from their family or report it to the police, but in a misyar marriage, the wife may be reluctant to report it because she is ashamed (her marriage is not approved by her family) or because the authorities do not consider her case to fall under the legal category of domestic violence (due to the lack of proof of marriage). Thus, it can be concluded that the practice of misyar fails to realize this third objective; instead of providing peace and affection, misyar is prone to causing discomfort and uncertainty for family members.</w:t>
      </w:r>
    </w:p>
    <w:p w14:paraId="32A9AFCB" w14:textId="77777777" w:rsidR="000F6425" w:rsidRDefault="00000000">
      <w:pPr>
        <w:spacing w:after="120" w:line="240" w:lineRule="auto"/>
        <w:ind w:firstLine="567"/>
        <w:jc w:val="both"/>
        <w:rPr>
          <w:rFonts w:ascii="Times New Roman" w:eastAsia="Times New Roman" w:hAnsi="Times New Roman" w:cs="Times New Roman"/>
          <w:color w:val="000000"/>
          <w:sz w:val="24"/>
          <w:szCs w:val="24"/>
          <w:lang w:val="zh-CN"/>
        </w:rPr>
      </w:pPr>
      <w:r>
        <w:rPr>
          <w:rFonts w:ascii="Times New Roman" w:eastAsia="Times New Roman" w:hAnsi="Times New Roman" w:cs="Times New Roman"/>
          <w:b/>
          <w:bCs/>
          <w:color w:val="000000"/>
          <w:sz w:val="24"/>
          <w:szCs w:val="24"/>
          <w:lang w:val="zh-CN"/>
        </w:rPr>
        <w:t xml:space="preserve">Fourth, </w:t>
      </w:r>
      <w:r>
        <w:rPr>
          <w:rFonts w:ascii="Times New Roman" w:eastAsia="Times New Roman" w:hAnsi="Times New Roman" w:cs="Times New Roman"/>
          <w:b/>
          <w:bCs/>
          <w:i/>
          <w:iCs/>
          <w:color w:val="000000"/>
          <w:sz w:val="24"/>
          <w:szCs w:val="24"/>
          <w:lang w:val="zh-CN"/>
        </w:rPr>
        <w:t xml:space="preserve">hifz al-nasab </w:t>
      </w:r>
      <w:r>
        <w:rPr>
          <w:rFonts w:ascii="Times New Roman" w:eastAsia="Times New Roman" w:hAnsi="Times New Roman" w:cs="Times New Roman"/>
          <w:b/>
          <w:bCs/>
          <w:color w:val="000000"/>
          <w:sz w:val="24"/>
          <w:szCs w:val="24"/>
          <w:lang w:val="zh-CN"/>
        </w:rPr>
        <w:t xml:space="preserve">(preserving family ties). </w:t>
      </w:r>
      <w:r>
        <w:rPr>
          <w:rFonts w:ascii="Times New Roman" w:eastAsia="Times New Roman" w:hAnsi="Times New Roman" w:cs="Times New Roman"/>
          <w:color w:val="000000"/>
          <w:sz w:val="24"/>
          <w:szCs w:val="24"/>
          <w:lang w:val="zh-CN"/>
        </w:rPr>
        <w:t xml:space="preserve">Athiyah explains that the consequences of nasab in sharia matters are crucial. In Islam, there is the concept of a marriage guardian for brides, whereby the guardian (biological father or closest male relative) is a pillar of marriage. Problems arise when the girl's parents were previously married in a misyar marriage without official records, so that the status of her biological father is not recorded as a legal guardian. Daughters born of misyar marriages will experience difficulties in finding a guardian when they want to get married in the future. In addition, children born from misyar marriages will also experience psychological pressure in their social lives. For example, when the child enters school and has to submit a birth certificate, they may find that the document only lists their mother's name without their father's name. This will certainly be a big question for the child, especially if they see their friends have birth certificates with both parents clearly listed. This psychological burden can trigger internal conflict; the child may become angry or protest to their mother when they are old enough to realize the irregularity of their parents' status. In the context of society, children whose birth certificates only list their mother (without their father) are often stigmatized as "children born out of wedlock," which will affect their social interactions and acceptance. From the maqasid perspective, this fourth objective is clearly not achieved in misyar, because instead of maintaining family ties, misyar has the potential to sever or weaken those ties. The biological father cannot act as the guardian for his daughter's marriage because his status is not legal, and kinship with the father's extended family is disrupted or severed. In short, misyar marriage has the potential to damage the preservation of lineage and strain intergenerational family relationships. Social stigmas such as the perception of </w:t>
      </w:r>
      <w:r>
        <w:rPr>
          <w:rFonts w:ascii="Times New Roman" w:eastAsia="Times New Roman" w:hAnsi="Times New Roman" w:cs="Times New Roman"/>
          <w:i/>
          <w:iCs/>
          <w:color w:val="000000"/>
          <w:sz w:val="24"/>
          <w:szCs w:val="24"/>
          <w:lang w:val="zh-CN"/>
        </w:rPr>
        <w:t xml:space="preserve">"kumpul </w:t>
      </w:r>
      <w:r>
        <w:rPr>
          <w:rFonts w:ascii="Times New Roman" w:eastAsia="Times New Roman" w:hAnsi="Times New Roman" w:cs="Times New Roman"/>
          <w:color w:val="000000"/>
          <w:sz w:val="24"/>
          <w:szCs w:val="24"/>
          <w:lang w:val="zh-CN"/>
        </w:rPr>
        <w:t>kebo" (cohabitation) towards parents also add to the burden, which would not occur if the marriage was carried out legally and registered by the state.</w:t>
      </w:r>
    </w:p>
    <w:p w14:paraId="32C9BED0" w14:textId="77777777" w:rsidR="000F6425" w:rsidRDefault="00000000">
      <w:pPr>
        <w:spacing w:after="120" w:line="240" w:lineRule="auto"/>
        <w:ind w:firstLine="567"/>
        <w:jc w:val="both"/>
        <w:rPr>
          <w:rFonts w:ascii="Times New Roman" w:eastAsia="Times New Roman" w:hAnsi="Times New Roman" w:cs="Times New Roman"/>
          <w:color w:val="000000"/>
          <w:sz w:val="24"/>
          <w:szCs w:val="24"/>
          <w:lang w:val="zh-CN"/>
        </w:rPr>
      </w:pPr>
      <w:r>
        <w:rPr>
          <w:rFonts w:ascii="Times New Roman" w:eastAsia="Times New Roman" w:hAnsi="Times New Roman" w:cs="Times New Roman"/>
          <w:b/>
          <w:bCs/>
          <w:color w:val="000000"/>
          <w:sz w:val="24"/>
          <w:szCs w:val="24"/>
          <w:lang w:val="zh-CN"/>
        </w:rPr>
        <w:t xml:space="preserve">Fifth, </w:t>
      </w:r>
      <w:r>
        <w:rPr>
          <w:rFonts w:ascii="Times New Roman" w:eastAsia="Times New Roman" w:hAnsi="Times New Roman" w:cs="Times New Roman"/>
          <w:b/>
          <w:bCs/>
          <w:i/>
          <w:iCs/>
          <w:color w:val="000000"/>
          <w:sz w:val="24"/>
          <w:szCs w:val="24"/>
          <w:lang w:val="zh-CN"/>
        </w:rPr>
        <w:t xml:space="preserve">hifz al-tadayyun fi al-usrah </w:t>
      </w:r>
      <w:r>
        <w:rPr>
          <w:rFonts w:ascii="Times New Roman" w:eastAsia="Times New Roman" w:hAnsi="Times New Roman" w:cs="Times New Roman"/>
          <w:b/>
          <w:bCs/>
          <w:color w:val="000000"/>
          <w:sz w:val="24"/>
          <w:szCs w:val="24"/>
          <w:lang w:val="zh-CN"/>
        </w:rPr>
        <w:t xml:space="preserve">(maintaining the quality of religious life in the family). </w:t>
      </w:r>
      <w:r>
        <w:rPr>
          <w:rFonts w:ascii="Times New Roman" w:eastAsia="Times New Roman" w:hAnsi="Times New Roman" w:cs="Times New Roman"/>
          <w:color w:val="000000"/>
          <w:sz w:val="24"/>
          <w:szCs w:val="24"/>
          <w:lang w:val="zh-CN"/>
        </w:rPr>
        <w:t xml:space="preserve">In Athiyah's discussion, this goal emphasizes the importance of every family living a good religious life, in which the father usually plays the role of spiritual leader of the family. However, in families resulting from misyar, efforts to maintain </w:t>
      </w:r>
      <w:r>
        <w:rPr>
          <w:rFonts w:ascii="Times New Roman" w:eastAsia="Times New Roman" w:hAnsi="Times New Roman" w:cs="Times New Roman"/>
          <w:i/>
          <w:iCs/>
          <w:color w:val="000000"/>
          <w:sz w:val="24"/>
          <w:szCs w:val="24"/>
          <w:lang w:val="zh-CN"/>
        </w:rPr>
        <w:t xml:space="preserve">tadayyun </w:t>
      </w:r>
      <w:r>
        <w:rPr>
          <w:rFonts w:ascii="Times New Roman" w:eastAsia="Times New Roman" w:hAnsi="Times New Roman" w:cs="Times New Roman"/>
          <w:color w:val="000000"/>
          <w:sz w:val="24"/>
          <w:szCs w:val="24"/>
          <w:lang w:val="zh-CN"/>
        </w:rPr>
        <w:t>(religiousness) have the potential to be less than optimal. The wife and children are in a state of suspicion and psychological pressure due to the uncertainty of the legality of their relationship with their husband/father. As a result, the father is unable to optimally lead the family in carrying out religious commands. Usually, in a legally recognized family, the father can firmly guide his wife and children to pray, recite the Quran, and perform other religious duties. But in a misyar situation, the father may be rarely present, or the wife may not have full respect or trust due to her husband's unclear status in the eyes of the law and his extended family. This makes the quality of religious life in a misyar family potentially fragile. Children may be confused about emulating a father who is not recognized by their grandparents; wives may be reluctant to obey because from the outset they feel equal or even "more dominant" in the misyar relationship. Thus, the Sharia objective of building a family that is strong in religious values is difficult to achieve within the framework of misyar marriage.</w:t>
      </w:r>
    </w:p>
    <w:p w14:paraId="00A9F0A8" w14:textId="77777777" w:rsidR="000F6425" w:rsidRDefault="00000000">
      <w:pPr>
        <w:spacing w:after="120" w:line="240" w:lineRule="auto"/>
        <w:ind w:firstLine="567"/>
        <w:jc w:val="both"/>
        <w:rPr>
          <w:rFonts w:ascii="Times New Roman" w:eastAsia="Times New Roman" w:hAnsi="Times New Roman" w:cs="Times New Roman"/>
          <w:color w:val="000000"/>
          <w:sz w:val="24"/>
          <w:szCs w:val="24"/>
          <w:lang w:val="zh-CN"/>
        </w:rPr>
      </w:pPr>
      <w:r>
        <w:rPr>
          <w:rFonts w:ascii="Times New Roman" w:eastAsia="Times New Roman" w:hAnsi="Times New Roman" w:cs="Times New Roman"/>
          <w:b/>
          <w:bCs/>
          <w:color w:val="000000"/>
          <w:sz w:val="24"/>
          <w:szCs w:val="24"/>
          <w:lang w:val="zh-CN"/>
        </w:rPr>
        <w:t xml:space="preserve">Sixth, </w:t>
      </w:r>
      <w:r>
        <w:rPr>
          <w:rFonts w:ascii="Times New Roman" w:eastAsia="Times New Roman" w:hAnsi="Times New Roman" w:cs="Times New Roman"/>
          <w:b/>
          <w:bCs/>
          <w:i/>
          <w:iCs/>
          <w:color w:val="000000"/>
          <w:sz w:val="24"/>
          <w:szCs w:val="24"/>
          <w:lang w:val="zh-CN"/>
        </w:rPr>
        <w:t xml:space="preserve">tandhīm al-jānib al-mu’assasi li al-usrah </w:t>
      </w:r>
      <w:r>
        <w:rPr>
          <w:rFonts w:ascii="Times New Roman" w:eastAsia="Times New Roman" w:hAnsi="Times New Roman" w:cs="Times New Roman"/>
          <w:b/>
          <w:bCs/>
          <w:color w:val="000000"/>
          <w:sz w:val="24"/>
          <w:szCs w:val="24"/>
          <w:lang w:val="zh-CN"/>
        </w:rPr>
        <w:t xml:space="preserve">(regulating the fundamental aspects of the family institution). </w:t>
      </w:r>
      <w:r>
        <w:rPr>
          <w:rFonts w:ascii="Times New Roman" w:eastAsia="Times New Roman" w:hAnsi="Times New Roman" w:cs="Times New Roman"/>
          <w:color w:val="000000"/>
          <w:sz w:val="24"/>
          <w:szCs w:val="24"/>
          <w:lang w:val="zh-CN"/>
        </w:rPr>
        <w:t xml:space="preserve">This aspect discusses rights and obligations within the family, such as the rights of wives and children to be provided for and the rights of husbands to be obeyed in matters of makruf. In marriages that are legally recognized by the state, these rights and obligations can be fulfilled to the maximum extent possible because there are legal mechanisms in place to support them. For example, if the husband does not provide for his wife and children, the wife can sue through legal channels (the court) to ensure that the husband fulfills his obligations. This is different in misyar marriages; wives will find it difficult to demand the fulfillment of their rights because legally, the husband and wife are "not bound." Wives and children in misyar marriages are vulnerable to prolonged problems related to the fulfillment of their rights. The most obvious example is during pregnancy and childbirth. In an official marriage, a husband will generally be on standby to accompany his wife during her pregnancy until she gives birth, because he feels fully responsible. However, in a misyar marriage, because the status of the relationship </w:t>
      </w:r>
      <w:r>
        <w:rPr>
          <w:rFonts w:ascii="Times New Roman" w:eastAsia="Times New Roman" w:hAnsi="Times New Roman" w:cs="Times New Roman"/>
          <w:i/>
          <w:iCs/>
          <w:color w:val="000000"/>
          <w:sz w:val="24"/>
          <w:szCs w:val="24"/>
          <w:lang w:val="zh-CN"/>
        </w:rPr>
        <w:t>is unclear</w:t>
      </w:r>
      <w:r>
        <w:rPr>
          <w:rFonts w:ascii="Times New Roman" w:eastAsia="Times New Roman" w:hAnsi="Times New Roman" w:cs="Times New Roman"/>
          <w:color w:val="000000"/>
          <w:sz w:val="24"/>
          <w:szCs w:val="24"/>
          <w:lang w:val="zh-CN"/>
        </w:rPr>
        <w:t xml:space="preserve">, such full attention may be lost. Even worse, as the moment of birth approaches—when the wife really needs </w:t>
      </w:r>
      <w:r>
        <w:rPr>
          <w:rFonts w:ascii="Times New Roman" w:eastAsia="Times New Roman" w:hAnsi="Times New Roman" w:cs="Times New Roman"/>
          <w:i/>
          <w:iCs/>
          <w:color w:val="000000"/>
          <w:sz w:val="24"/>
          <w:szCs w:val="24"/>
          <w:lang w:val="zh-CN"/>
        </w:rPr>
        <w:t xml:space="preserve">her husband to be </w:t>
      </w:r>
      <w:r>
        <w:rPr>
          <w:rFonts w:ascii="Times New Roman" w:eastAsia="Times New Roman" w:hAnsi="Times New Roman" w:cs="Times New Roman"/>
          <w:color w:val="000000"/>
          <w:sz w:val="24"/>
          <w:szCs w:val="24"/>
          <w:lang w:val="zh-CN"/>
        </w:rPr>
        <w:t xml:space="preserve">there—the misyar husband may feel </w:t>
      </w:r>
      <w:r>
        <w:rPr>
          <w:rFonts w:ascii="Times New Roman" w:eastAsia="Times New Roman" w:hAnsi="Times New Roman" w:cs="Times New Roman"/>
          <w:i/>
          <w:iCs/>
          <w:color w:val="000000"/>
          <w:sz w:val="24"/>
          <w:szCs w:val="24"/>
          <w:lang w:val="zh-CN"/>
        </w:rPr>
        <w:t xml:space="preserve">"freed from responsibility" </w:t>
      </w:r>
      <w:r>
        <w:rPr>
          <w:rFonts w:ascii="Times New Roman" w:eastAsia="Times New Roman" w:hAnsi="Times New Roman" w:cs="Times New Roman"/>
          <w:color w:val="000000"/>
          <w:sz w:val="24"/>
          <w:szCs w:val="24"/>
          <w:lang w:val="zh-CN"/>
        </w:rPr>
        <w:t>and be reluctant to accompany her, on the grounds that they are not bound by any legal rules. If this happens, the wife will be greatly disadvantaged because she will go through a critical period without her husband's support. In addition, if there is a violation of obligations in misyar (for example, the husband breaks his promise to provide financial support even though it has been agreed upon), the wife has no formal legal channel to file a claim. From this analysis, it is clear that the sixth objective—namely, the guaranteed fulfillment of rights and obligations between family members—is not achieved in misyar marriage. What happens instead is a violation of the rights of wives and children, and they have no legal recourse to demand their rights because their relationship is outside the framework of a family institution recognized by the state.</w:t>
      </w:r>
    </w:p>
    <w:p w14:paraId="12820E43" w14:textId="77777777" w:rsidR="000F6425" w:rsidRDefault="00000000">
      <w:pPr>
        <w:spacing w:after="120" w:line="240" w:lineRule="auto"/>
        <w:ind w:firstLine="567"/>
        <w:jc w:val="both"/>
        <w:rPr>
          <w:rFonts w:ascii="Times New Roman" w:eastAsia="Times New Roman" w:hAnsi="Times New Roman" w:cs="Times New Roman"/>
          <w:color w:val="000000"/>
          <w:sz w:val="24"/>
          <w:szCs w:val="24"/>
          <w:lang w:val="zh-CN"/>
        </w:rPr>
      </w:pPr>
      <w:r>
        <w:rPr>
          <w:rFonts w:ascii="Times New Roman" w:eastAsia="Times New Roman" w:hAnsi="Times New Roman" w:cs="Times New Roman"/>
          <w:b/>
          <w:bCs/>
          <w:color w:val="000000"/>
          <w:sz w:val="24"/>
          <w:szCs w:val="24"/>
          <w:lang w:val="zh-CN"/>
        </w:rPr>
        <w:t xml:space="preserve">Seventh, </w:t>
      </w:r>
      <w:r>
        <w:rPr>
          <w:rFonts w:ascii="Times New Roman" w:eastAsia="Times New Roman" w:hAnsi="Times New Roman" w:cs="Times New Roman"/>
          <w:b/>
          <w:bCs/>
          <w:i/>
          <w:iCs/>
          <w:color w:val="000000"/>
          <w:sz w:val="24"/>
          <w:szCs w:val="24"/>
          <w:lang w:val="zh-CN"/>
        </w:rPr>
        <w:t xml:space="preserve">tandhīm al-jānib al-māli li al-usrah </w:t>
      </w:r>
      <w:r>
        <w:rPr>
          <w:rFonts w:ascii="Times New Roman" w:eastAsia="Times New Roman" w:hAnsi="Times New Roman" w:cs="Times New Roman"/>
          <w:b/>
          <w:bCs/>
          <w:color w:val="000000"/>
          <w:sz w:val="24"/>
          <w:szCs w:val="24"/>
          <w:lang w:val="zh-CN"/>
        </w:rPr>
        <w:t xml:space="preserve">(regulating the main aspects of family economics). </w:t>
      </w:r>
      <w:r>
        <w:rPr>
          <w:rFonts w:ascii="Times New Roman" w:eastAsia="Times New Roman" w:hAnsi="Times New Roman" w:cs="Times New Roman"/>
          <w:color w:val="000000"/>
          <w:sz w:val="24"/>
          <w:szCs w:val="24"/>
          <w:lang w:val="zh-CN"/>
        </w:rPr>
        <w:t>In this case, Athiyah includes everything related to property in the discussion of family economics, including dowry, financial support, and inheritance. In a normal marriage, a wife is entitled to a dowry at the time of the contract and food and clothing during the marriage, and children are entitled to inheritance from their parents. All these rights are potentially lost when the marriage takes place under misyar. If the husband no longer loves his wife or there are problems in the household, the husband can easily stop providing for his wife and abandon her without legal consequences. Other parties (family or authorities) who want to help claim the rights of the wife and children cannot do much because legally their marriage does not exist. As a result, the economic rights of wives and children are truly vulnerable to loss. For example, when a misyar husband dies, a misyar wife cannot claim any inheritance because her marriage is not recognized, so all assets go to other heirs. Similarly, children from misyar marriages can lose their inheritance rights from their father because their parents' marital status is not registered. These issues clearly contradict the maqasid of the economic aspect of the family, where sharia should guarantee that the financial rights of wives and children are protected.</w:t>
      </w:r>
    </w:p>
    <w:p w14:paraId="2269E0C8" w14:textId="77777777" w:rsidR="000F6425" w:rsidRDefault="00000000">
      <w:pPr>
        <w:spacing w:after="120" w:line="240" w:lineRule="auto"/>
        <w:ind w:firstLine="567"/>
        <w:jc w:val="both"/>
        <w:rPr>
          <w:rFonts w:ascii="Times New Roman" w:eastAsia="Times New Roman" w:hAnsi="Times New Roman" w:cs="Times New Roman"/>
          <w:color w:val="000000"/>
          <w:sz w:val="24"/>
          <w:szCs w:val="24"/>
          <w:lang w:val="zh-CN"/>
        </w:rPr>
      </w:pPr>
      <w:r>
        <w:rPr>
          <w:rFonts w:ascii="Times New Roman" w:eastAsia="Times New Roman" w:hAnsi="Times New Roman" w:cs="Times New Roman"/>
          <w:color w:val="000000"/>
          <w:sz w:val="24"/>
          <w:szCs w:val="24"/>
          <w:lang w:val="zh-CN"/>
        </w:rPr>
        <w:t xml:space="preserve">From the above description, it is clear that the practice of misyar marriage fails to fulfill most of the objectives outlined in </w:t>
      </w:r>
      <w:r>
        <w:rPr>
          <w:rFonts w:ascii="Times New Roman" w:eastAsia="Times New Roman" w:hAnsi="Times New Roman" w:cs="Times New Roman"/>
          <w:i/>
          <w:iCs/>
          <w:color w:val="000000"/>
          <w:sz w:val="24"/>
          <w:szCs w:val="24"/>
          <w:lang w:val="zh-CN"/>
        </w:rPr>
        <w:t xml:space="preserve">maqasid al-usrah </w:t>
      </w:r>
      <w:r>
        <w:rPr>
          <w:rFonts w:ascii="Times New Roman" w:eastAsia="Times New Roman" w:hAnsi="Times New Roman" w:cs="Times New Roman"/>
          <w:color w:val="000000"/>
          <w:sz w:val="24"/>
          <w:szCs w:val="24"/>
          <w:lang w:val="zh-CN"/>
        </w:rPr>
        <w:t>according to Athiyah. The implementation of misyar actually opens up opportunities for violations of things that should be protected in a marriage, ranging from the aspects of protecting spouses, continuity of lineage, harmony and blessings in the household, clarity of lineage, family religious guidance, to the guarantee of family economic rights.</w:t>
      </w:r>
    </w:p>
    <w:p w14:paraId="52E11FBA" w14:textId="77777777" w:rsidR="000F6425" w:rsidRDefault="00000000">
      <w:pPr>
        <w:spacing w:before="120" w:after="120" w:line="240" w:lineRule="auto"/>
        <w:jc w:val="both"/>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Conclusion</w:t>
      </w:r>
    </w:p>
    <w:p w14:paraId="218AF435" w14:textId="77777777" w:rsidR="000F6425" w:rsidRDefault="00000000">
      <w:pPr>
        <w:spacing w:after="120" w:line="240" w:lineRule="auto"/>
        <w:ind w:firstLine="567"/>
        <w:jc w:val="both"/>
        <w:rPr>
          <w:rFonts w:ascii="Times New Roman" w:eastAsia="Times New Roman" w:hAnsi="Times New Roman" w:cs="Times New Roman"/>
          <w:color w:val="000000"/>
          <w:sz w:val="24"/>
          <w:szCs w:val="24"/>
          <w:lang w:val="zh-CN"/>
        </w:rPr>
      </w:pPr>
      <w:r>
        <w:rPr>
          <w:rFonts w:ascii="Times New Roman" w:eastAsia="Times New Roman" w:hAnsi="Times New Roman" w:cs="Times New Roman"/>
          <w:color w:val="000000"/>
          <w:sz w:val="24"/>
          <w:szCs w:val="24"/>
          <w:lang w:val="zh-CN" w:eastAsia="zh-CN"/>
        </w:rPr>
        <w:t xml:space="preserve">From the above discussion, it can be concluded that the practice of misyar marriage among socialite women, when viewed </w:t>
      </w:r>
      <w:r>
        <w:rPr>
          <w:rFonts w:ascii="Times New Roman" w:eastAsia="Times New Roman" w:hAnsi="Times New Roman" w:cs="Times New Roman"/>
          <w:color w:val="000000"/>
          <w:sz w:val="24"/>
          <w:szCs w:val="24"/>
          <w:lang w:eastAsia="zh-CN"/>
        </w:rPr>
        <w:t xml:space="preserve">from </w:t>
      </w:r>
      <w:r>
        <w:rPr>
          <w:rFonts w:ascii="Times New Roman" w:eastAsia="Times New Roman" w:hAnsi="Times New Roman" w:cs="Times New Roman"/>
          <w:color w:val="000000"/>
          <w:sz w:val="24"/>
          <w:szCs w:val="24"/>
          <w:lang w:val="zh-CN" w:eastAsia="zh-CN"/>
        </w:rPr>
        <w:t xml:space="preserve">the perspective </w:t>
      </w:r>
      <w:r>
        <w:rPr>
          <w:rFonts w:ascii="Times New Roman" w:eastAsia="Times New Roman" w:hAnsi="Times New Roman" w:cs="Times New Roman"/>
          <w:i/>
          <w:iCs/>
          <w:color w:val="000000"/>
          <w:sz w:val="24"/>
          <w:szCs w:val="24"/>
          <w:lang w:val="zh-CN" w:eastAsia="zh-CN"/>
        </w:rPr>
        <w:t>of maqasid al-usrah</w:t>
      </w:r>
      <w:r>
        <w:rPr>
          <w:rFonts w:ascii="Times New Roman" w:eastAsia="Times New Roman" w:hAnsi="Times New Roman" w:cs="Times New Roman"/>
          <w:color w:val="000000"/>
          <w:sz w:val="24"/>
          <w:szCs w:val="24"/>
          <w:lang w:val="zh-CN" w:eastAsia="zh-CN"/>
        </w:rPr>
        <w:t xml:space="preserve">, shows </w:t>
      </w:r>
      <w:r>
        <w:rPr>
          <w:rFonts w:ascii="Times New Roman" w:eastAsia="Times New Roman" w:hAnsi="Times New Roman" w:cs="Times New Roman"/>
          <w:color w:val="000000"/>
          <w:sz w:val="24"/>
          <w:szCs w:val="24"/>
          <w:lang w:eastAsia="zh-CN"/>
        </w:rPr>
        <w:t xml:space="preserve">that </w:t>
      </w:r>
      <w:r>
        <w:rPr>
          <w:rFonts w:ascii="Times New Roman" w:eastAsia="Times New Roman" w:hAnsi="Times New Roman" w:cs="Times New Roman"/>
          <w:color w:val="000000"/>
          <w:sz w:val="24"/>
          <w:szCs w:val="24"/>
          <w:lang w:val="zh-CN"/>
        </w:rPr>
        <w:t>the practice of misyar marriage fails to fulfill the fundamental objectives of marriage according to Islamic law. (1) The husband-wife relationship in misyar is far from harmonious because the wife bears a psychological burden in a weak position without legal protection. (2) Children born cannot attribute their lineage to their biological father, so that lineage has the potential to be severed and the rights of children (such as inheritance) are not guaranteed. (3) The foundations of peace, inner peace, and love between family members are very fragile because the rights and obligations in the misyar family have the potential not to be fulfilled properly. (4) Family ties (lineage) are vulnerable to being severed because the father cannot act as the guardian for his child's marriage, so kinship with the father's extended family is also not sustainable. (5) The quality of religious guidance in families resulting from unregistered marriages tends to be weak because the father is not fully present and the family lives in uncertainty about their status. (6) The fulfillment of basic rights and obligations in the household cannot be achieved optimally, given that there is no binding enforcement mechanism between husband and wife. (7) The economic rights of wives and children are highly likely to be lost, as there is no legal guarantee of alimony, dowry, or inheritance in marriages that are not recognized by the state.</w:t>
      </w:r>
    </w:p>
    <w:p w14:paraId="6AC757F0" w14:textId="77777777" w:rsidR="000F6425" w:rsidRDefault="00000000">
      <w:pPr>
        <w:spacing w:after="120" w:line="240" w:lineRule="auto"/>
        <w:ind w:firstLine="567"/>
        <w:jc w:val="both"/>
        <w:rPr>
          <w:rFonts w:ascii="Times New Roman" w:eastAsia="Times New Roman" w:hAnsi="Times New Roman" w:cs="Times New Roman"/>
          <w:color w:val="000000"/>
          <w:sz w:val="24"/>
          <w:szCs w:val="24"/>
          <w:lang w:val="zh-CN"/>
        </w:rPr>
      </w:pPr>
      <w:r>
        <w:rPr>
          <w:rFonts w:ascii="Times New Roman" w:eastAsia="Times New Roman" w:hAnsi="Times New Roman" w:cs="Times New Roman"/>
          <w:color w:val="000000"/>
          <w:sz w:val="24"/>
          <w:szCs w:val="24"/>
          <w:lang w:val="zh-CN"/>
        </w:rPr>
        <w:t>Overall, although misyar marriage may be considered valid according to some fiqh views, this practice has various negative implications that contradict the principles of gender justice and the main objectives of marriage in Islam. Therefore, serious attention is needed from stakeholders—scholars, academics, and policymakers—to address the phenomenon of misyar marriage. Efforts to educate the public about the importance of marriage registration and gender equality must be encouraged in order to prevent the spread of practices that are detrimental to women and children. In addition, further study is needed to find fiqh solutions that can accommodate the need for flexibility in marriage without sacrificing women's rights and the noble objectives of sharia in forming a family. Thus, it is hoped that Islamic law can continue to develop responsively to modern social realities, while maintaining the principles of justice and benefit for all members of society.</w:t>
      </w:r>
    </w:p>
    <w:p w14:paraId="7C858559" w14:textId="77777777" w:rsidR="000F6425" w:rsidRDefault="000F6425">
      <w:pPr>
        <w:spacing w:after="120" w:line="240" w:lineRule="auto"/>
        <w:jc w:val="both"/>
        <w:rPr>
          <w:rFonts w:ascii="Times New Roman" w:eastAsia="Times New Roman" w:hAnsi="Times New Roman" w:cs="Times New Roman"/>
          <w:color w:val="000000"/>
          <w:sz w:val="24"/>
          <w:szCs w:val="24"/>
        </w:rPr>
      </w:pPr>
    </w:p>
    <w:p w14:paraId="2959AE94" w14:textId="77777777" w:rsidR="000F6425" w:rsidRDefault="00000000">
      <w:pPr>
        <w:spacing w:before="120" w:after="12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Bibliography:</w:t>
      </w:r>
    </w:p>
    <w:p w14:paraId="708B385B" w14:textId="77777777" w:rsidR="000F6425" w:rsidRDefault="00000000">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 xml:space="preserve">ADDIN Mendeley Bibliography CSL_BIBLIOGRAPHY </w:instrText>
      </w:r>
      <w:r>
        <w:rPr>
          <w:rFonts w:ascii="Times New Roman" w:eastAsia="Times New Roman" w:hAnsi="Times New Roman" w:cs="Times New Roman"/>
          <w:sz w:val="24"/>
          <w:szCs w:val="24"/>
        </w:rPr>
        <w:fldChar w:fldCharType="separate"/>
      </w:r>
      <w:r>
        <w:rPr>
          <w:rFonts w:ascii="Times New Roman" w:hAnsi="Times New Roman" w:cs="Times New Roman"/>
          <w:sz w:val="24"/>
        </w:rPr>
        <w:t>Abad, Mahra. “Wawancara Dengan Mahra Abad Di Riyadh, Saudi Arabia.” Riyadh, Saudi Arabia, December 9, 2023.</w:t>
      </w:r>
    </w:p>
    <w:p w14:paraId="27FDFE09" w14:textId="77777777" w:rsidR="000F6425" w:rsidRDefault="00000000">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rPr>
        <w:t xml:space="preserve">al-Qaradawi, Muhammad Yusuf. </w:t>
      </w:r>
      <w:r>
        <w:rPr>
          <w:rFonts w:ascii="Times New Roman" w:hAnsi="Times New Roman" w:cs="Times New Roman"/>
          <w:i/>
          <w:iCs/>
          <w:sz w:val="24"/>
        </w:rPr>
        <w:t>Fatawa Mu‘Ashirah</w:t>
      </w:r>
      <w:r>
        <w:rPr>
          <w:rFonts w:ascii="Times New Roman" w:hAnsi="Times New Roman" w:cs="Times New Roman"/>
          <w:sz w:val="24"/>
        </w:rPr>
        <w:t>. Jakarta: Gema Insani Press, 2002.</w:t>
      </w:r>
    </w:p>
    <w:p w14:paraId="5607663A" w14:textId="77777777" w:rsidR="000F6425" w:rsidRDefault="00000000">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i/>
          <w:iCs/>
          <w:sz w:val="24"/>
        </w:rPr>
        <w:t>Zawaj Al-Misyar: Haqiqatuh Wa Hukmuh</w:t>
      </w:r>
      <w:r>
        <w:rPr>
          <w:rFonts w:ascii="Times New Roman" w:hAnsi="Times New Roman" w:cs="Times New Roman"/>
          <w:sz w:val="24"/>
        </w:rPr>
        <w:t>. Mesir: Maktabah Wahbah, 2006.</w:t>
      </w:r>
    </w:p>
    <w:p w14:paraId="74E9996E" w14:textId="77777777" w:rsidR="000F6425" w:rsidRDefault="00000000">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rPr>
        <w:t xml:space="preserve">al-Zuhayli, Wahbah. </w:t>
      </w:r>
      <w:r>
        <w:rPr>
          <w:rFonts w:ascii="Times New Roman" w:hAnsi="Times New Roman" w:cs="Times New Roman"/>
          <w:i/>
          <w:iCs/>
          <w:sz w:val="24"/>
        </w:rPr>
        <w:t>Al-Fiqh Al-Islami Wa Adillatuh</w:t>
      </w:r>
      <w:r>
        <w:rPr>
          <w:rFonts w:ascii="Times New Roman" w:hAnsi="Times New Roman" w:cs="Times New Roman"/>
          <w:sz w:val="24"/>
        </w:rPr>
        <w:t>. Vol. 9. Beirut: Dar al-Fikr, 1999.</w:t>
      </w:r>
    </w:p>
    <w:p w14:paraId="40B01369" w14:textId="77777777" w:rsidR="000F6425" w:rsidRDefault="00000000">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rPr>
        <w:t xml:space="preserve">Arsal, Thriwaty. “Nikah Siri Dalam Tinjauan Demografi.” </w:t>
      </w:r>
      <w:r>
        <w:rPr>
          <w:rFonts w:ascii="Times New Roman" w:hAnsi="Times New Roman" w:cs="Times New Roman"/>
          <w:i/>
          <w:iCs/>
          <w:sz w:val="24"/>
        </w:rPr>
        <w:t>Jurnal Sosiologi Pedesaan</w:t>
      </w:r>
      <w:r>
        <w:rPr>
          <w:rFonts w:ascii="Times New Roman" w:hAnsi="Times New Roman" w:cs="Times New Roman"/>
          <w:sz w:val="24"/>
        </w:rPr>
        <w:t xml:space="preserve"> 6, no. 2 (September 2012): 166.</w:t>
      </w:r>
    </w:p>
    <w:p w14:paraId="3DE58620" w14:textId="77777777" w:rsidR="000F6425" w:rsidRDefault="00000000">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rPr>
        <w:t xml:space="preserve">Arsyad, Aisyah. “Polemik Nikah Siri: Dualisme Hukum Memapankan Sistem Patriarki.” In </w:t>
      </w:r>
      <w:r>
        <w:rPr>
          <w:rFonts w:ascii="Times New Roman" w:hAnsi="Times New Roman" w:cs="Times New Roman"/>
          <w:i/>
          <w:iCs/>
          <w:sz w:val="24"/>
        </w:rPr>
        <w:t>Muslim Subjectivity: Spektrum Islam Indonesia</w:t>
      </w:r>
      <w:r>
        <w:rPr>
          <w:rFonts w:ascii="Times New Roman" w:hAnsi="Times New Roman" w:cs="Times New Roman"/>
          <w:sz w:val="24"/>
        </w:rPr>
        <w:t>, edited by M (ed.) Nabiel, 57. Yogyakarta: Pustaka Insan Madani, 2017.</w:t>
      </w:r>
    </w:p>
    <w:p w14:paraId="29575171" w14:textId="77777777" w:rsidR="000F6425" w:rsidRDefault="00000000">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rPr>
        <w:t xml:space="preserve">Benuf, Kornelius, and Muhamad Azhar. “Metodologi Penelitian Hukum Sebagai Instrumen Mengurai Permasalahan Hukum Kontemporer.” </w:t>
      </w:r>
      <w:r>
        <w:rPr>
          <w:rFonts w:ascii="Times New Roman" w:hAnsi="Times New Roman" w:cs="Times New Roman"/>
          <w:i/>
          <w:iCs/>
          <w:sz w:val="24"/>
        </w:rPr>
        <w:t>Refleksi Hukum: Jurnal Ilmu Hukum</w:t>
      </w:r>
      <w:r>
        <w:rPr>
          <w:rFonts w:ascii="Times New Roman" w:hAnsi="Times New Roman" w:cs="Times New Roman"/>
          <w:sz w:val="24"/>
        </w:rPr>
        <w:t xml:space="preserve"> 3, no. 2 (2019): 145–60. https://doi.org/10.24246/jrh.2019.v3.i2.p145-160.</w:t>
      </w:r>
    </w:p>
    <w:p w14:paraId="15DC3166" w14:textId="77777777" w:rsidR="000F6425" w:rsidRDefault="00000000">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rPr>
        <w:t xml:space="preserve">Creswell, J W. </w:t>
      </w:r>
      <w:r>
        <w:rPr>
          <w:rFonts w:ascii="Times New Roman" w:hAnsi="Times New Roman" w:cs="Times New Roman"/>
          <w:i/>
          <w:iCs/>
          <w:sz w:val="24"/>
        </w:rPr>
        <w:t>Research Design: Penelitian Kualitatif, Kuantitatif &amp; Mixed</w:t>
      </w:r>
      <w:r>
        <w:rPr>
          <w:rFonts w:ascii="Times New Roman" w:hAnsi="Times New Roman" w:cs="Times New Roman"/>
          <w:sz w:val="24"/>
        </w:rPr>
        <w:t>. 5th ed. Yogyakarta: Pustaka Pelajar, 2015.</w:t>
      </w:r>
    </w:p>
    <w:p w14:paraId="3B5FC543" w14:textId="77777777" w:rsidR="000F6425" w:rsidRDefault="00000000">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rPr>
        <w:t xml:space="preserve">Cudd, Ann E. “Sensationalized Philosophy: A Reply to Marquis’s ‘Why Abortion Is Immoral.’” </w:t>
      </w:r>
      <w:r>
        <w:rPr>
          <w:rFonts w:ascii="Times New Roman" w:hAnsi="Times New Roman" w:cs="Times New Roman"/>
          <w:i/>
          <w:iCs/>
          <w:sz w:val="24"/>
        </w:rPr>
        <w:t>The Journal of Philosophy</w:t>
      </w:r>
      <w:r>
        <w:rPr>
          <w:rFonts w:ascii="Times New Roman" w:hAnsi="Times New Roman" w:cs="Times New Roman"/>
          <w:sz w:val="24"/>
        </w:rPr>
        <w:t xml:space="preserve"> 87, no. 5 (May 1990): 262. https://doi.org/10.2307/2026833.</w:t>
      </w:r>
    </w:p>
    <w:p w14:paraId="641F5F73" w14:textId="77777777" w:rsidR="000F6425" w:rsidRDefault="00000000">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rPr>
        <w:t xml:space="preserve">Ershad uddin, Ahm. “The Practice and Legitimacy of Misyār Marriage: A Critical Analysis within Islamic Law.” </w:t>
      </w:r>
      <w:r>
        <w:rPr>
          <w:rFonts w:ascii="Times New Roman" w:hAnsi="Times New Roman" w:cs="Times New Roman"/>
          <w:i/>
          <w:iCs/>
          <w:sz w:val="24"/>
        </w:rPr>
        <w:t>Journal of The Near East University Islamic Research Center</w:t>
      </w:r>
      <w:r>
        <w:rPr>
          <w:rFonts w:ascii="Times New Roman" w:hAnsi="Times New Roman" w:cs="Times New Roman"/>
          <w:sz w:val="24"/>
        </w:rPr>
        <w:t xml:space="preserve"> 9, no. 2 (December 30, 2023): 254–70. https://doi.org/10.32955/neu.istem.2023.9.2.06.</w:t>
      </w:r>
    </w:p>
    <w:p w14:paraId="229D9CE4" w14:textId="77777777" w:rsidR="000F6425" w:rsidRDefault="00000000">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rPr>
        <w:t>Fatimah. “Wawancara Dengan Fatimah Di Alexandria, Mesir.” Alexandria, Mesir, April 20, 2022.</w:t>
      </w:r>
    </w:p>
    <w:p w14:paraId="13988FB4" w14:textId="77777777" w:rsidR="000F6425" w:rsidRDefault="00000000">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rPr>
        <w:t xml:space="preserve">Halilurrahman, M, and Imam Edi Supeno. “Pandangan Maqasid Al-Shari’ah Dalam Fatwa Ulama Kontemporer Tentang Nikah Misyar.” </w:t>
      </w:r>
      <w:r>
        <w:rPr>
          <w:rFonts w:ascii="Times New Roman" w:hAnsi="Times New Roman" w:cs="Times New Roman"/>
          <w:i/>
          <w:iCs/>
          <w:sz w:val="24"/>
        </w:rPr>
        <w:t>AL-ASHLAH : Jurnal Hukum Keluarga Dan Hukum Islam</w:t>
      </w:r>
      <w:r>
        <w:rPr>
          <w:rFonts w:ascii="Times New Roman" w:hAnsi="Times New Roman" w:cs="Times New Roman"/>
          <w:sz w:val="24"/>
        </w:rPr>
        <w:t xml:space="preserve"> 1, no. 1 (2022): 1–14. http://www.ejournal.iaiibrahimy.ac.id/index.php/al_ashlah/article/view/1259.</w:t>
      </w:r>
    </w:p>
    <w:p w14:paraId="5ECD9AB2" w14:textId="77777777" w:rsidR="000F6425" w:rsidRDefault="00000000">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rPr>
        <w:t xml:space="preserve">Hermanto, Agus, Dwi Wulandari, and Meriyati. “Nikah Misyar Dan Terpenuhinya Hak Dan Kewajiban Suami Istri.” </w:t>
      </w:r>
      <w:r>
        <w:rPr>
          <w:rFonts w:ascii="Times New Roman" w:hAnsi="Times New Roman" w:cs="Times New Roman"/>
          <w:i/>
          <w:iCs/>
          <w:sz w:val="24"/>
        </w:rPr>
        <w:t>Ijtimaiyya: Jurnal Pengembangan Masyarakat Islam</w:t>
      </w:r>
      <w:r>
        <w:rPr>
          <w:rFonts w:ascii="Times New Roman" w:hAnsi="Times New Roman" w:cs="Times New Roman"/>
          <w:sz w:val="24"/>
        </w:rPr>
        <w:t xml:space="preserve"> 13, no. 2 (2020): 131–60. http://ejournal.radenintan.ac.id/index.php/ijtimaiyya/index.</w:t>
      </w:r>
    </w:p>
    <w:p w14:paraId="10B4823F" w14:textId="77777777" w:rsidR="000F6425" w:rsidRDefault="00000000">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rPr>
        <w:t>Iman. “Wawancara Dengan Iman Di Casablanca, Maroko.” Casablanca, Maroko, November 4, 2019.</w:t>
      </w:r>
    </w:p>
    <w:p w14:paraId="77F56DB8" w14:textId="77777777" w:rsidR="000F6425" w:rsidRDefault="00000000">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rPr>
        <w:t>“Interview with Mumun, on September 29, 2021,” n.d.</w:t>
      </w:r>
    </w:p>
    <w:p w14:paraId="1D7F2CF3" w14:textId="77777777" w:rsidR="000F6425" w:rsidRDefault="00000000">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rPr>
        <w:t>Ira. “Wawancara Dengan Ira,” February 5, 2019.</w:t>
      </w:r>
    </w:p>
    <w:p w14:paraId="32EC188E" w14:textId="77777777" w:rsidR="000F6425" w:rsidRDefault="00000000">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rPr>
        <w:t>Jaggar, Alison. “Gender and Global Justice,” 2014. https://consensus.app/papers/gender-and-global-justice-jaggar/1bbb5495d6b551428c79843f6e212a80/.</w:t>
      </w:r>
    </w:p>
    <w:p w14:paraId="2676D4DB" w14:textId="77777777" w:rsidR="000F6425" w:rsidRDefault="00000000">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rPr>
        <w:t xml:space="preserve">Jamil, Syahril, Muhammad Adil, Muhammad Torik, Zulmi Ramdani, Muhammad Abdillah, Yen Fikri Rani, and . Cholidi. “Changes in Islamic Society and Culture in Customary Marriage Within the Uluan Musi Community.” </w:t>
      </w:r>
      <w:r>
        <w:rPr>
          <w:rFonts w:ascii="Times New Roman" w:hAnsi="Times New Roman" w:cs="Times New Roman"/>
          <w:i/>
          <w:iCs/>
          <w:sz w:val="24"/>
        </w:rPr>
        <w:t>Journal of Population and Social Studies</w:t>
      </w:r>
      <w:r>
        <w:rPr>
          <w:rFonts w:ascii="Times New Roman" w:hAnsi="Times New Roman" w:cs="Times New Roman"/>
          <w:sz w:val="24"/>
        </w:rPr>
        <w:t xml:space="preserve"> 32 (October 16, 2023): 107–29. https://doi.org/10.25133/JPSSv322024.007.</w:t>
      </w:r>
    </w:p>
    <w:p w14:paraId="37D0A429" w14:textId="77777777" w:rsidR="000F6425" w:rsidRDefault="00000000">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rPr>
        <w:t>Karmila. “Wawancara Dengan Karmila Di Gombak, Malaysia.” Gombak, Malaysia, September 13, 2024.</w:t>
      </w:r>
    </w:p>
    <w:p w14:paraId="5A368120" w14:textId="77777777" w:rsidR="000F6425" w:rsidRDefault="00000000">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rPr>
        <w:t xml:space="preserve">Kern, Florian G. “The Trials and Tribulations of Applied Triangulation: Weighing Different Data Sources.” </w:t>
      </w:r>
      <w:r>
        <w:rPr>
          <w:rFonts w:ascii="Times New Roman" w:hAnsi="Times New Roman" w:cs="Times New Roman"/>
          <w:i/>
          <w:iCs/>
          <w:sz w:val="24"/>
        </w:rPr>
        <w:t>Journal of Mixed Methods Research</w:t>
      </w:r>
      <w:r>
        <w:rPr>
          <w:rFonts w:ascii="Times New Roman" w:hAnsi="Times New Roman" w:cs="Times New Roman"/>
          <w:sz w:val="24"/>
        </w:rPr>
        <w:t xml:space="preserve"> 12, no. 2 (2018): 166. https://doi.org/10.1177/1558689816651032.</w:t>
      </w:r>
    </w:p>
    <w:p w14:paraId="7804865B" w14:textId="77777777" w:rsidR="000F6425" w:rsidRDefault="00000000">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rPr>
        <w:t>Kumparan. “Pengertian Dan Hukum Nikah Misyar Dalam Islam.” Kumparan.com, 2023. https://kumparan.com/berita-hari-ini/pengertian-dan-hukum-nikah-misyar-dalam-islam-20D7pT9suLK.</w:t>
      </w:r>
    </w:p>
    <w:p w14:paraId="60A35A2D" w14:textId="77777777" w:rsidR="000F6425" w:rsidRDefault="00000000">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rPr>
        <w:t>Lela. “Wawancara Dengan Lela,” December 10, 2019.</w:t>
      </w:r>
    </w:p>
    <w:p w14:paraId="75C759C5" w14:textId="77777777" w:rsidR="000F6425" w:rsidRDefault="00000000">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rPr>
        <w:t xml:space="preserve">Lutfiyah, Zeni. “Perkawinan Siri Dalam Reformulasi Hukum Perkawinan Islam Di Indonesia Sebagai Upaya Preventif Terhadap Disharmoni Sosial Dalam Masyarakat (Perspektif Gender Dan Hak Asasi Manusia).” </w:t>
      </w:r>
      <w:r>
        <w:rPr>
          <w:rFonts w:ascii="Times New Roman" w:hAnsi="Times New Roman" w:cs="Times New Roman"/>
          <w:i/>
          <w:iCs/>
          <w:sz w:val="24"/>
        </w:rPr>
        <w:t>Jurnal Yustisia</w:t>
      </w:r>
      <w:r>
        <w:rPr>
          <w:rFonts w:ascii="Times New Roman" w:hAnsi="Times New Roman" w:cs="Times New Roman"/>
          <w:sz w:val="24"/>
        </w:rPr>
        <w:t>, no. 91 (2015): 106.</w:t>
      </w:r>
    </w:p>
    <w:p w14:paraId="7BCBCA35" w14:textId="77777777" w:rsidR="000F6425" w:rsidRDefault="00000000">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rPr>
        <w:t xml:space="preserve">Miles, Matthew B, A Michael Huberman, and Johnny Saldana. </w:t>
      </w:r>
      <w:r>
        <w:rPr>
          <w:rFonts w:ascii="Times New Roman" w:hAnsi="Times New Roman" w:cs="Times New Roman"/>
          <w:i/>
          <w:iCs/>
          <w:sz w:val="24"/>
        </w:rPr>
        <w:t>Qualitative Data Analysis: A Methods Sourcebook</w:t>
      </w:r>
      <w:r>
        <w:rPr>
          <w:rFonts w:ascii="Times New Roman" w:hAnsi="Times New Roman" w:cs="Times New Roman"/>
          <w:sz w:val="24"/>
        </w:rPr>
        <w:t>. SAGE Publications, 2018. https://books.google.co.id/books?id=fjh2DwAAQBAJ.</w:t>
      </w:r>
    </w:p>
    <w:p w14:paraId="541945F8" w14:textId="77777777" w:rsidR="000F6425" w:rsidRDefault="00000000">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rPr>
        <w:t>Mimi. “Wawancara Dengan Mimi,” December 20, 2019.</w:t>
      </w:r>
    </w:p>
    <w:p w14:paraId="689E1887" w14:textId="77777777" w:rsidR="000F6425" w:rsidRDefault="00000000">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rPr>
        <w:t>Muslimah. “Wawancara Dengan Muslimah Di Jeddah, Saudi Arabia.” Jeddah, Saudi Arabia, December 6, 2023.</w:t>
      </w:r>
    </w:p>
    <w:p w14:paraId="141FE04B" w14:textId="77777777" w:rsidR="000F6425" w:rsidRDefault="00000000">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rPr>
        <w:t xml:space="preserve">Mustopa, Mustopa. “Qira’at Diversity in Islamic Family Law Verses: Implications for Indonesian Marriage Law.” </w:t>
      </w:r>
      <w:r>
        <w:rPr>
          <w:rFonts w:ascii="Times New Roman" w:hAnsi="Times New Roman" w:cs="Times New Roman"/>
          <w:i/>
          <w:iCs/>
          <w:sz w:val="24"/>
        </w:rPr>
        <w:t>Samarah: Jurnal Hukum Keluarga Dan Hukum Islam</w:t>
      </w:r>
      <w:r>
        <w:rPr>
          <w:rFonts w:ascii="Times New Roman" w:hAnsi="Times New Roman" w:cs="Times New Roman"/>
          <w:sz w:val="24"/>
        </w:rPr>
        <w:t xml:space="preserve"> 8, no. 2 (July 31, 2024): 1257. https://doi.org/10.22373/sjhk.v8i2.23513.</w:t>
      </w:r>
    </w:p>
    <w:p w14:paraId="25EC4A48" w14:textId="77777777" w:rsidR="000F6425" w:rsidRDefault="00000000">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rPr>
        <w:t xml:space="preserve">Osmani, Noor Mohammad. “Misyar Marriage between Shari`ah Texts, Realities and Scholars’ Fatawa’: An Analysis.” </w:t>
      </w:r>
      <w:r>
        <w:rPr>
          <w:rFonts w:ascii="Times New Roman" w:hAnsi="Times New Roman" w:cs="Times New Roman"/>
          <w:i/>
          <w:iCs/>
          <w:sz w:val="24"/>
        </w:rPr>
        <w:t>IIUC Studies</w:t>
      </w:r>
      <w:r>
        <w:rPr>
          <w:rFonts w:ascii="Times New Roman" w:hAnsi="Times New Roman" w:cs="Times New Roman"/>
          <w:sz w:val="24"/>
        </w:rPr>
        <w:t xml:space="preserve"> 7 (November 6, 2012): 297. https://doi.org/10.3329/iiucs.v7i0.12495.</w:t>
      </w:r>
    </w:p>
    <w:p w14:paraId="74EA65FF" w14:textId="77777777" w:rsidR="000F6425" w:rsidRDefault="00000000">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rPr>
        <w:t xml:space="preserve">Pramai, Shella Arinda Putri J., Yandri Radhi Anadi, and Nurdeng Deuraseh. “The Phenomenon of Development Misyar Marriage from the Perspective of Islamic Law and Human Rights.” </w:t>
      </w:r>
      <w:r>
        <w:rPr>
          <w:rFonts w:ascii="Times New Roman" w:hAnsi="Times New Roman" w:cs="Times New Roman"/>
          <w:i/>
          <w:iCs/>
          <w:sz w:val="24"/>
        </w:rPr>
        <w:t>De Jure: Jurnal Hukum Dan Syar’iah</w:t>
      </w:r>
      <w:r>
        <w:rPr>
          <w:rFonts w:ascii="Times New Roman" w:hAnsi="Times New Roman" w:cs="Times New Roman"/>
          <w:sz w:val="24"/>
        </w:rPr>
        <w:t xml:space="preserve"> 15, no. 1 (2023): 101. https://doi.org/10.18860/j-fsh.v15i1.19013.</w:t>
      </w:r>
    </w:p>
    <w:p w14:paraId="5F57F087" w14:textId="77777777" w:rsidR="000F6425" w:rsidRDefault="00000000">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rPr>
        <w:t>Rodiyah. “Wawancara Dengan Rodiyah Di Jeddah, Saudi Arabia.” Jeddah, Saudi Arabia, December 4, 2023.</w:t>
      </w:r>
    </w:p>
    <w:p w14:paraId="4BB365DA" w14:textId="77777777" w:rsidR="000F6425" w:rsidRDefault="00000000">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rPr>
        <w:t>Rothenberg, Paula. “Invisible Privilege,” 2000. https://doi.org/10.5860/choice.38-0370.</w:t>
      </w:r>
    </w:p>
    <w:p w14:paraId="3C572ADF" w14:textId="77777777" w:rsidR="000F6425" w:rsidRDefault="00000000">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rPr>
        <w:t xml:space="preserve">Suddick, Kitty Maria, Vinette Cross, Pirjo Vuoskoski, Kathleen T. Galvin, and Graham Stew. “The Work of Hermeneutic Phenomenology.” </w:t>
      </w:r>
      <w:r>
        <w:rPr>
          <w:rFonts w:ascii="Times New Roman" w:hAnsi="Times New Roman" w:cs="Times New Roman"/>
          <w:i/>
          <w:iCs/>
          <w:sz w:val="24"/>
        </w:rPr>
        <w:t>International Journal of Qualitative Methods</w:t>
      </w:r>
      <w:r>
        <w:rPr>
          <w:rFonts w:ascii="Times New Roman" w:hAnsi="Times New Roman" w:cs="Times New Roman"/>
          <w:sz w:val="24"/>
        </w:rPr>
        <w:t xml:space="preserve"> 19 (2020): 1. https://doi.org/10.1177/1609406920947600.</w:t>
      </w:r>
    </w:p>
    <w:p w14:paraId="77147C35" w14:textId="77777777" w:rsidR="000F6425" w:rsidRDefault="00000000">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rPr>
        <w:t>Susi. “Interview with, on August 15,” 2019.</w:t>
      </w:r>
    </w:p>
    <w:p w14:paraId="67EDFD3B" w14:textId="77777777" w:rsidR="000F6425" w:rsidRDefault="00000000">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rPr>
        <w:t>———. “Wawancara Dengan Susi Pada 11 Maret,” March 11, 2019.</w:t>
      </w:r>
    </w:p>
    <w:p w14:paraId="3018A391" w14:textId="77777777" w:rsidR="000F6425" w:rsidRDefault="00000000">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rPr>
        <w:t>Suti. “Wawancara Dengan Suti Pada 04 Desember,” December 4, 2019.</w:t>
      </w:r>
    </w:p>
    <w:p w14:paraId="3C47B111" w14:textId="77777777" w:rsidR="000F6425" w:rsidRDefault="00000000">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rPr>
        <w:t xml:space="preserve">Syahril, Muh. Akbar Fhad, and Nurhaedah Hasan. “The Phenomenon of Inner Marriage from the Perspective of National Marriage Law and Protection of Women.” </w:t>
      </w:r>
      <w:r>
        <w:rPr>
          <w:rFonts w:ascii="Times New Roman" w:hAnsi="Times New Roman" w:cs="Times New Roman"/>
          <w:i/>
          <w:iCs/>
          <w:sz w:val="24"/>
        </w:rPr>
        <w:t>Priviet Social Sciences Journal</w:t>
      </w:r>
      <w:r>
        <w:rPr>
          <w:rFonts w:ascii="Times New Roman" w:hAnsi="Times New Roman" w:cs="Times New Roman"/>
          <w:sz w:val="24"/>
        </w:rPr>
        <w:t xml:space="preserve"> 5, no. 7 (July 14, 2025): 11–19. https://doi.org/10.55942/pssj.v5i7.403.</w:t>
      </w:r>
    </w:p>
    <w:p w14:paraId="2560A647" w14:textId="77777777" w:rsidR="000F6425" w:rsidRDefault="00000000">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rPr>
        <w:t xml:space="preserve">Syariah, Fakultas. “Nikah Misyar Perspective of Women And Child Protection Law.” </w:t>
      </w:r>
      <w:r>
        <w:rPr>
          <w:rFonts w:ascii="Times New Roman" w:hAnsi="Times New Roman" w:cs="Times New Roman"/>
          <w:i/>
          <w:iCs/>
          <w:sz w:val="24"/>
        </w:rPr>
        <w:t>Journal of Islamic and Law Studies</w:t>
      </w:r>
      <w:r>
        <w:rPr>
          <w:rFonts w:ascii="Times New Roman" w:hAnsi="Times New Roman" w:cs="Times New Roman"/>
          <w:sz w:val="24"/>
        </w:rPr>
        <w:t xml:space="preserve"> 9, no. 3 (2025): 191–203. https://doi.org/10.18592/jils.v9i3.18006.</w:t>
      </w:r>
    </w:p>
    <w:p w14:paraId="07D7C81D" w14:textId="77777777" w:rsidR="000F6425" w:rsidRDefault="00000000">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rPr>
        <w:t>Tim, CNN. “Misyar, ‘Pernikahan Tanpa Ikatan’ Yang Marak Di Saudi.” CNN Inndonesia, 2021. https://www.cnnindonesia.com/gaya-hidup/20210706064239-282-663613/misyar-pernikahan-tanpa-ikatan-yang-marak-di-saudi.</w:t>
      </w:r>
    </w:p>
    <w:p w14:paraId="7C24BD99" w14:textId="77777777" w:rsidR="000F6425" w:rsidRDefault="00000000">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rPr>
        <w:t>Titin. “Wawancara Dengan Titin,” July 11, 2019.</w:t>
      </w:r>
    </w:p>
    <w:p w14:paraId="288A9836" w14:textId="77777777" w:rsidR="000F6425" w:rsidRDefault="00000000">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rPr>
        <w:t xml:space="preserve">Ulfah, Isnatin. </w:t>
      </w:r>
      <w:r>
        <w:rPr>
          <w:rFonts w:ascii="Times New Roman" w:hAnsi="Times New Roman" w:cs="Times New Roman"/>
          <w:i/>
          <w:iCs/>
          <w:sz w:val="24"/>
        </w:rPr>
        <w:t>Perempuan Di Tengah Konflik Agama</w:t>
      </w:r>
      <w:r>
        <w:rPr>
          <w:rFonts w:ascii="Times New Roman" w:hAnsi="Times New Roman" w:cs="Times New Roman"/>
          <w:sz w:val="24"/>
        </w:rPr>
        <w:t>. Surabaya, 2015.</w:t>
      </w:r>
    </w:p>
    <w:p w14:paraId="67FE0C62" w14:textId="77777777" w:rsidR="000F6425" w:rsidRDefault="00000000">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rPr>
        <w:t xml:space="preserve">Ulum, Miftahul. </w:t>
      </w:r>
      <w:r>
        <w:rPr>
          <w:rFonts w:ascii="Times New Roman" w:hAnsi="Times New Roman" w:cs="Times New Roman"/>
          <w:i/>
          <w:iCs/>
          <w:sz w:val="24"/>
        </w:rPr>
        <w:t>Examining Misyar Marriage Practices in East Java</w:t>
      </w:r>
      <w:r>
        <w:rPr>
          <w:rFonts w:ascii="Times New Roman" w:hAnsi="Times New Roman" w:cs="Times New Roman"/>
          <w:sz w:val="24"/>
        </w:rPr>
        <w:t>. Cilacap: IHYA Media, 2016.</w:t>
      </w:r>
    </w:p>
    <w:p w14:paraId="182DF15B" w14:textId="77777777" w:rsidR="000F6425" w:rsidRDefault="00000000">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rPr>
        <w:t xml:space="preserve">Wahid, Abdul. “Listening to Everyone’s Voice: The Contested Rights of Muslim Marriage Practices in Eastern Indonesia.” </w:t>
      </w:r>
      <w:r>
        <w:rPr>
          <w:rFonts w:ascii="Times New Roman" w:hAnsi="Times New Roman" w:cs="Times New Roman"/>
          <w:i/>
          <w:iCs/>
          <w:sz w:val="24"/>
        </w:rPr>
        <w:t>Global Journal Al Thaqafah</w:t>
      </w:r>
      <w:r>
        <w:rPr>
          <w:rFonts w:ascii="Times New Roman" w:hAnsi="Times New Roman" w:cs="Times New Roman"/>
          <w:sz w:val="24"/>
        </w:rPr>
        <w:t xml:space="preserve"> 10, no. 2 (December 31, 2020): 47–57. https://doi.org/10.7187/GJAT122020-6.</w:t>
      </w:r>
    </w:p>
    <w:p w14:paraId="3590FD29" w14:textId="77777777" w:rsidR="000F6425" w:rsidRDefault="00000000">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rPr>
        <w:t xml:space="preserve">Zein, M Satria Effendi. </w:t>
      </w:r>
      <w:r>
        <w:rPr>
          <w:rFonts w:ascii="Times New Roman" w:hAnsi="Times New Roman" w:cs="Times New Roman"/>
          <w:i/>
          <w:iCs/>
          <w:sz w:val="24"/>
        </w:rPr>
        <w:t>Problematika Hukum Keluarga Islam Kontemporer</w:t>
      </w:r>
      <w:r>
        <w:rPr>
          <w:rFonts w:ascii="Times New Roman" w:hAnsi="Times New Roman" w:cs="Times New Roman"/>
          <w:sz w:val="24"/>
        </w:rPr>
        <w:t>. Jakarta: Prenada Media, 2004.</w:t>
      </w:r>
    </w:p>
    <w:p w14:paraId="164CE437" w14:textId="77777777" w:rsidR="000F6425" w:rsidRDefault="00000000">
      <w:pPr>
        <w:widowControl w:val="0"/>
        <w:autoSpaceDE w:val="0"/>
        <w:autoSpaceDN w:val="0"/>
        <w:adjustRightInd w:val="0"/>
        <w:spacing w:after="0" w:line="240" w:lineRule="auto"/>
        <w:ind w:left="480" w:hanging="4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end"/>
      </w:r>
    </w:p>
    <w:p w14:paraId="1EDBCF0D" w14:textId="77777777" w:rsidR="000F6425" w:rsidRDefault="00000000">
      <w:pPr>
        <w:spacing w:before="120" w:after="12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Acknowledgements</w:t>
      </w:r>
    </w:p>
    <w:p w14:paraId="71A2DA9F" w14:textId="77777777" w:rsidR="000F6425" w:rsidRDefault="00000000">
      <w:pPr>
        <w:spacing w:before="120" w:after="12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Example :</w:t>
      </w:r>
      <w:proofErr w:type="gramEnd"/>
      <w:r>
        <w:rPr>
          <w:rFonts w:ascii="Times New Roman" w:eastAsia="Times New Roman" w:hAnsi="Times New Roman" w:cs="Times New Roman"/>
          <w:sz w:val="24"/>
          <w:szCs w:val="24"/>
        </w:rPr>
        <w:t xml:space="preserve"> The Authors would like to express my sincere gratitude to my [name of the supervisor] for his/her support and guidance throughout the doctoral </w:t>
      </w:r>
      <w:proofErr w:type="spellStart"/>
      <w:r>
        <w:rPr>
          <w:rFonts w:ascii="Times New Roman" w:eastAsia="Times New Roman" w:hAnsi="Times New Roman" w:cs="Times New Roman"/>
          <w:sz w:val="24"/>
          <w:szCs w:val="24"/>
        </w:rPr>
        <w:t>programme</w:t>
      </w:r>
      <w:proofErr w:type="spellEnd"/>
      <w:r>
        <w:rPr>
          <w:rFonts w:ascii="Times New Roman" w:eastAsia="Times New Roman" w:hAnsi="Times New Roman" w:cs="Times New Roman"/>
          <w:sz w:val="24"/>
          <w:szCs w:val="24"/>
        </w:rPr>
        <w:t>. The [professor name] ‘s insights and feedback have been helpful in shaping the scope and directions of this study.</w:t>
      </w:r>
    </w:p>
    <w:p w14:paraId="0FA9E8BF" w14:textId="77777777" w:rsidR="000F6425" w:rsidRDefault="00000000">
      <w:pPr>
        <w:spacing w:before="120" w:after="12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Conflict of Interest Statement</w:t>
      </w:r>
    </w:p>
    <w:p w14:paraId="045298EB" w14:textId="77777777" w:rsidR="000F6425" w:rsidRDefault="00000000">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authors declare that they have no known competing financial interests or personal relationships that could have appeared to influence the work reported in this paper.</w:t>
      </w:r>
    </w:p>
    <w:p w14:paraId="6FC12551" w14:textId="77777777" w:rsidR="000F6425" w:rsidRDefault="00000000">
      <w:pPr>
        <w:spacing w:before="120" w:after="12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Declaration of the use of AI</w:t>
      </w:r>
    </w:p>
    <w:p w14:paraId="5FC18C3C" w14:textId="77777777" w:rsidR="000F6425" w:rsidRDefault="00000000">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authors declare that they used ChatGPT (OpenAI, GPT-5 Thinking; accessed September 2025) to improve the readability, clarity, and consistency of language and to assist with formatting citations and references according to the Chicago Manual of Style (17th ed.). The AI tool was </w:t>
      </w:r>
      <w:r>
        <w:rPr>
          <w:rFonts w:ascii="Times New Roman" w:eastAsia="Times New Roman" w:hAnsi="Times New Roman" w:cs="Times New Roman"/>
          <w:b/>
          <w:bCs/>
          <w:sz w:val="24"/>
          <w:szCs w:val="24"/>
        </w:rPr>
        <w:t>not</w:t>
      </w:r>
      <w:r>
        <w:rPr>
          <w:rFonts w:ascii="Times New Roman" w:eastAsia="Times New Roman" w:hAnsi="Times New Roman" w:cs="Times New Roman"/>
          <w:sz w:val="24"/>
          <w:szCs w:val="24"/>
        </w:rPr>
        <w:t xml:space="preserve"> used to generate research ideas, collect or analyze data, or draft substantive content. All interpretations and conclusions are those of the authors, who reviewed and approved all AI-assisted edits and take full responsibility for the published work. </w:t>
      </w:r>
    </w:p>
    <w:p w14:paraId="1F2DC4B9" w14:textId="77777777" w:rsidR="000F6425" w:rsidRDefault="00000000">
      <w:pPr>
        <w:spacing w:before="120" w:after="12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Funding Statement</w:t>
      </w:r>
    </w:p>
    <w:p w14:paraId="39E0A867" w14:textId="77777777" w:rsidR="000F6425" w:rsidRDefault="00000000">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work was supported by the </w:t>
      </w:r>
      <w:proofErr w:type="spellStart"/>
      <w:r>
        <w:rPr>
          <w:rFonts w:ascii="Times New Roman" w:eastAsia="Times New Roman" w:hAnsi="Times New Roman" w:cs="Times New Roman"/>
          <w:sz w:val="24"/>
          <w:szCs w:val="24"/>
        </w:rPr>
        <w:t>xxxx</w:t>
      </w:r>
      <w:proofErr w:type="spellEnd"/>
      <w:r>
        <w:rPr>
          <w:rFonts w:ascii="Times New Roman" w:eastAsia="Times New Roman" w:hAnsi="Times New Roman" w:cs="Times New Roman"/>
          <w:sz w:val="24"/>
          <w:szCs w:val="24"/>
        </w:rPr>
        <w:t xml:space="preserve"> [grant number xxx] or This research did not receive any specific grant from funding agencies in the public, commercial, or not-for-profit sectors.</w:t>
      </w:r>
    </w:p>
    <w:p w14:paraId="7AA93DEC" w14:textId="77777777" w:rsidR="000F6425" w:rsidRDefault="00000000">
      <w:pPr>
        <w:spacing w:before="120" w:after="12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Credit of Author Statement</w:t>
      </w:r>
    </w:p>
    <w:p w14:paraId="49B98404" w14:textId="77777777" w:rsidR="000F6425" w:rsidRDefault="00000000">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Sudirman: </w:t>
      </w:r>
      <w:r>
        <w:rPr>
          <w:rFonts w:ascii="Times New Roman" w:eastAsia="Times New Roman" w:hAnsi="Times New Roman" w:cs="Times New Roman"/>
          <w:sz w:val="24"/>
          <w:szCs w:val="24"/>
        </w:rPr>
        <w:t xml:space="preserve">Conceptualization and Methodology. </w:t>
      </w:r>
      <w:proofErr w:type="spellStart"/>
      <w:r>
        <w:rPr>
          <w:rFonts w:ascii="Times New Roman" w:eastAsia="Times New Roman" w:hAnsi="Times New Roman" w:cs="Times New Roman"/>
          <w:b/>
          <w:sz w:val="24"/>
          <w:szCs w:val="24"/>
        </w:rPr>
        <w:t>Ramadhita</w:t>
      </w:r>
      <w:proofErr w:type="spellEnd"/>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Data curation, Writing- Original draft preparation. </w:t>
      </w:r>
      <w:proofErr w:type="spellStart"/>
      <w:r>
        <w:rPr>
          <w:rFonts w:ascii="Times New Roman" w:eastAsia="Times New Roman" w:hAnsi="Times New Roman" w:cs="Times New Roman"/>
          <w:b/>
          <w:sz w:val="24"/>
          <w:szCs w:val="24"/>
        </w:rPr>
        <w:t>Syabbul</w:t>
      </w:r>
      <w:proofErr w:type="spellEnd"/>
      <w:r>
        <w:rPr>
          <w:rFonts w:ascii="Times New Roman" w:eastAsia="Times New Roman" w:hAnsi="Times New Roman" w:cs="Times New Roman"/>
          <w:b/>
          <w:sz w:val="24"/>
          <w:szCs w:val="24"/>
        </w:rPr>
        <w:t xml:space="preserve"> Bachri:</w:t>
      </w:r>
      <w:r>
        <w:rPr>
          <w:rFonts w:ascii="Times New Roman" w:eastAsia="Times New Roman" w:hAnsi="Times New Roman" w:cs="Times New Roman"/>
          <w:sz w:val="24"/>
          <w:szCs w:val="24"/>
        </w:rPr>
        <w:t xml:space="preserve"> Writing-Reviewing and Editing,</w:t>
      </w:r>
    </w:p>
    <w:p w14:paraId="6D0A5BE7" w14:textId="77777777" w:rsidR="000F6425" w:rsidRDefault="00000000">
      <w:pPr>
        <w:spacing w:before="24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1748D93" w14:textId="77777777" w:rsidR="000F6425" w:rsidRDefault="000F6425">
      <w:pPr>
        <w:spacing w:before="120" w:after="120" w:line="240" w:lineRule="auto"/>
        <w:jc w:val="both"/>
        <w:rPr>
          <w:rFonts w:ascii="Times New Roman" w:eastAsia="Times New Roman" w:hAnsi="Times New Roman" w:cs="Times New Roman"/>
          <w:sz w:val="24"/>
          <w:szCs w:val="24"/>
        </w:rPr>
      </w:pPr>
    </w:p>
    <w:p w14:paraId="2F682688" w14:textId="77777777" w:rsidR="000F6425" w:rsidRDefault="000F6425">
      <w:pPr>
        <w:spacing w:after="0" w:line="240" w:lineRule="auto"/>
        <w:ind w:left="360" w:firstLine="993"/>
        <w:jc w:val="both"/>
        <w:rPr>
          <w:rFonts w:ascii="Times New Roman" w:eastAsia="Times New Roman" w:hAnsi="Times New Roman" w:cs="Times New Roman"/>
          <w:sz w:val="24"/>
          <w:szCs w:val="24"/>
        </w:rPr>
      </w:pPr>
    </w:p>
    <w:sectPr w:rsidR="000F6425">
      <w:headerReference w:type="default" r:id="rId13"/>
      <w:pgSz w:w="11907" w:h="16839"/>
      <w:pgMar w:top="1701" w:right="1701" w:bottom="1701" w:left="1701" w:header="720" w:footer="720" w:gutter="0"/>
      <w:pgNumType w:start="16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57F08" w14:textId="77777777" w:rsidR="00FB7DB2" w:rsidRDefault="00FB7DB2">
      <w:pPr>
        <w:spacing w:line="240" w:lineRule="auto"/>
      </w:pPr>
      <w:r>
        <w:separator/>
      </w:r>
    </w:p>
  </w:endnote>
  <w:endnote w:type="continuationSeparator" w:id="0">
    <w:p w14:paraId="1463AD8F" w14:textId="77777777" w:rsidR="00FB7DB2" w:rsidRDefault="00FB7D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atangChe">
    <w:altName w:val="Malgun Gothic"/>
    <w:charset w:val="81"/>
    <w:family w:val="modern"/>
    <w:pitch w:val="fixed"/>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Jamia2014-Bold">
    <w:altName w:val="Segoe Print"/>
    <w:charset w:val="00"/>
    <w:family w:val="auto"/>
    <w:pitch w:val="default"/>
  </w:font>
  <w:font w:name="Jamia2014">
    <w:altName w:val="Segoe Print"/>
    <w:charset w:val="00"/>
    <w:family w:val="auto"/>
    <w:pitch w:val="default"/>
  </w:font>
  <w:font w:name="Jamia2014-Italic">
    <w:altName w:val="Segoe Print"/>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E6074" w14:textId="77777777" w:rsidR="00FB7DB2" w:rsidRDefault="00FB7DB2">
      <w:pPr>
        <w:spacing w:after="0"/>
      </w:pPr>
      <w:r>
        <w:separator/>
      </w:r>
    </w:p>
  </w:footnote>
  <w:footnote w:type="continuationSeparator" w:id="0">
    <w:p w14:paraId="5C9F2307" w14:textId="77777777" w:rsidR="00FB7DB2" w:rsidRDefault="00FB7DB2">
      <w:pPr>
        <w:spacing w:after="0"/>
      </w:pPr>
      <w:r>
        <w:continuationSeparator/>
      </w:r>
    </w:p>
  </w:footnote>
  <w:footnote w:id="1">
    <w:p w14:paraId="49DEFCF7" w14:textId="77777777" w:rsidR="000F6425" w:rsidRDefault="00000000">
      <w:pPr>
        <w:pStyle w:val="FootnoteText"/>
        <w:jc w:val="both"/>
      </w:pPr>
      <w:r>
        <w:rPr>
          <w:rStyle w:val="FootnoteReference"/>
        </w:rPr>
        <w:footnoteRef/>
      </w:r>
      <w:r>
        <w:t xml:space="preserve"> </w:t>
      </w:r>
      <w:r>
        <w:fldChar w:fldCharType="begin" w:fldLock="1"/>
      </w:r>
      <w:r>
        <w:instrText>ADDIN CSL_CITATION {"citationItems":[{"id":"ITEM-1","itemData":{"URL":"https://kumparan.com/berita-hari-ini/pengertian-dan-hukum-nikah-misyar-dalam-islam-20D7pT9suLK","accessed":{"date-parts":[["2024","11","30"]]},"author":[{"dropping-particle":"","family":"Kumparan","given":"","non-dropping-particle":"","parse-names":false,"suffix":""}],"container-title":"Kumparan.com","id":"ITEM-1","issued":{"date-parts":[["2023"]]},"title":"Pengertian dan Hukum Nikah Misyar dalam Islam","type":"webpage"},"uris":["http://www.mendeley.com/documents/?uuid=2db23b58-05e5-424e-ab09-7dfb969bbb9d"]}],"mendeley":{"formattedCitation":"Kumparan, “Pengertian Dan Hukum Nikah Misyar Dalam Islam,” Kumparan.com, 2023, https://kumparan.com/berita-hari-ini/pengertian-dan-hukum-nikah-misyar-dalam-islam-20D7pT9suLK.","plainTextFormattedCitation":"Kumparan, “Pengertian Dan Hukum Nikah Misyar Dalam Islam,” Kumparan.com, 2023, https://kumparan.com/berita-hari-ini/pengertian-dan-hukum-nikah-misyar-dalam-islam-20D7pT9suLK.","previouslyFormattedCitation":"Kumparan, “Pengertian Dan Hukum Nikah Misyar Dalam Islam,” Kumparan.com, 2023, https://kumparan.com/berita-hari-ini/pengertian-dan-hukum-nikah-misyar-dalam-islam-20D7pT9suLK."},"properties":{"noteIndex":1},"schema":"https://github.com/citation-style-language/schema/raw/master/csl-citation.json"}</w:instrText>
      </w:r>
      <w:r>
        <w:fldChar w:fldCharType="separate"/>
      </w:r>
      <w:r>
        <w:t>Kumparan, “Pengertian Dan Hukum Nikah Misyar Dalam Islam,” Kumparan.com, 2023, https://kumparan.com/berita-hari-ini/pengertian-dan-hukum-nikah-misyar-dalam-islam-20D7pT9suLK.</w:t>
      </w:r>
      <w:r>
        <w:fldChar w:fldCharType="end"/>
      </w:r>
    </w:p>
  </w:footnote>
  <w:footnote w:id="2">
    <w:p w14:paraId="0A9B5C9C" w14:textId="77777777" w:rsidR="000F6425" w:rsidRDefault="00000000">
      <w:pPr>
        <w:pStyle w:val="FootnoteText"/>
        <w:jc w:val="both"/>
      </w:pPr>
      <w:r>
        <w:rPr>
          <w:rStyle w:val="FootnoteReference"/>
        </w:rPr>
        <w:footnoteRef/>
      </w:r>
      <w:r>
        <w:t xml:space="preserve"> </w:t>
      </w:r>
      <w:r>
        <w:fldChar w:fldCharType="begin" w:fldLock="1"/>
      </w:r>
      <w:r>
        <w:instrText>ADDIN CSL_CITATION {"citationItems":[{"id":"ITEM-1","itemData":{"URL":"https://www.cnnindonesia.com/gaya-hidup/20210706064239-282-663613/misyar-pernikahan-tanpa-ikatan-yang-marak-di-saudi","accessed":{"date-parts":[["2024","11","29"]]},"author":[{"dropping-particle":"","family":"Tim","given":"CNN","non-dropping-particle":"","parse-names":false,"suffix":""}],"container-title":"CNN Inndonesia","id":"ITEM-1","issued":{"date-parts":[["2021"]]},"title":"Misyar, 'Pernikahan Tanpa Ikatan' yang Marak di Saudi","type":"webpage"},"uris":["http://www.mendeley.com/documents/?uuid=6c1fac48-15f2-4aee-b601-d0213b38ea09"]}],"mendeley":{"formattedCitation":"CNN Tim, “Misyar, ‘Pernikahan Tanpa Ikatan’ Yang Marak Di Saudi,” CNN Inndonesia, 2021, https://www.cnnindonesia.com/gaya-hidup/20210706064239-282-663613/misyar-pernikahan-tanpa-ikatan-yang-marak-di-saudi.","plainTextFormattedCitation":"CNN Tim, “Misyar, ‘Pernikahan Tanpa Ikatan’ Yang Marak Di Saudi,” CNN Inndonesia, 2021, https://www.cnnindonesia.com/gaya-hidup/20210706064239-282-663613/misyar-pernikahan-tanpa-ikatan-yang-marak-di-saudi.","previouslyFormattedCitation":"CNN Tim, “Misyar, ‘Pernikahan Tanpa Ikatan’ Yang Marak Di Saudi,” CNN Inndonesia, 2021, https://www.cnnindonesia.com/gaya-hidup/20210706064239-282-663613/misyar-pernikahan-tanpa-ikatan-yang-marak-di-saudi."},"properties":{"noteIndex":2},"schema":"https://github.com/citation-style-language/schema/raw/master/csl-citation.json"}</w:instrText>
      </w:r>
      <w:r>
        <w:fldChar w:fldCharType="separate"/>
      </w:r>
      <w:r>
        <w:t>CNN Tim, “Misyar, ‘Pernikahan Tanpa Ikatan’ Yang Marak Di Saudi,” CNN Inndonesia, 2021, https://www.cnnindonesia.com/gaya-hidup/20210706064239-282-663613/misyar-pernikahan-tanpa-ikatan-yang-marak-di-saudi.</w:t>
      </w:r>
      <w:r>
        <w:fldChar w:fldCharType="end"/>
      </w:r>
    </w:p>
  </w:footnote>
  <w:footnote w:id="3">
    <w:p w14:paraId="053C8E17" w14:textId="77777777" w:rsidR="000F6425" w:rsidRDefault="00000000">
      <w:pPr>
        <w:pStyle w:val="FootnoteText"/>
        <w:jc w:val="both"/>
      </w:pPr>
      <w:r>
        <w:rPr>
          <w:rStyle w:val="FootnoteReference"/>
        </w:rPr>
        <w:footnoteRef/>
      </w:r>
      <w:r>
        <w:t xml:space="preserve"> </w:t>
      </w:r>
      <w:r>
        <w:fldChar w:fldCharType="begin" w:fldLock="1"/>
      </w:r>
      <w:r>
        <w:instrText>ADDIN CSL_CITATION {"citationItems":[{"id":"ITEM-1","itemData":{"DOI":"10.25133/JPSSv322024.007","ISSN":"24654418","abstract":"Marriage is a culture that grows based on three values: religiosity, customary, and national. In Indonesian culture, the marriage of the Uluan Musi community per these three values has changed the implementation procedure. These changes occurred in the structure and culture, which impacted the customary law system. Therefore, this research aims to observe how changes in Islamic law culture in customary practices occurred in the Uluan Musi community. This qualitative study collects data from traditional and religious leaders through in-depth interviews, observations, and documentation. The results indicated that the changes in the Islamic legal culture in the marriage practice were caused by the fading of the meaning of Islamic legal values (i.e., profanization) of marriage customs due to cultural coexistence and globalization. These changes cause social leeway with the potential to lose cultural identity. Therefore, legal remodification must be carried out to maintain the continuity of Islamic law.","author":[{"dropping-particle":"","family":"Jamil","given":"Syahril","non-dropping-particle":"","parse-names":false,"suffix":""},{"dropping-particle":"","family":"Adil","given":"Muhammad","non-dropping-particle":"","parse-names":false,"suffix":""},{"dropping-particle":"","family":"Torik","given":"Muhammad","non-dropping-particle":"","parse-names":false,"suffix":""},{"dropping-particle":"","family":"Ramdani","given":"Zulmi","non-dropping-particle":"","parse-names":false,"suffix":""},{"dropping-particle":"","family":"Abdillah","given":"Muhammad","non-dropping-particle":"","parse-names":false,"suffix":""},{"dropping-particle":"","family":"Rani","given":"Yen Fikri","non-dropping-particle":"","parse-names":false,"suffix":""},{"dropping-particle":"","family":".","given":"Cholidi","non-dropping-particle":"","parse-names":false,"suffix":""}],"container-title":"Journal of Population and Social Studies","id":"ITEM-1","issued":{"date-parts":[["2023","10","16"]]},"page":"107-129","title":"Changes in Islamic Society and Culture in Customary Marriage Within the Uluan Musi Community","type":"article-journal","volume":"32"},"uris":["http://www.mendeley.com/documents/?uuid=dee8997c-bb1d-48c4-a519-89b667a34e7f"]}],"mendeley":{"formattedCitation":"Syahril Jamil et al., “Changes in Islamic Society and Culture in Customary Marriage Within the Uluan Musi Community,” &lt;i&gt;Journal of Population and Social Studies&lt;/i&gt; 32 (October 16, 2023): 107–29, https://doi.org/10.25133/JPSSv322024.007.","plainTextFormattedCitation":"Syahril Jamil et al., “Changes in Islamic Society and Culture in Customary Marriage Within the Uluan Musi Community,” Journal of Population and Social Studies 32 (October 16, 2023): 107–29, https://doi.org/10.25133/JPSSv322024.007.","previouslyFormattedCitation":"Syahril Jamil et al., “Changes in Islamic Society and Culture in Customary Marriage Within the Uluan Musi Community,” &lt;i&gt;Journal of Population and Social Studies&lt;/i&gt; 32 (October 16, 2023): 107–29, https://doi.org/10.25133/JPSSv322024.007."},"properties":{"noteIndex":3},"schema":"https://github.com/citation-style-language/schema/raw/master/csl-citation.json"}</w:instrText>
      </w:r>
      <w:r>
        <w:fldChar w:fldCharType="separate"/>
      </w:r>
      <w:r>
        <w:t xml:space="preserve">Syahril Jamil et al., “Changes in Islamic Society and Culture in Customary Marriage Within the Uluan Musi Community,” </w:t>
      </w:r>
      <w:r>
        <w:rPr>
          <w:i/>
        </w:rPr>
        <w:t>Journal of Population and Social Studies</w:t>
      </w:r>
      <w:r>
        <w:t xml:space="preserve"> 32 (October 16, 2023): 107–29, https://doi.org/10.25133/JPSSv322024.007.</w:t>
      </w:r>
      <w:r>
        <w:fldChar w:fldCharType="end"/>
      </w:r>
    </w:p>
  </w:footnote>
  <w:footnote w:id="4">
    <w:p w14:paraId="7F23AB6B" w14:textId="77777777" w:rsidR="000F6425" w:rsidRDefault="00000000">
      <w:pPr>
        <w:pStyle w:val="FootnoteText"/>
        <w:jc w:val="both"/>
      </w:pPr>
      <w:r>
        <w:rPr>
          <w:rStyle w:val="FootnoteReference"/>
        </w:rPr>
        <w:footnoteRef/>
      </w:r>
      <w:r>
        <w:t xml:space="preserve"> </w:t>
      </w:r>
      <w:r>
        <w:fldChar w:fldCharType="begin" w:fldLock="1"/>
      </w:r>
      <w:r>
        <w:instrText>ADDIN CSL_CITATION {"citationItems":[{"id":"ITEM-1","itemData":{"DOI":"10.3329/iiucs.v7i0.12495","ISSN":"2408-8544","abstract":"Marriage is a sacred bond in Islam that ties a man and a woman into a lifelong relationship of love, compassion, mutual understanding, respect and security. It is a firm pledge that one makes in the name of Allah for one-another. ‘Misyar marriage’, ‘Convenience marriage’ or ‘Travelers’ marriage’ is a new form of marriage practiced widely in Saudi Arabia, Egypt and other gulf states. The ‘Misyar bride’ sacrifices some of her marital rights, such as expenses, fixed duration, and an abode. The scholars in Islam have different opinions about this form of marriage. Some of them supported it vehemently, as it could reduce the number of ladies without husbands; while yet others strongly oppose it, as it sounds like part-time wives, which has no roots in Islamic heritage. The present study therefore aims to explore the real status of ‘Misyar or convenience marriage’ in the texts from the Qur’an, Prophet’s Sunnah, the practices of his rightly guided Companions and the Fatawa of the traditional and modern scholars. It would analyze them in the light of the current realities and situations prevailing in many countries of the Muslim world. The study would adopt a critical yet objective approach in dealing with the issue. It is believed that the study would help the Muslim men and women to have clear insights on the issue based on the Shari`ah texts, scholars’ Fatawa and present day realities. DOI: http://dx.doi.org/10.3329/iiucs.v7i0.12495 IIUC Studies Vol.7 2011: 297-320","author":[{"dropping-particle":"","family":"Osmani","given":"Noor Mohammad","non-dropping-particle":"","parse-names":false,"suffix":""}],"container-title":"IIUC Studies","id":"ITEM-1","issued":{"date-parts":[["2012","11","6"]]},"page":"297","title":"Misyar Marriage between Shari`ah texts, Realities and scholars’ Fatawa’: An Analysis","type":"article-journal","volume":"7"},"uris":["http://www.mendeley.com/documents/?uuid=5a9c8cc8-1d39-40de-a0f3-67f9b376f522"]}],"mendeley":{"formattedCitation":"Noor Mohammad Osmani, “Misyar Marriage between Shari`ah Texts, Realities and Scholars’ Fatawa’: An Analysis,” &lt;i&gt;IIUC Studies&lt;/i&gt; 7 (November 6, 2012): 297, https://doi.org/10.3329/iiucs.v7i0.12495.","plainTextFormattedCitation":"Noor Mohammad Osmani, “Misyar Marriage between Shari`ah Texts, Realities and Scholars’ Fatawa’: An Analysis,” IIUC Studies 7 (November 6, 2012): 297, https://doi.org/10.3329/iiucs.v7i0.12495.","previouslyFormattedCitation":"Noor Mohammad Osmani, “Misyar Marriage between Shari`ah Texts, Realities and Scholars’ Fatawa’: An Analysis,” &lt;i&gt;IIUC Studies&lt;/i&gt; 7 (November 6, 2012): 297, https://doi.org/10.3329/iiucs.v7i0.12495."},"properties":{"noteIndex":4},"schema":"https://github.com/citation-style-language/schema/raw/master/csl-citation.json"}</w:instrText>
      </w:r>
      <w:r>
        <w:fldChar w:fldCharType="separate"/>
      </w:r>
      <w:r>
        <w:t xml:space="preserve">Noor Mohammad Osmani, “Misyar Marriage between Shari`ah Texts, Realities and Scholars’ Fatawa’: An Analysis,” </w:t>
      </w:r>
      <w:r>
        <w:rPr>
          <w:i/>
        </w:rPr>
        <w:t>IIUC Studies</w:t>
      </w:r>
      <w:r>
        <w:t xml:space="preserve"> 7 (November 6, 2012): 297, https://doi.org/10.3329/iiucs.v7i0.12495.</w:t>
      </w:r>
      <w:r>
        <w:fldChar w:fldCharType="end"/>
      </w:r>
    </w:p>
  </w:footnote>
  <w:footnote w:id="5">
    <w:p w14:paraId="16742860" w14:textId="77777777" w:rsidR="000F6425" w:rsidRDefault="00000000">
      <w:pPr>
        <w:pStyle w:val="FootnoteText"/>
      </w:pPr>
      <w:r>
        <w:rPr>
          <w:rStyle w:val="FootnoteReference"/>
        </w:rPr>
        <w:footnoteRef/>
      </w:r>
      <w:r>
        <w:t xml:space="preserve"> </w:t>
      </w:r>
      <w:r>
        <w:fldChar w:fldCharType="begin" w:fldLock="1"/>
      </w:r>
      <w:r>
        <w:instrText>ADDIN CSL_CITATION {"citationItems":[{"id":"ITEM-1","itemData":{"author":[{"dropping-particle":"","family":"Ulum","given":"Miftahul","non-dropping-particle":"","parse-names":false,"suffix":""}],"id":"ITEM-1","issued":{"date-parts":[["2016"]]},"note":"Cited page: 90. Note: 'et al.' indicated in the original citation.","publisher":"IHYA Media","publisher-place":"Cilacap","title":"Examining Misyar Marriage Practices in East Java","type":"book"},"uris":["http://www.mendeley.com/documents/?uuid=e64d8bd5-6c92-41e4-b7b3-e15eb843c816"]}],"mendeley":{"formattedCitation":"Miftahul Ulum, &lt;i&gt;Examining Misyar Marriage Practices in East Java&lt;/i&gt; (Cilacap: IHYA Media, 2016).","plainTextFormattedCitation":"Miftahul Ulum, Examining Misyar Marriage Practices in East Java (Cilacap: IHYA Media, 2016)."},"properties":{"noteIndex":5},"schema":"https://github.com/citation-style-language/schema/raw/master/csl-citation.json"}</w:instrText>
      </w:r>
      <w:r>
        <w:fldChar w:fldCharType="separate"/>
      </w:r>
      <w:r>
        <w:t xml:space="preserve">Miftahul Ulum, </w:t>
      </w:r>
      <w:r>
        <w:rPr>
          <w:i/>
        </w:rPr>
        <w:t>Examining Misyar Marriage Practices in East Java</w:t>
      </w:r>
      <w:r>
        <w:t xml:space="preserve"> (Cilacap: IHYA Media, 2016).</w:t>
      </w:r>
      <w:r>
        <w:fldChar w:fldCharType="end"/>
      </w:r>
    </w:p>
  </w:footnote>
  <w:footnote w:id="6">
    <w:p w14:paraId="013DB223" w14:textId="77777777" w:rsidR="000F6425" w:rsidRDefault="00000000">
      <w:pPr>
        <w:pStyle w:val="FootnoteText"/>
        <w:jc w:val="both"/>
      </w:pPr>
      <w:r>
        <w:rPr>
          <w:rStyle w:val="FootnoteReference"/>
        </w:rPr>
        <w:footnoteRef/>
      </w:r>
      <w:r>
        <w:t xml:space="preserve"> </w:t>
      </w:r>
      <w:r>
        <w:fldChar w:fldCharType="begin" w:fldLock="1"/>
      </w:r>
      <w:r>
        <w:instrText>ADDIN CSL_CITATION {"citationItems":[{"id":"ITEM-1","itemData":{"author":[{"dropping-particle":"","family":"al-Zuhayli","given":"Wahbah","non-dropping-particle":"","parse-names":false,"suffix":""}],"id":"ITEM-1","issued":{"date-parts":[["1999"]]},"number-of-pages":"356","publisher":"Dar al-Fikr","publisher-place":"Beirut","title":"al-Fiqh al-Islami wa Adillatuh","type":"book","volume":"9"},"uris":["http://www.mendeley.com/documents/?uuid=43729e5c-d04a-4082-8cff-3b7c453af7bf"]}],"mendeley":{"formattedCitation":"Wahbah al-Zuhayli, &lt;i&gt;Al-Fiqh Al-Islami Wa Adillatuh&lt;/i&gt;, vol. 9 (Beirut: Dar al-Fikr, 1999).","plainTextFormattedCitation":"Wahbah al-Zuhayli, Al-Fiqh Al-Islami Wa Adillatuh, vol. 9 (Beirut: Dar al-Fikr, 1999).","previouslyFormattedCitation":"Wahbah al-Zuhayli, &lt;i&gt;Al-Fiqh Al-Islami Wa Adillatuh&lt;/i&gt;, vol. 9 (Beirut: Dar al-Fikr, 1999)."},"properties":{"noteIndex":6},"schema":"https://github.com/citation-style-language/schema/raw/master/csl-citation.json"}</w:instrText>
      </w:r>
      <w:r>
        <w:fldChar w:fldCharType="separate"/>
      </w:r>
      <w:r>
        <w:t xml:space="preserve">Wahbah al-Zuhayli, </w:t>
      </w:r>
      <w:r>
        <w:rPr>
          <w:i/>
        </w:rPr>
        <w:t>Al-Fiqh Al-Islami Wa Adillatuh</w:t>
      </w:r>
      <w:r>
        <w:t>, vol. 9 (Beirut: Dar al-Fikr, 1999).</w:t>
      </w:r>
      <w:r>
        <w:fldChar w:fldCharType="end"/>
      </w:r>
      <w:r>
        <w:t xml:space="preserve"> hal. 71.</w:t>
      </w:r>
    </w:p>
  </w:footnote>
  <w:footnote w:id="7">
    <w:p w14:paraId="36E7923A" w14:textId="77777777" w:rsidR="000F6425" w:rsidRDefault="00000000">
      <w:pPr>
        <w:pStyle w:val="FootnoteText"/>
        <w:jc w:val="both"/>
      </w:pPr>
      <w:r>
        <w:rPr>
          <w:rStyle w:val="FootnoteReference"/>
        </w:rPr>
        <w:footnoteRef/>
      </w:r>
      <w:r>
        <w:t xml:space="preserve"> </w:t>
      </w:r>
      <w:r>
        <w:fldChar w:fldCharType="begin" w:fldLock="1"/>
      </w:r>
      <w:r>
        <w:instrText>ADDIN CSL_CITATION {"citationItems":[{"id":"ITEM-1","itemData":{"DOI":"10.18592/jils.v9i3.18006","author":[{"dropping-particle":"","family":"Syariah","given":"Fakultas","non-dropping-particle":"","parse-names":false,"suffix":""}],"container-title":"Journal of Islamic and Law Studies","id":"ITEM-1","issue":"3","issued":{"date-parts":[["2025"]]},"page":"191-203","title":"Nikah Misyar Perspective of Women And Child Protection Law","type":"article-journal","volume":"9"},"uris":["http://www.mendeley.com/documents/?uuid=ebb8488d-e874-44f0-a539-503c211f80a2"]}],"mendeley":{"formattedCitation":"Fakultas Syariah, “Nikah Misyar Perspective of Women And Child Protection Law,” &lt;i&gt;Journal of Islamic and Law Studies&lt;/i&gt; 9, no. 3 (2025): 191–203, https://doi.org/10.18592/jils.v9i3.18006.","plainTextFormattedCitation":"Fakultas Syariah, “Nikah Misyar Perspective of Women And Child Protection Law,” Journal of Islamic and Law Studies 9, no. 3 (2025): 191–203, https://doi.org/10.18592/jils.v9i3.18006.","previouslyFormattedCitation":"Fakultas Syariah, “Nikah Misyar Perspective of Women And Child Protection Law,” &lt;i&gt;Journal of Islamic and Law Studies&lt;/i&gt; 9, no. 3 (2025): 191–203, https://doi.org/10.18592/jils.v9i3.18006."},"properties":{"noteIndex":7},"schema":"https://github.com/citation-style-language/schema/raw/master/csl-citation.json"}</w:instrText>
      </w:r>
      <w:r>
        <w:fldChar w:fldCharType="separate"/>
      </w:r>
      <w:r>
        <w:t xml:space="preserve">Fakultas Syariah, “Nikah Misyar Perspective of Women And Child Protection Law,” </w:t>
      </w:r>
      <w:r>
        <w:rPr>
          <w:i/>
        </w:rPr>
        <w:t>Journal of Islamic and Law Studies</w:t>
      </w:r>
      <w:r>
        <w:t xml:space="preserve"> 9, no. 3 (2025): 191–203, https://doi.org/10.18592/jils.v9i3.18006.</w:t>
      </w:r>
      <w:r>
        <w:fldChar w:fldCharType="end"/>
      </w:r>
    </w:p>
  </w:footnote>
  <w:footnote w:id="8">
    <w:p w14:paraId="6CE186AC" w14:textId="77777777" w:rsidR="000F6425" w:rsidRDefault="00000000">
      <w:pPr>
        <w:pStyle w:val="FootnoteText"/>
        <w:jc w:val="both"/>
      </w:pPr>
      <w:r>
        <w:rPr>
          <w:rStyle w:val="FootnoteReference"/>
        </w:rPr>
        <w:footnoteRef/>
      </w:r>
      <w:r>
        <w:t xml:space="preserve"> </w:t>
      </w:r>
      <w:r>
        <w:fldChar w:fldCharType="begin" w:fldLock="1"/>
      </w:r>
      <w:r>
        <w:instrText>ADDIN CSL_CITATION {"citationItems":[{"id":"ITEM-1","itemData":{"DOI":"10.32955/neu.istem.2023.9.2.06","ISSN":"2148922X","abstract":"The family, as an institution dating back to the dawn of humanity, holds a paramount position in the lives of individuals from birth to death, providing them with initial education, guidance, and emotional support. In Islamic jurisprudence, the family is esteemed as a sacred sanctuary akin to a protective fortress. Islamic law places significant emphasis on the family, establishing meticulous and dependable provisions that safeguard the interests of all parties involved, preserving their rights, and ensuring the continuity of generations to foster the establishment and endurance of this vital institution. At the heart of the family unit lies the institution of marriage, which is the foundation upon which society's foundation is built. Families founded upon sturdy ethical principles and values are better equipped to fulfill their expected roles and contribute positively to the broader community. In contrast, families with frail foundations and unstable dynamics can become a burden not only to the family itself but also to the community, ultimately affecting the well-being of individuals within them. In light of these considerations, it becomes imperative to investigate and scrutinize the practice of \"misyār marriage,\" a phenomenon that has gained prominence, particularly in Gulf nations. It has shown inclinations to spread to other Islamic states. This form of marriage has sparked discussions and debates regarding its compatibility with Islamic jurisprudence and its harmony with the desires of individuals under specific conditions. This study aims to unveil the similarities and divergences between misyār marriages and traditional marriages practiced in society, emphasizing examining their legitimacy within the framework of the conditional theory of Islamic family law. Despite historical gaps in understanding this practice, our study aims to evaluate misyār unions compared to established matrimonial norms, shedding light on their dynamics, implications, and societal significance. The research delves deep into contemporary Islamic contexts. It thoroughly examines references from the Qur'an, the Sunnah (traditions and practices) of the Prophet Muhammad, and the opinions of classical and modern Islamic scholars. Throughout this extensive inquiry, the study maintains a critical yet impartial stance in addressing the multifaceted challenges posed by misyār marriage. Furthermore, it seeks to provide an outlook based on conditional theory for assessing the genui…","author":[{"dropping-particle":"","family":"Ershad uddin","given":"Ahm","non-dropping-particle":"","parse-names":false,"suffix":""}],"container-title":"Journal of The Near East University Islamic Research Center","id":"ITEM-1","issue":"2","issued":{"date-parts":[["2023","12","30"]]},"page":"254-270","title":"The Practice and Legitimacy of Misyār Marriage: A Critical Analysis within Islamic Law","type":"article-journal","volume":"9"},"uris":["http://www.mendeley.com/documents/?uuid=52fca617-d98f-4500-9cc8-bb6c4ae43f2a"]}],"mendeley":{"formattedCitation":"Ahm Ershad uddin, “The Practice and Legitimacy of Misyār Marriage: A Critical Analysis within Islamic Law,” &lt;i&gt;Journal of The Near East University Islamic Research Center&lt;/i&gt; 9, no. 2 (December 30, 2023): 254–70, https://doi.org/10.32955/neu.istem.2023.9.2.06.","plainTextFormattedCitation":"Ahm Ershad uddin, “The Practice and Legitimacy of Misyār Marriage: A Critical Analysis within Islamic Law,” Journal of The Near East University Islamic Research Center 9, no. 2 (December 30, 2023): 254–70, https://doi.org/10.32955/neu.istem.2023.9.2.06.","previouslyFormattedCitation":"Ahm Ershad uddin, “The Practice and Legitimacy of Misyār Marriage: A Critical Analysis within Islamic Law,” &lt;i&gt;Journal of The Near East University Islamic Research Center&lt;/i&gt; 9, no. 2 (December 30, 2023): 254–70, https://doi.org/10.32955/neu.istem.2023.9.2.06."},"properties":{"noteIndex":8},"schema":"https://github.com/citation-style-language/schema/raw/master/csl-citation.json"}</w:instrText>
      </w:r>
      <w:r>
        <w:fldChar w:fldCharType="separate"/>
      </w:r>
      <w:r>
        <w:t xml:space="preserve">Ahm Ershad uddin, “The Practice and Legitimacy of Misyār Marriage: A Critical Analysis within Islamic Law,” </w:t>
      </w:r>
      <w:r>
        <w:rPr>
          <w:i/>
        </w:rPr>
        <w:t>Journal of The Near East University Islamic Research Center</w:t>
      </w:r>
      <w:r>
        <w:t xml:space="preserve"> 9, no. 2 (December 30, 2023): 254–70, https://doi.org/10.32955/neu.istem.2023.9.2.06.</w:t>
      </w:r>
      <w:r>
        <w:fldChar w:fldCharType="end"/>
      </w:r>
      <w:r>
        <w:t xml:space="preserve"> </w:t>
      </w:r>
    </w:p>
  </w:footnote>
  <w:footnote w:id="9">
    <w:p w14:paraId="22F8645B" w14:textId="77777777" w:rsidR="000F6425" w:rsidRDefault="00000000">
      <w:pPr>
        <w:pStyle w:val="FootnoteText"/>
        <w:jc w:val="both"/>
      </w:pPr>
      <w:r>
        <w:rPr>
          <w:rStyle w:val="FootnoteReference"/>
        </w:rPr>
        <w:footnoteRef/>
      </w:r>
      <w:r>
        <w:fldChar w:fldCharType="begin" w:fldLock="1"/>
      </w:r>
      <w:r>
        <w:instrText>ADDIN CSL_CITATION {"citationItems":[{"id":"ITEM-1","itemData":{"author":[{"dropping-particle":"","family":"al-Qaradawi","given":"Muhammad Yusuf","non-dropping-particle":"","parse-names":false,"suffix":""}],"id":"ITEM-1","issued":{"date-parts":[["2006"]]},"number-of-pages":"9","publisher":"Maktabah Wahbah","publisher-place":"Mesir","title":"Zawaj al-Misyar: Haqiqatuh wa Hukmuh","type":"book"},"uris":["http://www.mendeley.com/documents/?uuid=5f203d22-2818-43dc-bc74-336eb8dc9feb"]}],"mendeley":{"formattedCitation":"Muhammad Yusuf al-Qaradawi, &lt;i&gt;Zawaj Al-Misyar: Haqiqatuh Wa Hukmuh&lt;/i&gt; (Mesir: Maktabah Wahbah, 2006).","manualFormatting":"Muhammad Yusuf al-Qaradawi, Zawaj Al-Misyar: Haqiqatuh Wa Hukmuh (Mesir: Maktabah Wahbah, 2006), hal. 7.","plainTextFormattedCitation":"Muhammad Yusuf al-Qaradawi, Zawaj Al-Misyar: Haqiqatuh Wa Hukmuh (Mesir: Maktabah Wahbah, 2006).","previouslyFormattedCitation":"Muhammad Yusuf al-Qaradawi, &lt;i&gt;Zawaj Al-Misyar: Haqiqatuh Wa Hukmuh&lt;/i&gt; (Mesir: Maktabah Wahbah, 2006)."},"properties":{"noteIndex":9},"schema":"https://github.com/citation-style-language/schema/raw/master/csl-citation.json"}</w:instrText>
      </w:r>
      <w:r>
        <w:fldChar w:fldCharType="separate"/>
      </w:r>
      <w:r>
        <w:t xml:space="preserve">Muhammad Yusuf al-Qaradawi, </w:t>
      </w:r>
      <w:r>
        <w:rPr>
          <w:i/>
        </w:rPr>
        <w:t>Zawaj Al-Misyar: Haqiqatuh Wa Hukmuh</w:t>
      </w:r>
      <w:r>
        <w:t xml:space="preserve"> (Mesir: Maktabah Wahbah, 2006), hal. 7.</w:t>
      </w:r>
      <w:r>
        <w:fldChar w:fldCharType="end"/>
      </w:r>
      <w:r>
        <w:t xml:space="preserve"> Lihat juga: </w:t>
      </w:r>
      <w:r>
        <w:fldChar w:fldCharType="begin" w:fldLock="1"/>
      </w:r>
      <w:r>
        <w:instrText>ADDIN CSL_CITATION {"citationItems":[{"id":"ITEM-1","itemData":{"DOI":"10.22373/sjhk.v8i2.23513","ISSN":"2549-3167","abstract":"This study addresses the principal issue of Qira'at diversity in the Qur’anic verses pertaining to family law and its impact on legal interpretation, alongside its relevance to Law Number 1 of 1974 concerning Marriage in Indonesia. The research aims to conduct a thorough analysis of Qira'at variations within family law verses, explore their influence on legal interpretations, and identify key themes that demonstrate this diversity. This study uses a normative juridical method with a descriptive-analytical approach, while the data analyzed is literature related to various Qira'at in the verses of the Qur’an regarding Islamic family law. The research results show that there are eight main themes in the Al-Qur'an related to Islamic family law which show significant variations in Qira'at. Namely: dowry and temporary marriage (mut'ah),muhallil, family interaction, waiting period (iddah), khulu' (divorce initiated by the wife), divorce (talaq), ethics after divorce, and reconciliation (ruju'). Based on the research conducted, it can be concluded that the diversity of Qira’atverses from the Qur’an relating to family law has a significant influence on its interpretation and application, especially in the context of the Marriage Law in Indonesia. The practical implication of this research is to provide readers with in-depth insight into how the diversity of Qira'at influences the interpretation of family law in the Indonesian context, as well as its relevance to the practice of marriage law that applies in the Religious Courts. This research is expected to provide significant theoretical and practical contributions in the field of Islamic family law studies and Al-Qur'an studies in general.","author":[{"dropping-particle":"","family":"Mustopa","given":"Mustopa","non-dropping-particle":"","parse-names":false,"suffix":""}],"container-title":"Samarah: Jurnal Hukum Keluarga dan Hukum Islam","id":"ITEM-1","issue":"2","issued":{"date-parts":[["2024","7","31"]]},"page":"1257","title":"Qira’at Diversity in Islamic Family Law Verses: Implications for Indonesian Marriage Law","type":"article-journal","volume":"8"},"uris":["http://www.mendeley.com/documents/?uuid=6c7ff114-35af-48f5-9a40-0eaaff0709a9"]}],"mendeley":{"formattedCitation":"Mustopa Mustopa, “Qira’at Diversity in Islamic Family Law Verses: Implications for Indonesian Marriage Law,” &lt;i&gt;Samarah: Jurnal Hukum Keluarga Dan Hukum Islam&lt;/i&gt; 8, no. 2 (July 31, 2024): 1257, https://doi.org/10.22373/sjhk.v8i2.23513.","plainTextFormattedCitation":"Mustopa Mustopa, “Qira’at Diversity in Islamic Family Law Verses: Implications for Indonesian Marriage Law,” Samarah: Jurnal Hukum Keluarga Dan Hukum Islam 8, no. 2 (July 31, 2024): 1257, https://doi.org/10.22373/sjhk.v8i2.23513.","previouslyFormattedCitation":"Mustopa Mustopa, “Qira’at Diversity in Islamic Family Law Verses: Implications for Indonesian Marriage Law,” &lt;i&gt;Samarah: Jurnal Hukum Keluarga Dan Hukum Islam&lt;/i&gt; 8, no. 2 (July 31, 2024): 1257, https://doi.org/10.22373/sjhk.v8i2.23513."},"properties":{"noteIndex":9},"schema":"https://github.com/citation-style-language/schema/raw/master/csl-citation.json"}</w:instrText>
      </w:r>
      <w:r>
        <w:fldChar w:fldCharType="separate"/>
      </w:r>
      <w:r>
        <w:t xml:space="preserve">Mustopa Mustopa, “Qira’at Diversity in Islamic Family Law Verses: Implications for Indonesian Marriage Law,” </w:t>
      </w:r>
      <w:r>
        <w:rPr>
          <w:i/>
        </w:rPr>
        <w:t>Samarah: Jurnal Hukum Keluarga Dan Hukum Islam</w:t>
      </w:r>
      <w:r>
        <w:t xml:space="preserve"> 8, no. 2 (July 31, 2024): 1257, https://doi.org/10.22373/sjhk.v8i2.23513.</w:t>
      </w:r>
      <w:r>
        <w:fldChar w:fldCharType="end"/>
      </w:r>
    </w:p>
  </w:footnote>
  <w:footnote w:id="10">
    <w:p w14:paraId="2E2EB1E1" w14:textId="77777777" w:rsidR="000F6425" w:rsidRDefault="00000000">
      <w:pPr>
        <w:pStyle w:val="FootnoteText"/>
        <w:jc w:val="both"/>
      </w:pPr>
      <w:r>
        <w:rPr>
          <w:rStyle w:val="FootnoteReference"/>
        </w:rPr>
        <w:footnoteRef/>
      </w:r>
      <w:r>
        <w:t xml:space="preserve"> </w:t>
      </w:r>
      <w:r>
        <w:fldChar w:fldCharType="begin" w:fldLock="1"/>
      </w:r>
      <w:r>
        <w:instrText>ADDIN CSL_CITATION {"citationItems":[{"id":"ITEM-1","itemData":{"DOI":"10.7187/GJAT122020-6","ISSN":"22320474","abstract":"This ethnographic study investigates the dialectics of Islamic law and sociocultural aspects of how Bimanese Muslim in eastern Indonesia interpret and apply rights to force (ijbar) of male guardians to marry their daughters to prospective grooms of their choice. Such rights to force, granted by Islamic doctrines (fiqh) to patrilineal lines, are continuously negotiated by its sociological interpretations of Bimanese Muslims. While Islamic doctrines represent Islamic jurists’ reasoning on ijbar, local practices uncover public argumentation of such rules and this article aimed at discussing the contestation further. It also amplifies the narrative of the Indonesian Muslim community from small ethnic groups, such as Bima, which are still under-studied. Therefore, in the framework of Indonesian Islam, known as ‘Islam Nusantara,’ as it is being developed in Indonesia today, results of this study are far-reaching, that is, to provide more nuances of Islamic law and practices in Indonesia. Furthermore, this study rectifies the general view of ijbar rights that are merely connoted with the rights of the father and grandfather to enforce marriage on women. It is also argued that ijbar rights are peculiarly defined and dynamically practised, being shaped by social development, marriage traditions and cultural values ​​in particular societies.","author":[{"dropping-particle":"","family":"Wahid","given":"Abdul","non-dropping-particle":"","parse-names":false,"suffix":""}],"container-title":"global journal al thaqafah","id":"ITEM-1","issue":"2","issued":{"date-parts":[["2020","12","31"]]},"page":"47-57","title":"Listening to Everyone’s Voice: The Contested Rights of Muslim Marriage Practices in Eastern Indonesia","type":"article-journal","volume":"10"},"uris":["http://www.mendeley.com/documents/?uuid=30a5e283-7bdb-4e8f-a35f-6d589431ed27"]}],"mendeley":{"formattedCitation":"Abdul Wahid, “Listening to Everyone’s Voice: The Contested Rights of Muslim Marriage Practices in Eastern Indonesia,” &lt;i&gt;Global Journal Al Thaqafah&lt;/i&gt; 10, no. 2 (December 31, 2020): 47–57, https://doi.org/10.7187/GJAT122020-6.","plainTextFormattedCitation":"Abdul Wahid, “Listening to Everyone’s Voice: The Contested Rights of Muslim Marriage Practices in Eastern Indonesia,” Global Journal Al Thaqafah 10, no. 2 (December 31, 2020): 47–57, https://doi.org/10.7187/GJAT122020-6.","previouslyFormattedCitation":"Abdul Wahid, “Listening to Everyone’s Voice: The Contested Rights of Muslim Marriage Practices in Eastern Indonesia,” &lt;i&gt;Global Journal Al Thaqafah&lt;/i&gt; 10, no. 2 (December 31, 2020): 47–57, https://doi.org/10.7187/GJAT122020-6."},"properties":{"noteIndex":10},"schema":"https://github.com/citation-style-language/schema/raw/master/csl-citation.json"}</w:instrText>
      </w:r>
      <w:r>
        <w:fldChar w:fldCharType="separate"/>
      </w:r>
      <w:r>
        <w:t xml:space="preserve">Abdul Wahid, “Listening to Everyone’s Voice: The Contested Rights of Muslim Marriage Practices in Eastern Indonesia,” </w:t>
      </w:r>
      <w:r>
        <w:rPr>
          <w:i/>
        </w:rPr>
        <w:t>Global Journal Al Thaqafah</w:t>
      </w:r>
      <w:r>
        <w:t xml:space="preserve"> 10, no. 2 (December 31, 2020): 47–57, https://doi.org/10.7187/GJAT122020-6.</w:t>
      </w:r>
      <w:r>
        <w:fldChar w:fldCharType="end"/>
      </w:r>
    </w:p>
  </w:footnote>
  <w:footnote w:id="11">
    <w:p w14:paraId="506ACEC4" w14:textId="77777777" w:rsidR="000F6425" w:rsidRDefault="00000000">
      <w:pPr>
        <w:pStyle w:val="FootnoteText"/>
        <w:jc w:val="both"/>
      </w:pPr>
      <w:r>
        <w:rPr>
          <w:rStyle w:val="FootnoteReference"/>
        </w:rPr>
        <w:footnoteRef/>
      </w:r>
      <w:r>
        <w:fldChar w:fldCharType="begin" w:fldLock="1"/>
      </w:r>
      <w:r>
        <w:instrText>ADDIN CSL_CITATION {"citationItems":[{"id":"ITEM-1","itemData":{"abstract":"Misyar marriage is a marriage in which a wife is willing to give up part of her rights and live separately from her husband. The scholars' differed in their opinion regarding the law of performing misyar, but what is more important to discuss is how the concept of rights and obligations of husband and wife can be achieved. The purpose of this study is to analyze the couple's rights concept and obligations in misyar. Through a qualitative literature review, this study examines the validity of misyar according to the scholars and the fulfillment of the rights and obligations of husband and wife using an interdisciplinary approach. Misyar is still said to be valid if the conditions and harmonious marriage are fulfilled, as for the cancellation of some of the rights required or permitted by one of the partners does not make this marriage haram, but some scholars call it makruh and even prohibit it, because it will bring harm to the wife and not fulfill the rights and obligations. Misyar seems as if the goal is only to fulfill lust and forget the main purpose of marriage which is essential to achieve a safe family.","author":[{"dropping-particle":"","family":"Hermanto","given":"Agus","non-dropping-particle":"","parse-names":false,"suffix":""},{"dropping-particle":"","family":"Wulandari","given":"Dwi","non-dropping-particle":"","parse-names":false,"suffix":""},{"dropping-particle":"","family":"Meriyati","given":"","non-dropping-particle":"","parse-names":false,"suffix":""}],"container-title":"Ijtimaiyya: Jurnal Pengembangan Masyarakat Islam","id":"ITEM-1","issue":"2","issued":{"date-parts":[["2020"]]},"page":"131-160","title":"Nikah Misyar dan Terpenuhinya Hak dan Kewajiban Suami Istri","type":"article-journal","volume":"13"},"uris":["http://www.mendeley.com/documents/?uuid=f668ebc7-94e9-4d0b-a7c4-aa99a747192a"]}],"mendeley":{"formattedCitation":"Agus Hermanto, Dwi Wulandari, and Meriyati, “Nikah Misyar Dan Terpenuhinya Hak Dan Kewajiban Suami Istri,” &lt;i&gt;Ijtimaiyya: Jurnal Pengembangan Masyarakat Islam&lt;/i&gt; 13, no. 2 (2020): 131–60, http://ejournal.radenintan.ac.id/index.php/ijtimaiyya/index.","plainTextFormattedCitation":"Agus Hermanto, Dwi Wulandari, and Meriyati, “Nikah Misyar Dan Terpenuhinya Hak Dan Kewajiban Suami Istri,” Ijtimaiyya: Jurnal Pengembangan Masyarakat Islam 13, no. 2 (2020): 131–60, http://ejournal.radenintan.ac.id/index.php/ijtimaiyya/index.","previouslyFormattedCitation":"Agus Hermanto, Dwi Wulandari, and Meriyati, “Nikah Misyar Dan Terpenuhinya Hak Dan Kewajiban Suami Istri,” &lt;i&gt;Ijtimaiyya: Jurnal Pengembangan Masyarakat Islam&lt;/i&gt; 13, no. 2 (2020): 131–60, http://ejournal.radenintan.ac.id/index.php/ijtimaiyya/index."},"properties":{"noteIndex":11},"schema":"https://github.com/citation-style-language/schema/raw/master/csl-citation.json"}</w:instrText>
      </w:r>
      <w:r>
        <w:fldChar w:fldCharType="separate"/>
      </w:r>
      <w:r>
        <w:t xml:space="preserve">Agus Hermanto, Dwi Wulandari, and Meriyati, “Nikah Misyar Dan Terpenuhinya Hak Dan Kewajiban Suami Istri,” </w:t>
      </w:r>
      <w:r>
        <w:rPr>
          <w:i/>
        </w:rPr>
        <w:t>Ijtimaiyya: Jurnal Pengembangan Masyarakat Islam</w:t>
      </w:r>
      <w:r>
        <w:t xml:space="preserve"> 13, no. 2 (2020): 131–60, http://ejournal.radenintan.ac.id/index.php/ijtimaiyya/index.</w:t>
      </w:r>
      <w:r>
        <w:fldChar w:fldCharType="end"/>
      </w:r>
      <w:r>
        <w:t xml:space="preserve"> Lihat Juga: </w:t>
      </w:r>
      <w:r>
        <w:fldChar w:fldCharType="begin" w:fldLock="1"/>
      </w:r>
      <w:r>
        <w:instrText>ADDIN CSL_CITATION {"citationItems":[{"id":"ITEM-1","itemData":{"ISSN":"2829-6346","abstract":"The mis'yar marriage event that arises public gmudity including in Indonesia has caused debate among contemporary scholars. From the fatwa that has been issued by contemporary scholars about marriage mis'yar, the most highlighted issue is about the purpose of shari'ah (maqaṣid al-shari'ah) in marriage mis'yar becomes the main reason that is debated among contemporary scholars. Researchers want to discuss the problem that is 1) How the basis for the establishment of contemporary scholars about marriage mis'yar. 2) How the fatwa of the scholars' contemporary on marriage mis'yar is viewed from the point of maqaṣid al-shari'ah. This research uses a qualitative approach with a type of research that is library. Legal material analysis techniques include content analysis, and critical analysis of the fatwa is reviewed from maqaṣid al-shari'ah. The results of the study (1) there are two groups of scholars' contemporary, namely ulama' allowing marriage mis'yar Yusuf al-Qardhawi and Wahbah Zuhailī and ulama' prohibit marriage mis'yar 'Abd al-'Aziz bin al-Baz and 'Umar Sulaimᾱn al-Aṣqar. (2) The fatwa of contemporary scholars' that permits and prohibits marriage of mis'yar is viewed from the perspective of maqaṣid al-shari'ah, on the basis of the consideration that its efficacy is far greater than its benefits.","author":[{"dropping-particle":"","family":"Halilurrahman","given":"M","non-dropping-particle":"","parse-names":false,"suffix":""},{"dropping-particle":"","family":"Supeno","given":"Imam Edi","non-dropping-particle":"","parse-names":false,"suffix":""}],"container-title":"AL-ASHLAH : Jurnal Hukum Keluarga dan Hukum Islam","id":"ITEM-1","issue":"1","issued":{"date-parts":[["2022"]]},"page":"1-14","title":"Pandangan Maqasid Al-Shari'ah dalam Fatwa Ulama Kontemporer Tentang Nikah Misyar","type":"article-journal","volume":"1"},"uris":["http://www.mendeley.com/documents/?uuid=5e6511ea-5c8c-492f-9e9e-f2db2133c6b7"]}],"mendeley":{"formattedCitation":"M Halilurrahman and Imam Edi Supeno, “Pandangan Maqasid Al-Shari’ah Dalam Fatwa Ulama Kontemporer Tentang Nikah Misyar,” &lt;i&gt;AL-ASHLAH : Jurnal Hukum Keluarga Dan Hukum Islam&lt;/i&gt; 1, no. 1 (2022): 1–14, http://www.ejournal.iaiibrahimy.ac.id/index.php/al_ashlah/article/view/1259.","plainTextFormattedCitation":"M Halilurrahman and Imam Edi Supeno, “Pandangan Maqasid Al-Shari’ah Dalam Fatwa Ulama Kontemporer Tentang Nikah Misyar,” AL-ASHLAH : Jurnal Hukum Keluarga Dan Hukum Islam 1, no. 1 (2022): 1–14, http://www.ejournal.iaiibrahimy.ac.id/index.php/al_ashlah/article/view/1259.","previouslyFormattedCitation":"M Halilurrahman and Imam Edi Supeno, “Pandangan Maqasid Al-Shari’ah Dalam Fatwa Ulama Kontemporer Tentang Nikah Misyar,” &lt;i&gt;AL-ASHLAH : Jurnal Hukum Keluarga Dan Hukum Islam&lt;/i&gt; 1, no. 1 (2022): 1–14, http://www.ejournal.iaiibrahimy.ac.id/index.php/al_ashlah/article/view/1259."},"properties":{"noteIndex":11},"schema":"https://github.com/citation-style-language/schema/raw/master/csl-citation.json"}</w:instrText>
      </w:r>
      <w:r>
        <w:fldChar w:fldCharType="separate"/>
      </w:r>
      <w:r>
        <w:t xml:space="preserve">M Halilurrahman and Imam Edi Supeno, “Pandangan Maqasid Al-Shari’ah Dalam Fatwa Ulama Kontemporer Tentang Nikah Misyar,” </w:t>
      </w:r>
      <w:r>
        <w:rPr>
          <w:i/>
        </w:rPr>
        <w:t>AL-ASHLAH : Jurnal Hukum Keluarga Dan Hukum Islam</w:t>
      </w:r>
      <w:r>
        <w:t xml:space="preserve"> 1, no. 1 (2022): 1–14, http://www.ejournal.iaiibrahimy.ac.id/index.php/al_ashlah/article/view/1259.</w:t>
      </w:r>
      <w:r>
        <w:fldChar w:fldCharType="end"/>
      </w:r>
    </w:p>
  </w:footnote>
  <w:footnote w:id="12">
    <w:p w14:paraId="2C8B20BA" w14:textId="77777777" w:rsidR="000F6425" w:rsidRDefault="00000000">
      <w:pPr>
        <w:pStyle w:val="FootnoteText"/>
        <w:jc w:val="both"/>
      </w:pPr>
      <w:r>
        <w:rPr>
          <w:rStyle w:val="FootnoteReference"/>
        </w:rPr>
        <w:footnoteRef/>
      </w:r>
      <w:r>
        <w:t xml:space="preserve"> </w:t>
      </w:r>
      <w:r>
        <w:fldChar w:fldCharType="begin" w:fldLock="1"/>
      </w:r>
      <w:r>
        <w:instrText>ADDIN CSL_CITATION {"citationItems":[{"id":"ITEM-1","itemData":{"DOI":"10.18860/j-fsh.v15i1.19013","ISSN":"25281658","abstract":"Misyar marriage is one of several Muslim terms in the Middle East. Due to the evolution of life and society, this marriage is a significant phenomenon in Islamic circles. Misyar marriage is performed by a man under the correct contract and conditions, where both parties must give up some rights that are incomparable with the conditions of other marriages Misyar marriage demands that women relinquish certain rights ordinarily associated with marriage, which raises concerns for human rights, particularly those governing discrimination against women. On the contrary, human rights uphold the values of rights and dignity regardless of gender, particularly for women who should receive the same treatment and rights as men, one of which is discussed in the conventions on eradicating all forms of discrimination against women and the rights of the child. This study examines the phenomenon of Misyar marriage through the lens of Islamic law and human rights, employing legal doctrinal or normative research methods, a statutory approach, and a historical perspective. The findings of this study indicated that Misyar marriage differs from other marriages and has a connection to human rights, particularly women's rights to marry. Some scholars believe that this Marriage is permissible and valid. However, according to the following opinion, Misyar marriage is prohibited. This is a violation of international law and not a violation of human rights because the conditions for marriage are not satisfied.","author":[{"dropping-particle":"","family":"Pramai","given":"Shella Arinda Putri J.","non-dropping-particle":"","parse-names":false,"suffix":""},{"dropping-particle":"","family":"Anadi","given":"Yandri Radhi","non-dropping-particle":"","parse-names":false,"suffix":""},{"dropping-particle":"","family":"Deuraseh","given":"Nurdeng","non-dropping-particle":"","parse-names":false,"suffix":""}],"container-title":"De Jure: Jurnal Hukum dan Syar'iah","id":"ITEM-1","issue":"1","issued":{"date-parts":[["2023"]]},"page":"101","title":"The Phenomenon of Development Misyar Marriage from the Perspective of Islamic Law and Human Rights","type":"article-journal","volume":"15"},"uris":["http://www.mendeley.com/documents/?uuid=0d48b731-cf9d-4953-b253-65362135e3c2"]}],"mendeley":{"formattedCitation":"Shella Arinda Putri J. Pramai, Yandri Radhi Anadi, and Nurdeng Deuraseh, “The Phenomenon of Development Misyar Marriage from the Perspective of Islamic Law and Human Rights,” &lt;i&gt;De Jure: Jurnal Hukum Dan Syar’iah&lt;/i&gt; 15, no. 1 (2023): 101, https://doi.org/10.18860/j-fsh.v15i1.19013.","plainTextFormattedCitation":"Shella Arinda Putri J. Pramai, Yandri Radhi Anadi, and Nurdeng Deuraseh, “The Phenomenon of Development Misyar Marriage from the Perspective of Islamic Law and Human Rights,” De Jure: Jurnal Hukum Dan Syar’iah 15, no. 1 (2023): 101, https://doi.org/10.18860/j-fsh.v15i1.19013.","previouslyFormattedCitation":"Shella Arinda Putri J. Pramai, Yandri Radhi Anadi, and Nurdeng Deuraseh, “The Phenomenon of Development Misyar Marriage from the Perspective of Islamic Law and Human Rights,” &lt;i&gt;De Jure: Jurnal Hukum Dan Syar’iah&lt;/i&gt; 15, no. 1 (2023): 101, https://doi.org/10.18860/j-fsh.v15i1.19013."},"properties":{"noteIndex":12},"schema":"https://github.com/citation-style-language/schema/raw/master/csl-citation.json"}</w:instrText>
      </w:r>
      <w:r>
        <w:fldChar w:fldCharType="separate"/>
      </w:r>
      <w:r>
        <w:t xml:space="preserve">Shella Arinda Putri J. Pramai, Yandri Radhi Anadi, and Nurdeng Deuraseh, “The Phenomenon of Development Misyar Marriage from the Perspective of Islamic Law and Human Rights,” </w:t>
      </w:r>
      <w:r>
        <w:rPr>
          <w:i/>
        </w:rPr>
        <w:t>De Jure: Jurnal Hukum Dan Syar’iah</w:t>
      </w:r>
      <w:r>
        <w:t xml:space="preserve"> 15, no. 1 (2023): 101, https://doi.org/10.18860/j-fsh.v15i1.19013.</w:t>
      </w:r>
      <w:r>
        <w:fldChar w:fldCharType="end"/>
      </w:r>
    </w:p>
  </w:footnote>
  <w:footnote w:id="13">
    <w:p w14:paraId="70734C25" w14:textId="77777777" w:rsidR="000F6425" w:rsidRDefault="00000000">
      <w:pPr>
        <w:pStyle w:val="FootnoteText"/>
        <w:jc w:val="both"/>
      </w:pPr>
      <w:r>
        <w:rPr>
          <w:rStyle w:val="FootnoteReference"/>
        </w:rPr>
        <w:footnoteRef/>
      </w:r>
      <w:r>
        <w:t xml:space="preserve"> </w:t>
      </w:r>
      <w:r>
        <w:fldChar w:fldCharType="begin" w:fldLock="1"/>
      </w:r>
      <w:r>
        <w:instrText>ADDIN CSL_CITATION {"citationItems":[{"id":"ITEM-1","itemData":{"DOI":"10.55942/pssj.v5i7.403","ISSN":"2798-6314","abstract":"This article analyzes unregistered marriage in Indonesia from a national legal perspective, focusing on its impact on the rights of women and children. Applying a normative legal approach, the study reviews statutory law, religious fatwas, and court decisions to clarify that unregistered marriages, while sometimes valid religiously, however lack formal legal recognition under Undang-Undang Perkawinan. This legal gap exposes women to loss of civil rights and leaves children vulnerable to administrative discrimination and social stigma. The discussion also highlights legal developments following Putusan Mahkamah Konstitusi No. 46/PUU-VIII/2010, as well as the influence of local traditions and limited legal literacy. The article concludes by recommending legal reform, community legal education, and integration of customary practices to strengthen protection for affected groups.","author":[{"dropping-particle":"","family":"Syahril","given":"Muh. Akbar Fhad","non-dropping-particle":"","parse-names":false,"suffix":""},{"dropping-particle":"","family":"Hasan","given":"Nurhaedah","non-dropping-particle":"","parse-names":false,"suffix":""}],"container-title":"Priviet Social Sciences Journal","id":"ITEM-1","issue":"7","issued":{"date-parts":[["2025","7","14"]]},"page":"11-19","title":"The Phenomenon of Inner Marriage from the Perspective of National Marriage Law and Protection of Women","type":"article-journal","volume":"5"},"uris":["http://www.mendeley.com/documents/?uuid=a2dd0a0f-6ab3-4741-8336-81d155f5a345"]}],"mendeley":{"formattedCitation":"Muh. Akbar Fhad Syahril and Nurhaedah Hasan, “The Phenomenon of Inner Marriage from the Perspective of National Marriage Law and Protection of Women,” &lt;i&gt;Priviet Social Sciences Journal&lt;/i&gt; 5, no. 7 (July 14, 2025): 11–19, https://doi.org/10.55942/pssj.v5i7.403.","plainTextFormattedCitation":"Muh. Akbar Fhad Syahril and Nurhaedah Hasan, “The Phenomenon of Inner Marriage from the Perspective of National Marriage Law and Protection of Women,” Priviet Social Sciences Journal 5, no. 7 (July 14, 2025): 11–19, https://doi.org/10.55942/pssj.v5i7.403.","previouslyFormattedCitation":"Muh. Akbar Fhad Syahril and Nurhaedah Hasan, “The Phenomenon of Inner Marriage from the Perspective of National Marriage Law and Protection of Women,” &lt;i&gt;Priviet Social Sciences Journal&lt;/i&gt; 5, no. 7 (July 14, 2025): 11–19, https://doi.org/10.55942/pssj.v5i7.403."},"properties":{"noteIndex":13},"schema":"https://github.com/citation-style-language/schema/raw/master/csl-citation.json"}</w:instrText>
      </w:r>
      <w:r>
        <w:fldChar w:fldCharType="separate"/>
      </w:r>
      <w:r>
        <w:t xml:space="preserve">Muh. Akbar Fhad Syahril and Nurhaedah Hasan, “The Phenomenon of Inner Marriage from the Perspective of National Marriage Law and Protection of Women,” </w:t>
      </w:r>
      <w:r>
        <w:rPr>
          <w:i/>
        </w:rPr>
        <w:t>Priviet Social Sciences Journal</w:t>
      </w:r>
      <w:r>
        <w:t xml:space="preserve"> 5, no. 7 (July 14, 2025): 11–19, https://doi.org/10.55942/pssj.v5i7.403.</w:t>
      </w:r>
      <w:r>
        <w:fldChar w:fldCharType="end"/>
      </w:r>
    </w:p>
  </w:footnote>
  <w:footnote w:id="14">
    <w:p w14:paraId="123D19B6" w14:textId="77777777" w:rsidR="000F6425" w:rsidRDefault="00000000">
      <w:pPr>
        <w:pStyle w:val="FootnoteText"/>
        <w:jc w:val="both"/>
      </w:pPr>
      <w:r>
        <w:rPr>
          <w:rStyle w:val="FootnoteReference"/>
        </w:rPr>
        <w:footnoteRef/>
      </w:r>
      <w:r>
        <w:t xml:space="preserve"> </w:t>
      </w:r>
      <w:r>
        <w:fldChar w:fldCharType="begin" w:fldLock="1"/>
      </w:r>
      <w:r>
        <w:instrText>ADDIN CSL_CITATION {"citationItems":[{"id":"ITEM-1","itemData":{"DOI":"10.1177/1609406920947600","ISSN":"16094069","abstract":"This paper is an illustration of the application of a hermeneutic phenomenological study. The theory of meaning and interpretation, drawing on philosophical hermeneutics and the work of Gadamer and Heidegger, and its alignment with phenomenological thought is presented. The paper explains and aims to make visible how key concerns in relation to the fusion of horizons, hermeneutic understanding, hermeneutic circle and hermeneutic phenomenological attitude were implemented. The purpose is to provide practical guidance and illustrate a fully worked up example of hermeneutic phenomenological work as research praxis. This present paper makes a case that hermeneutic phenomenological work is detailed, lengthy, rigorous and systematic in its own philosophical and theoretical frame. It articulates the philosophical and methodological alignment of hermeneutics in a specific hermeneutic phenomenological study and makes visible the work of hermeneutic phenomenology. It concludes by sharing key reflections and insights on the hermeneutic phenomenological process.","author":[{"dropping-particle":"","family":"Suddick","given":"Kitty Maria","non-dropping-particle":"","parse-names":false,"suffix":""},{"dropping-particle":"","family":"Cross","given":"Vinette","non-dropping-particle":"","parse-names":false,"suffix":""},{"dropping-particle":"","family":"Vuoskoski","given":"Pirjo","non-dropping-particle":"","parse-names":false,"suffix":""},{"dropping-particle":"","family":"Galvin","given":"Kathleen T.","non-dropping-particle":"","parse-names":false,"suffix":""},{"dropping-particle":"","family":"Stew","given":"Graham","non-dropping-particle":"","parse-names":false,"suffix":""}],"container-title":"International Journal of Qualitative Methods","id":"ITEM-1","issued":{"date-parts":[["2020"]]},"page":"1","title":"The Work of Hermeneutic Phenomenology","type":"article-journal","volume":"19"},"uris":["http://www.mendeley.com/documents/?uuid=12183362-74da-45b9-93f3-90e986784677"]}],"mendeley":{"formattedCitation":"Kitty Maria Suddick et al., “The Work of Hermeneutic Phenomenology,” &lt;i&gt;International Journal of Qualitative Methods&lt;/i&gt; 19 (2020): 1, https://doi.org/10.1177/1609406920947600.","plainTextFormattedCitation":"Kitty Maria Suddick et al., “The Work of Hermeneutic Phenomenology,” International Journal of Qualitative Methods 19 (2020): 1, https://doi.org/10.1177/1609406920947600.","previouslyFormattedCitation":"Kitty Maria Suddick et al., “The Work of Hermeneutic Phenomenology,” &lt;i&gt;International Journal of Qualitative Methods&lt;/i&gt; 19 (2020): 1, https://doi.org/10.1177/1609406920947600."},"properties":{"noteIndex":14},"schema":"https://github.com/citation-style-language/schema/raw/master/csl-citation.json"}</w:instrText>
      </w:r>
      <w:r>
        <w:fldChar w:fldCharType="separate"/>
      </w:r>
      <w:r>
        <w:t xml:space="preserve">Kitty Maria Suddick et al., “The Work of Hermeneutic Phenomenology,” </w:t>
      </w:r>
      <w:r>
        <w:rPr>
          <w:i/>
        </w:rPr>
        <w:t>International Journal of Qualitative Methods</w:t>
      </w:r>
      <w:r>
        <w:t xml:space="preserve"> 19 (2020): 1, https://doi.org/10.1177/1609406920947600.</w:t>
      </w:r>
      <w:r>
        <w:fldChar w:fldCharType="end"/>
      </w:r>
    </w:p>
  </w:footnote>
  <w:footnote w:id="15">
    <w:p w14:paraId="4D100EBE" w14:textId="77777777" w:rsidR="000F6425" w:rsidRDefault="00000000">
      <w:pPr>
        <w:pStyle w:val="FootnoteText"/>
        <w:jc w:val="both"/>
      </w:pPr>
      <w:r>
        <w:rPr>
          <w:rStyle w:val="FootnoteReference"/>
        </w:rPr>
        <w:footnoteRef/>
      </w:r>
      <w:r>
        <w:t xml:space="preserve"> </w:t>
      </w:r>
      <w:r>
        <w:fldChar w:fldCharType="begin" w:fldLock="1"/>
      </w:r>
      <w:r>
        <w:instrText>ADDIN CSL_CITATION {"citationItems":[{"id":"ITEM-1","itemData":{"DOI":"10.18860/j-fsh.v15i1.19013","ISSN":"25281658","abstract":"Misyar marriage is one of several Muslim terms in the Middle East. Due to the evolution of life and society, this marriage is a significant phenomenon in Islamic circles. Misyar marriage is performed by a man under the correct contract and conditions, where both parties must give up some rights that are incomparable with the conditions of other marriages Misyar marriage demands that women relinquish certain rights ordinarily associated with marriage, which raises concerns for human rights, particularly those governing discrimination against women. On the contrary, human rights uphold the values of rights and dignity regardless of gender, particularly for women who should receive the same treatment and rights as men, one of which is discussed in the conventions on eradicating all forms of discrimination against women and the rights of the child. This study examines the phenomenon of Misyar marriage through the lens of Islamic law and human rights, employing legal doctrinal or normative research methods, a statutory approach, and a historical perspective. The findings of this study indicated that Misyar marriage differs from other marriages and has a connection to human rights, particularly women's rights to marry. Some scholars believe that this Marriage is permissible and valid. However, according to the following opinion, Misyar marriage is prohibited. This is a violation of international law and not a violation of human rights because the conditions for marriage are not satisfied.","author":[{"dropping-particle":"","family":"Pramai","given":"Shella Arinda Putri J.","non-dropping-particle":"","parse-names":false,"suffix":""},{"dropping-particle":"","family":"Anadi","given":"Yandri Radhi","non-dropping-particle":"","parse-names":false,"suffix":""},{"dropping-particle":"","family":"Deuraseh","given":"Nurdeng","non-dropping-particle":"","parse-names":false,"suffix":""}],"container-title":"De Jure: Jurnal Hukum dan Syar'iah","id":"ITEM-1","issue":"1","issued":{"date-parts":[["2023"]]},"page":"101","title":"The Phenomenon of Development Misyar Marriage from the Perspective of Islamic Law and Human Rights","type":"article-journal","volume":"15"},"uris":["http://www.mendeley.com/documents/?uuid=0d48b731-cf9d-4953-b253-65362135e3c2"]}],"mendeley":{"formattedCitation":"Pramai, Anadi, and Deuraseh, “The Phenomenon of Development Misyar Marriage from the Perspective of Islamic Law and Human Rights.”","plainTextFormattedCitation":"Pramai, Anadi, and Deuraseh, “The Phenomenon of Development Misyar Marriage from the Perspective of Islamic Law and Human Rights.”","previouslyFormattedCitation":"Pramai, Anadi, and Deuraseh, “The Phenomenon of Development Misyar Marriage from the Perspective of Islamic Law and Human Rights.”"},"properties":{"noteIndex":15},"schema":"https://github.com/citation-style-language/schema/raw/master/csl-citation.json"}</w:instrText>
      </w:r>
      <w:r>
        <w:fldChar w:fldCharType="separate"/>
      </w:r>
      <w:r>
        <w:t>Pramai, Anadi, and Deuraseh, “The Phenomenon of Development Misyar Marriage from the Perspective of Islamic Law and Human Rights.”</w:t>
      </w:r>
      <w:r>
        <w:fldChar w:fldCharType="end"/>
      </w:r>
    </w:p>
  </w:footnote>
  <w:footnote w:id="16">
    <w:p w14:paraId="7C126EA1" w14:textId="77777777" w:rsidR="000F6425" w:rsidRDefault="00000000">
      <w:pPr>
        <w:pStyle w:val="FootnoteText"/>
        <w:jc w:val="both"/>
      </w:pPr>
      <w:r>
        <w:rPr>
          <w:rStyle w:val="FootnoteReference"/>
        </w:rPr>
        <w:footnoteRef/>
      </w:r>
      <w:r>
        <w:t xml:space="preserve"> </w:t>
      </w:r>
      <w:r>
        <w:fldChar w:fldCharType="begin" w:fldLock="1"/>
      </w:r>
      <w:r>
        <w:instrText>ADDIN CSL_CITATION {"citationItems":[{"id":"ITEM-1","itemData":{"DOI":"10.1177/1558689816651032","ISSN":"15586901","abstract":"Researchers employ triangulation to increase the validity of inference in qualitative and quantitative research. Leuffen, Shikano, and Walter have presented guidance as to which strategies to use when triangulating data sources. In this article, I explore how their findings can be translated for practical research purposes. I offer an illustrative application concentrating on the political power of traditional political authorities in Uganda and Tanzania. I analyze the status quo of political power and the preferred political power of traditional leaders. To triangulate, I use three sources: (1) constitutional-legal texts, (2) the Afrobarometer survey, and (3) in-depth interviews. I shed light on possible problems and analytical strategies for triangulation in practice, with a specific focus on convergence and divergence of sources.","author":[{"dropping-particle":"","family":"Kern","given":"Florian G.","non-dropping-particle":"","parse-names":false,"suffix":""}],"container-title":"Journal of Mixed Methods Research","id":"ITEM-1","issue":"2","issued":{"date-parts":[["2018"]]},"page":"166","title":"The Trials and Tribulations of Applied Triangulation: Weighing Different Data Sources","type":"article-journal","volume":"12"},"uris":["http://www.mendeley.com/documents/?uuid=ebb2cec4-5b2b-4869-b3bc-c77fa3e0e95e"]}],"mendeley":{"formattedCitation":"Florian G. Kern, “The Trials and Tribulations of Applied Triangulation: Weighing Different Data Sources,” &lt;i&gt;Journal of Mixed Methods Research&lt;/i&gt; 12, no. 2 (2018): 166, https://doi.org/10.1177/1558689816651032.","plainTextFormattedCitation":"Florian G. Kern, “The Trials and Tribulations of Applied Triangulation: Weighing Different Data Sources,” Journal of Mixed Methods Research 12, no. 2 (2018): 166, https://doi.org/10.1177/1558689816651032.","previouslyFormattedCitation":"Florian G. Kern, “The Trials and Tribulations of Applied Triangulation: Weighing Different Data Sources,” &lt;i&gt;Journal of Mixed Methods Research&lt;/i&gt; 12, no. 2 (2018): 166, https://doi.org/10.1177/1558689816651032."},"properties":{"noteIndex":16},"schema":"https://github.com/citation-style-language/schema/raw/master/csl-citation.json"}</w:instrText>
      </w:r>
      <w:r>
        <w:fldChar w:fldCharType="separate"/>
      </w:r>
      <w:r>
        <w:t xml:space="preserve">Florian G. Kern, “The Trials and Tribulations of Applied Triangulation: Weighing Different Data Sources,” </w:t>
      </w:r>
      <w:r>
        <w:rPr>
          <w:i/>
        </w:rPr>
        <w:t>Journal of Mixed Methods Research</w:t>
      </w:r>
      <w:r>
        <w:t xml:space="preserve"> 12, no. 2 (2018): 166, https://doi.org/10.1177/1558689816651032.</w:t>
      </w:r>
      <w:r>
        <w:fldChar w:fldCharType="end"/>
      </w:r>
    </w:p>
  </w:footnote>
  <w:footnote w:id="17">
    <w:p w14:paraId="6A2B0DFF" w14:textId="77777777" w:rsidR="000F6425" w:rsidRDefault="00000000">
      <w:pPr>
        <w:pStyle w:val="FootnoteText"/>
        <w:jc w:val="both"/>
      </w:pPr>
      <w:r>
        <w:rPr>
          <w:rStyle w:val="FootnoteReference"/>
        </w:rPr>
        <w:footnoteRef/>
      </w:r>
      <w:r>
        <w:t xml:space="preserve"> </w:t>
      </w:r>
      <w:r>
        <w:fldChar w:fldCharType="begin" w:fldLock="1"/>
      </w:r>
      <w:r>
        <w:instrText>ADDIN CSL_CITATION {"citationItems":[{"id":"ITEM-1","itemData":{"ISBN":"9781506353081","author":[{"dropping-particle":"","family":"Miles","given":"Matthew B","non-dropping-particle":"","parse-names":false,"suffix":""},{"dropping-particle":"","family":"Huberman","given":"A Michael","non-dropping-particle":"","parse-names":false,"suffix":""},{"dropping-particle":"","family":"Saldana","given":"Johnny","non-dropping-particle":"","parse-names":false,"suffix":""}],"id":"ITEM-1","issued":{"date-parts":[["2018"]]},"publisher":"SAGE Publications","title":"Qualitative Data Analysis: A Methods Sourcebook","type":"book"},"uris":["http://www.mendeley.com/documents/?uuid=baffc956-e859-44cb-a14b-1d8b1fa564bf"]}],"mendeley":{"formattedCitation":"Matthew B Miles, A Michael Huberman, and Johnny Saldana, &lt;i&gt;Qualitative Data Analysis: A Methods Sourcebook&lt;/i&gt; (SAGE Publications, 2018), https://books.google.co.id/books?id=fjh2DwAAQBAJ.","plainTextFormattedCitation":"Matthew B Miles, A Michael Huberman, and Johnny Saldana, Qualitative Data Analysis: A Methods Sourcebook (SAGE Publications, 2018), https://books.google.co.id/books?id=fjh2DwAAQBAJ.","previouslyFormattedCitation":"Matthew B Miles, A Michael Huberman, and Johnny Saldana, &lt;i&gt;Qualitative Data Analysis: A Methods Sourcebook&lt;/i&gt; (SAGE Publications, 2018), https://books.google.co.id/books?id=fjh2DwAAQBAJ."},"properties":{"noteIndex":17},"schema":"https://github.com/citation-style-language/schema/raw/master/csl-citation.json"}</w:instrText>
      </w:r>
      <w:r>
        <w:fldChar w:fldCharType="separate"/>
      </w:r>
      <w:r>
        <w:t xml:space="preserve">Matthew B Miles, A Michael Huberman, and Johnny Saldana, </w:t>
      </w:r>
      <w:r>
        <w:rPr>
          <w:i/>
        </w:rPr>
        <w:t>Qualitative Data Analysis: A Methods Sourcebook</w:t>
      </w:r>
      <w:r>
        <w:t xml:space="preserve"> (SAGE Publications, 2018), https://books.google.co.id/books?id=fjh2DwAAQBAJ.</w:t>
      </w:r>
      <w:r>
        <w:fldChar w:fldCharType="end"/>
      </w:r>
    </w:p>
  </w:footnote>
  <w:footnote w:id="18">
    <w:p w14:paraId="10C4E50D" w14:textId="77777777" w:rsidR="000F6425" w:rsidRDefault="00000000">
      <w:pPr>
        <w:pStyle w:val="FootnoteText"/>
        <w:jc w:val="both"/>
      </w:pPr>
      <w:r>
        <w:rPr>
          <w:rStyle w:val="FootnoteReference"/>
        </w:rPr>
        <w:footnoteRef/>
      </w:r>
      <w:r>
        <w:t xml:space="preserve"> </w:t>
      </w:r>
      <w:r>
        <w:fldChar w:fldCharType="begin" w:fldLock="1"/>
      </w:r>
      <w:r>
        <w:instrText>ADDIN CSL_CITATION {"citationItems":[{"id":"ITEM-1","itemData":{"author":[{"dropping-particle":"","family":"Creswell","given":"J W","non-dropping-particle":"","parse-names":false,"suffix":""}],"edition":"5","id":"ITEM-1","issued":{"date-parts":[["2015"]]},"publisher":"Pustaka Pelajar","publisher-place":"Yogyakarta","title":"Research Design: Penelitian Kualitatif, Kuantitatif &amp; Mixed","type":"book"},"uris":["http://www.mendeley.com/documents/?uuid=d779ba7e-d18c-4c3f-b93d-6ebe2a20dd9e"]},{"id":"ITEM-2","itemData":{"DOI":"10.1177/1609406920947600","ISSN":"16094069","abstract":"This paper is an illustration of the application of a hermeneutic phenomenological study. The theory of meaning and interpretation, drawing on philosophical hermeneutics and the work of Gadamer and Heidegger, and its alignment with phenomenological thought is presented. The paper explains and aims to make visible how key concerns in relation to the fusion of horizons, hermeneutic understanding, hermeneutic circle and hermeneutic phenomenological attitude were implemented. The purpose is to provide practical guidance and illustrate a fully worked up example of hermeneutic phenomenological work as research praxis. This present paper makes a case that hermeneutic phenomenological work is detailed, lengthy, rigorous and systematic in its own philosophical and theoretical frame. It articulates the philosophical and methodological alignment of hermeneutics in a specific hermeneutic phenomenological study and makes visible the work of hermeneutic phenomenology. It concludes by sharing key reflections and insights on the hermeneutic phenomenological process.","author":[{"dropping-particle":"","family":"Suddick","given":"Kitty Maria","non-dropping-particle":"","parse-names":false,"suffix":""},{"dropping-particle":"","family":"Cross","given":"Vinette","non-dropping-particle":"","parse-names":false,"suffix":""},{"dropping-particle":"","family":"Vuoskoski","given":"Pirjo","non-dropping-particle":"","parse-names":false,"suffix":""},{"dropping-particle":"","family":"Galvin","given":"Kathleen T.","non-dropping-particle":"","parse-names":false,"suffix":""},{"dropping-particle":"","family":"Stew","given":"Graham","non-dropping-particle":"","parse-names":false,"suffix":""}],"container-title":"International Journal of Qualitative Methods","id":"ITEM-2","issued":{"date-parts":[["2020"]]},"page":"1","title":"The Work of Hermeneutic Phenomenology","type":"article-journal","volume":"19"},"uris":["http://www.mendeley.com/documents/?uuid=12183362-74da-45b9-93f3-90e986784677"]}],"mendeley":{"formattedCitation":"J W Creswell, &lt;i&gt;Research Design: Penelitian Kualitatif, Kuantitatif &amp; Mixed&lt;/i&gt;, 5th ed. (Yogyakarta: Pustaka Pelajar, 2015); Suddick et al., “The Work of Hermeneutic Phenomenology.”","plainTextFormattedCitation":"J W Creswell, Research Design: Penelitian Kualitatif, Kuantitatif &amp; Mixed, 5th ed. (Yogyakarta: Pustaka Pelajar, 2015); Suddick et al., “The Work of Hermeneutic Phenomenology.”","previouslyFormattedCitation":"J W Creswell, &lt;i&gt;Research Design: Penelitian Kualitatif, Kuantitatif &amp; Mixed&lt;/i&gt;, 5th ed. (Yogyakarta: Pustaka Pelajar, 2015); Suddick et al., “The Work of Hermeneutic Phenomenology.”"},"properties":{"noteIndex":18},"schema":"https://github.com/citation-style-language/schema/raw/master/csl-citation.json"}</w:instrText>
      </w:r>
      <w:r>
        <w:fldChar w:fldCharType="separate"/>
      </w:r>
      <w:r>
        <w:t xml:space="preserve">J W Creswell, </w:t>
      </w:r>
      <w:r>
        <w:rPr>
          <w:i/>
        </w:rPr>
        <w:t>Research Design: Penelitian Kualitatif, Kuantitatif &amp; Mixed</w:t>
      </w:r>
      <w:r>
        <w:t>, 5th ed. (Yogyakarta: Pustaka Pelajar, 2015); Suddick et al., “The Work of Hermeneutic Phenomenology.”</w:t>
      </w:r>
      <w:r>
        <w:fldChar w:fldCharType="end"/>
      </w:r>
    </w:p>
  </w:footnote>
  <w:footnote w:id="19">
    <w:p w14:paraId="6C93EF66" w14:textId="77777777" w:rsidR="000F6425" w:rsidRDefault="00000000">
      <w:pPr>
        <w:pStyle w:val="FootnoteText"/>
        <w:jc w:val="both"/>
      </w:pPr>
      <w:r>
        <w:rPr>
          <w:rStyle w:val="FootnoteReference"/>
        </w:rPr>
        <w:footnoteRef/>
      </w:r>
      <w:r>
        <w:fldChar w:fldCharType="begin" w:fldLock="1"/>
      </w:r>
      <w:r>
        <w:instrText>ADDIN CSL_CITATION {"citationItems":[{"id":"ITEM-1","itemData":{"author":[{"dropping-particle":"","family":"al-Qaradawi","given":"Muhammad Yusuf","non-dropping-particle":"","parse-names":false,"suffix":""}],"id":"ITEM-1","issued":{"date-parts":[["2002"]]},"number-of-pages":"395,400","publisher":"Gema Insani Press","publisher-place":"Jakarta","title":"Fatawa Mu‘ashirah","type":"book"},"uris":["http://www.mendeley.com/documents/?uuid=5946f3c6-4f5a-4dfd-9fc9-4bcf013f9b8e"]}],"mendeley":{"formattedCitation":"Muhammad Yusuf al-Qaradawi, &lt;i&gt;Fatawa Mu‘Ashirah&lt;/i&gt; (Jakarta: Gema Insani Press, 2002).","plainTextFormattedCitation":"Muhammad Yusuf al-Qaradawi, Fatawa Mu‘Ashirah (Jakarta: Gema Insani Press, 2002).","previouslyFormattedCitation":"Muhammad Yusuf al-Qaradawi, &lt;i&gt;Fatawa Mu‘Ashirah&lt;/i&gt; (Jakarta: Gema Insani Press, 2002)."},"properties":{"noteIndex":19},"schema":"https://github.com/citation-style-language/schema/raw/master/csl-citation.json"}</w:instrText>
      </w:r>
      <w:r>
        <w:fldChar w:fldCharType="separate"/>
      </w:r>
      <w:r>
        <w:t xml:space="preserve">Muhammad Yusuf al-Qaradawi, </w:t>
      </w:r>
      <w:r>
        <w:rPr>
          <w:i/>
        </w:rPr>
        <w:t>Fatawa Mu‘Ashirah</w:t>
      </w:r>
      <w:r>
        <w:t xml:space="preserve"> (Jakarta: Gema Insani Press, 2002).</w:t>
      </w:r>
      <w:r>
        <w:fldChar w:fldCharType="end"/>
      </w:r>
      <w:r>
        <w:t xml:space="preserve"> </w:t>
      </w:r>
    </w:p>
  </w:footnote>
  <w:footnote w:id="20">
    <w:p w14:paraId="0254076E" w14:textId="77777777" w:rsidR="000F6425" w:rsidRDefault="00000000">
      <w:pPr>
        <w:pStyle w:val="FootnoteText"/>
        <w:jc w:val="both"/>
      </w:pPr>
      <w:r>
        <w:rPr>
          <w:rStyle w:val="FootnoteReference"/>
        </w:rPr>
        <w:footnoteRef/>
      </w:r>
      <w:r>
        <w:t xml:space="preserve"> </w:t>
      </w:r>
      <w:r>
        <w:fldChar w:fldCharType="begin" w:fldLock="1"/>
      </w:r>
      <w:r>
        <w:instrText>ADDIN CSL_CITATION {"citationItems":[{"id":"ITEM-1","itemData":{"author":[{"dropping-particle":"","family":"Susi","given":"","non-dropping-particle":"","parse-names":false,"suffix":""}],"id":"ITEM-1","issued":{"date-parts":[["2019","3","11"]]},"note":"Wawancara pribadi","title":"Wawancara dengan Susi pada 11 Maret","type":"webpage"},"uris":["http://www.mendeley.com/documents/?uuid=f5fde207-14a5-4f70-8454-87991c0fd8b0"]}],"mendeley":{"formattedCitation":"Susi, “Wawancara Dengan Susi Pada 11 Maret,” March 11, 2019.","plainTextFormattedCitation":"Susi, “Wawancara Dengan Susi Pada 11 Maret,” March 11, 2019.","previouslyFormattedCitation":"Susi, “Wawancara Dengan Susi Pada 11 Maret,” March 11, 2019."},"properties":{"noteIndex":20},"schema":"https://github.com/citation-style-language/schema/raw/master/csl-citation.json"}</w:instrText>
      </w:r>
      <w:r>
        <w:fldChar w:fldCharType="separate"/>
      </w:r>
      <w:r>
        <w:t>Susi, “Wawancara Dengan Susi Pada 11 Maret,” March 11, 2019.</w:t>
      </w:r>
      <w:r>
        <w:fldChar w:fldCharType="end"/>
      </w:r>
    </w:p>
  </w:footnote>
  <w:footnote w:id="21">
    <w:p w14:paraId="6CADC5AC" w14:textId="77777777" w:rsidR="000F6425" w:rsidRDefault="00000000">
      <w:pPr>
        <w:pStyle w:val="FootnoteText"/>
        <w:jc w:val="both"/>
      </w:pPr>
      <w:r>
        <w:rPr>
          <w:rStyle w:val="FootnoteReference"/>
        </w:rPr>
        <w:footnoteRef/>
      </w:r>
      <w:r>
        <w:t xml:space="preserve"> </w:t>
      </w:r>
      <w:r>
        <w:fldChar w:fldCharType="begin" w:fldLock="1"/>
      </w:r>
      <w:r>
        <w:instrText>ADDIN CSL_CITATION {"citationItems":[{"id":"ITEM-1","itemData":{"author":[{"dropping-particle":"","family":"Rodiyah","given":"","non-dropping-particle":"","parse-names":false,"suffix":""}],"id":"ITEM-1","issued":{"date-parts":[["2023","12","4"]]},"publisher-place":"Jeddah, Saudi Arabia","title":"Wawancara dengan Rodiyah di Jeddah, Saudi Arabia","type":"article"},"uris":["http://www.mendeley.com/documents/?uuid=6bba172b-4992-496c-94e6-fe3d3a22a51d"]}],"mendeley":{"formattedCitation":"Rodiyah, “Wawancara Dengan Rodiyah Di Jeddah, Saudi Arabia” (Jeddah, Saudi Arabia, December 4, 2023).","plainTextFormattedCitation":"Rodiyah, “Wawancara Dengan Rodiyah Di Jeddah, Saudi Arabia” (Jeddah, Saudi Arabia, December 4, 2023).","previouslyFormattedCitation":"Rodiyah, “Wawancara Dengan Rodiyah Di Jeddah, Saudi Arabia” (Jeddah, Saudi Arabia, December 4, 2023)."},"properties":{"noteIndex":21},"schema":"https://github.com/citation-style-language/schema/raw/master/csl-citation.json"}</w:instrText>
      </w:r>
      <w:r>
        <w:fldChar w:fldCharType="separate"/>
      </w:r>
      <w:r>
        <w:t>Rodiyah, “Wawancara Dengan Rodiyah Di Jeddah, Saudi Arabia” (Jeddah, Saudi Arabia, December 4, 2023).</w:t>
      </w:r>
      <w:r>
        <w:fldChar w:fldCharType="end"/>
      </w:r>
    </w:p>
  </w:footnote>
  <w:footnote w:id="22">
    <w:p w14:paraId="618558F6" w14:textId="77777777" w:rsidR="000F6425" w:rsidRDefault="00000000">
      <w:pPr>
        <w:pStyle w:val="FootnoteText"/>
        <w:jc w:val="both"/>
      </w:pPr>
      <w:r>
        <w:rPr>
          <w:rStyle w:val="FootnoteReference"/>
        </w:rPr>
        <w:footnoteRef/>
      </w:r>
      <w:r>
        <w:t xml:space="preserve"> </w:t>
      </w:r>
      <w:r>
        <w:fldChar w:fldCharType="begin" w:fldLock="1"/>
      </w:r>
      <w:r>
        <w:instrText>ADDIN CSL_CITATION {"citationItems":[{"id":"ITEM-1","itemData":{"author":[{"dropping-particle":"","family":"Muslimah","given":"","non-dropping-particle":"","parse-names":false,"suffix":""}],"id":"ITEM-1","issued":{"date-parts":[["2023","12","6"]]},"note":"Wawancara pribadi","publisher-place":"Jeddah, Saudi Arabia","title":"Wawancara dengan Muslimah di Jeddah, Saudi Arabia","type":"article"},"uris":["http://www.mendeley.com/documents/?uuid=8bf91aa4-990a-40b3-b77f-088e3e02f4fa"]}],"mendeley":{"formattedCitation":"Muslimah, “Wawancara Dengan Muslimah Di Jeddah, Saudi Arabia” (Jeddah, Saudi Arabia, December 6, 2023).","plainTextFormattedCitation":"Muslimah, “Wawancara Dengan Muslimah Di Jeddah, Saudi Arabia” (Jeddah, Saudi Arabia, December 6, 2023).","previouslyFormattedCitation":"Muslimah, “Wawancara Dengan Muslimah Di Jeddah, Saudi Arabia” (Jeddah, Saudi Arabia, December 6, 2023)."},"properties":{"noteIndex":22},"schema":"https://github.com/citation-style-language/schema/raw/master/csl-citation.json"}</w:instrText>
      </w:r>
      <w:r>
        <w:fldChar w:fldCharType="separate"/>
      </w:r>
      <w:r>
        <w:t>Muslimah, “Wawancara Dengan Muslimah Di Jeddah, Saudi Arabia” (Jeddah, Saudi Arabia, December 6, 2023).</w:t>
      </w:r>
      <w:r>
        <w:fldChar w:fldCharType="end"/>
      </w:r>
    </w:p>
  </w:footnote>
  <w:footnote w:id="23">
    <w:p w14:paraId="53B2C17D" w14:textId="77777777" w:rsidR="000F6425" w:rsidRDefault="00000000">
      <w:pPr>
        <w:pStyle w:val="FootnoteText"/>
        <w:jc w:val="both"/>
      </w:pPr>
      <w:r>
        <w:rPr>
          <w:rStyle w:val="FootnoteReference"/>
        </w:rPr>
        <w:footnoteRef/>
      </w:r>
      <w:r>
        <w:t xml:space="preserve"> </w:t>
      </w:r>
      <w:r>
        <w:fldChar w:fldCharType="begin" w:fldLock="1"/>
      </w:r>
      <w:r>
        <w:instrText>ADDIN CSL_CITATION {"citationItems":[{"id":"ITEM-1","itemData":{"author":[{"dropping-particle":"","family":"Abad","given":"Mahra","non-dropping-particle":"","parse-names":false,"suffix":""}],"id":"ITEM-1","issued":{"date-parts":[["2023","12","9"]]},"note":"Wawancara pribadi","publisher-place":"Riyadh, Saudi Arabia","title":"Wawancara dengan Mahra Abad di Riyadh, Saudi Arabia","type":"webpage"},"uris":["http://www.mendeley.com/documents/?uuid=08a0b762-886b-41ae-bdac-5833fc44c20d"]}],"mendeley":{"formattedCitation":"Mahra Abad, “Wawancara Dengan Mahra Abad Di Riyadh, Saudi Arabia” (Riyadh, Saudi Arabia, December 9, 2023).","plainTextFormattedCitation":"Mahra Abad, “Wawancara Dengan Mahra Abad Di Riyadh, Saudi Arabia” (Riyadh, Saudi Arabia, December 9, 2023).","previouslyFormattedCitation":"Mahra Abad, “Wawancara Dengan Mahra Abad Di Riyadh, Saudi Arabia” (Riyadh, Saudi Arabia, December 9, 2023)."},"properties":{"noteIndex":23},"schema":"https://github.com/citation-style-language/schema/raw/master/csl-citation.json"}</w:instrText>
      </w:r>
      <w:r>
        <w:fldChar w:fldCharType="separate"/>
      </w:r>
      <w:r>
        <w:t>Mahra Abad, “Wawancara Dengan Mahra Abad Di Riyadh, Saudi Arabia” (Riyadh, Saudi Arabia, December 9, 2023).</w:t>
      </w:r>
      <w:r>
        <w:fldChar w:fldCharType="end"/>
      </w:r>
    </w:p>
  </w:footnote>
  <w:footnote w:id="24">
    <w:p w14:paraId="0BB5B660" w14:textId="77777777" w:rsidR="000F6425" w:rsidRDefault="00000000">
      <w:pPr>
        <w:pStyle w:val="FootnoteText"/>
        <w:jc w:val="both"/>
      </w:pPr>
      <w:r>
        <w:rPr>
          <w:rStyle w:val="FootnoteReference"/>
        </w:rPr>
        <w:footnoteRef/>
      </w:r>
      <w:r>
        <w:t xml:space="preserve"> </w:t>
      </w:r>
      <w:r>
        <w:fldChar w:fldCharType="begin" w:fldLock="1"/>
      </w:r>
      <w:r>
        <w:instrText>ADDIN CSL_CITATION {"citationItems":[{"id":"ITEM-1","itemData":{"author":[{"dropping-particle":"","family":"Iman","given":"","non-dropping-particle":"","parse-names":false,"suffix":""}],"id":"ITEM-1","issued":{"date-parts":[["2019","11","4"]]},"note":"Wawancara pribadi","publisher-place":"Casablanca, Maroko","title":"Wawancara dengan Iman di Casablanca, Maroko","type":"webpage"},"uris":["http://www.mendeley.com/documents/?uuid=e78df987-7cb9-4d42-9ac5-826a374689e7"]}],"mendeley":{"formattedCitation":"Iman, “Wawancara Dengan Iman Di Casablanca, Maroko” (Casablanca, Maroko, November 4, 2019).","plainTextFormattedCitation":"Iman, “Wawancara Dengan Iman Di Casablanca, Maroko” (Casablanca, Maroko, November 4, 2019).","previouslyFormattedCitation":"Iman, “Wawancara Dengan Iman Di Casablanca, Maroko” (Casablanca, Maroko, November 4, 2019)."},"properties":{"noteIndex":24},"schema":"https://github.com/citation-style-language/schema/raw/master/csl-citation.json"}</w:instrText>
      </w:r>
      <w:r>
        <w:fldChar w:fldCharType="separate"/>
      </w:r>
      <w:r>
        <w:t>Iman, “Wawancara Dengan Iman Di Casablanca, Maroko” (Casablanca, Maroko, November 4, 2019).</w:t>
      </w:r>
      <w:r>
        <w:fldChar w:fldCharType="end"/>
      </w:r>
    </w:p>
  </w:footnote>
  <w:footnote w:id="25">
    <w:p w14:paraId="55222BCF" w14:textId="77777777" w:rsidR="000F6425" w:rsidRDefault="00000000">
      <w:pPr>
        <w:pStyle w:val="FootnoteText"/>
        <w:jc w:val="both"/>
      </w:pPr>
      <w:r>
        <w:rPr>
          <w:rStyle w:val="FootnoteReference"/>
        </w:rPr>
        <w:footnoteRef/>
      </w:r>
      <w:r>
        <w:t xml:space="preserve"> </w:t>
      </w:r>
      <w:r>
        <w:fldChar w:fldCharType="begin" w:fldLock="1"/>
      </w:r>
      <w:r>
        <w:instrText>ADDIN CSL_CITATION {"citationItems":[{"id":"ITEM-1","itemData":{"author":[{"dropping-particle":"","family":"Fatimah","given":"","non-dropping-particle":"","parse-names":false,"suffix":""}],"id":"ITEM-1","issued":{"date-parts":[["2022","4","20"]]},"note":"Wawancara pribadi","publisher-place":"Alexandria, Mesir","title":"Wawancara dengan Fatimah di Alexandria, Mesir","type":"webpage"},"uris":["http://www.mendeley.com/documents/?uuid=9b50bf93-96ce-44bc-b7d1-95f9eff1748c"]}],"mendeley":{"formattedCitation":"Fatimah, “Wawancara Dengan Fatimah Di Alexandria, Mesir” (Alexandria, Mesir, April 20, 2022).","plainTextFormattedCitation":"Fatimah, “Wawancara Dengan Fatimah Di Alexandria, Mesir” (Alexandria, Mesir, April 20, 2022).","previouslyFormattedCitation":"Fatimah, “Wawancara Dengan Fatimah Di Alexandria, Mesir” (Alexandria, Mesir, April 20, 2022)."},"properties":{"noteIndex":25},"schema":"https://github.com/citation-style-language/schema/raw/master/csl-citation.json"}</w:instrText>
      </w:r>
      <w:r>
        <w:fldChar w:fldCharType="separate"/>
      </w:r>
      <w:r>
        <w:t>Fatimah, “Wawancara Dengan Fatimah Di Alexandria, Mesir” (Alexandria, Mesir, April 20, 2022).</w:t>
      </w:r>
      <w:r>
        <w:fldChar w:fldCharType="end"/>
      </w:r>
    </w:p>
  </w:footnote>
  <w:footnote w:id="26">
    <w:p w14:paraId="1AF7811D" w14:textId="77777777" w:rsidR="000F6425" w:rsidRDefault="00000000">
      <w:pPr>
        <w:pStyle w:val="FootnoteText"/>
        <w:jc w:val="both"/>
      </w:pPr>
      <w:r>
        <w:rPr>
          <w:rStyle w:val="FootnoteReference"/>
        </w:rPr>
        <w:footnoteRef/>
      </w:r>
      <w:r>
        <w:t xml:space="preserve"> </w:t>
      </w:r>
      <w:r>
        <w:fldChar w:fldCharType="begin" w:fldLock="1"/>
      </w:r>
      <w:r>
        <w:instrText>ADDIN CSL_CITATION {"citationItems":[{"id":"ITEM-1","itemData":{"author":[{"dropping-particle":"","family":"Fatimah","given":"","non-dropping-particle":"","parse-names":false,"suffix":""}],"id":"ITEM-1","issued":{"date-parts":[["2022","4","20"]]},"note":"Wawancara pribadi","publisher-place":"Alexandria, Mesir","title":"Wawancara dengan Fatimah di Alexandria, Mesir","type":"webpage"},"uris":["http://www.mendeley.com/documents/?uuid=9b50bf93-96ce-44bc-b7d1-95f9eff1748c"]}],"mendeley":{"formattedCitation":"Fatimah.","plainTextFormattedCitation":"Fatimah.","previouslyFormattedCitation":"Fatimah."},"properties":{"noteIndex":26},"schema":"https://github.com/citation-style-language/schema/raw/master/csl-citation.json"}</w:instrText>
      </w:r>
      <w:r>
        <w:fldChar w:fldCharType="separate"/>
      </w:r>
      <w:r>
        <w:t>Fatimah.</w:t>
      </w:r>
      <w:r>
        <w:fldChar w:fldCharType="end"/>
      </w:r>
    </w:p>
  </w:footnote>
  <w:footnote w:id="27">
    <w:p w14:paraId="2420F201" w14:textId="77777777" w:rsidR="000F6425" w:rsidRDefault="00000000">
      <w:pPr>
        <w:pStyle w:val="FootnoteText"/>
        <w:jc w:val="both"/>
      </w:pPr>
      <w:r>
        <w:rPr>
          <w:rStyle w:val="FootnoteReference"/>
        </w:rPr>
        <w:footnoteRef/>
      </w:r>
      <w:r>
        <w:t xml:space="preserve"> </w:t>
      </w:r>
      <w:r>
        <w:fldChar w:fldCharType="begin" w:fldLock="1"/>
      </w:r>
      <w:r>
        <w:instrText>ADDIN CSL_CITATION {"citationItems":[{"id":"ITEM-1","itemData":{"author":[{"dropping-particle":"","family":"Karmila","given":"","non-dropping-particle":"","parse-names":false,"suffix":""}],"id":"ITEM-1","issued":{"date-parts":[["2024","9","13"]]},"note":"Wawancara pribadi","publisher-place":"Gombak, Malaysia","title":"Wawancara dengan Karmila di Gombak, Malaysia","type":"webpage"},"uris":["http://www.mendeley.com/documents/?uuid=7147dc7b-342c-4f5d-a07e-bd5af304b188"]}],"mendeley":{"formattedCitation":"Karmila, “Wawancara Dengan Karmila Di Gombak, Malaysia” (Gombak, Malaysia, September 13, 2024).","plainTextFormattedCitation":"Karmila, “Wawancara Dengan Karmila Di Gombak, Malaysia” (Gombak, Malaysia, September 13, 2024).","previouslyFormattedCitation":"Karmila, “Wawancara Dengan Karmila Di Gombak, Malaysia” (Gombak, Malaysia, September 13, 2024)."},"properties":{"noteIndex":27},"schema":"https://github.com/citation-style-language/schema/raw/master/csl-citation.json"}</w:instrText>
      </w:r>
      <w:r>
        <w:fldChar w:fldCharType="separate"/>
      </w:r>
      <w:r>
        <w:t>Karmila, “Wawancara Dengan Karmila Di Gombak, Malaysia” (Gombak, Malaysia, September 13, 2024).</w:t>
      </w:r>
      <w:r>
        <w:fldChar w:fldCharType="end"/>
      </w:r>
    </w:p>
  </w:footnote>
  <w:footnote w:id="28">
    <w:p w14:paraId="1EF0DA3F" w14:textId="77777777" w:rsidR="000F6425" w:rsidRDefault="00000000">
      <w:pPr>
        <w:pStyle w:val="FootnoteText"/>
        <w:jc w:val="both"/>
      </w:pPr>
      <w:r>
        <w:rPr>
          <w:rStyle w:val="FootnoteReference"/>
        </w:rPr>
        <w:footnoteRef/>
      </w:r>
      <w:r>
        <w:t xml:space="preserve"> </w:t>
      </w:r>
      <w:r>
        <w:fldChar w:fldCharType="begin" w:fldLock="1"/>
      </w:r>
      <w:r>
        <w:instrText>ADDIN CSL_CITATION {"citationItems":[{"id":"ITEM-1","itemData":{"author":[{"dropping-particle":"","family":"Karmila","given":"","non-dropping-particle":"","parse-names":false,"suffix":""}],"id":"ITEM-1","issued":{"date-parts":[["2024","9","13"]]},"note":"Wawancara pribadi","publisher-place":"Gombak, Malaysia","title":"Wawancara dengan Karmila di Gombak, Malaysia","type":"webpage"},"uris":["http://www.mendeley.com/documents/?uuid=7147dc7b-342c-4f5d-a07e-bd5af304b188"]}],"mendeley":{"formattedCitation":"Karmila.","plainTextFormattedCitation":"Karmila.","previouslyFormattedCitation":"Karmila."},"properties":{"noteIndex":28},"schema":"https://github.com/citation-style-language/schema/raw/master/csl-citation.json"}</w:instrText>
      </w:r>
      <w:r>
        <w:fldChar w:fldCharType="separate"/>
      </w:r>
      <w:r>
        <w:t>Karmila.</w:t>
      </w:r>
      <w:r>
        <w:fldChar w:fldCharType="end"/>
      </w:r>
    </w:p>
  </w:footnote>
  <w:footnote w:id="29">
    <w:p w14:paraId="18F15A1D" w14:textId="77777777" w:rsidR="000F6425" w:rsidRDefault="00000000">
      <w:pPr>
        <w:pStyle w:val="FootnoteText"/>
        <w:jc w:val="both"/>
      </w:pPr>
      <w:r>
        <w:rPr>
          <w:rStyle w:val="FootnoteReference"/>
        </w:rPr>
        <w:footnoteRef/>
      </w:r>
      <w:r>
        <w:t xml:space="preserve"> </w:t>
      </w:r>
      <w:r>
        <w:fldChar w:fldCharType="begin" w:fldLock="1"/>
      </w:r>
      <w:r>
        <w:instrText>ADDIN CSL_CITATION {"citationItems":[{"id":"ITEM-1","itemData":{"author":[{"dropping-particle":"","family":"Lela","given":"","non-dropping-particle":"","parse-names":false,"suffix":""}],"id":"ITEM-1","issued":{"date-parts":[["2019","12","10"]]},"note":"Wawancara pribadi","title":"Wawancara dengan Lela","type":"webpage"},"uris":["http://www.mendeley.com/documents/?uuid=319a9d50-6303-4adb-a794-ddbc20f56953"]}],"mendeley":{"formattedCitation":"Lela, “Wawancara Dengan Lela,” December 10, 2019.","plainTextFormattedCitation":"Lela, “Wawancara Dengan Lela,” December 10, 2019.","previouslyFormattedCitation":"Lela, “Wawancara Dengan Lela,” December 10, 2019."},"properties":{"noteIndex":29},"schema":"https://github.com/citation-style-language/schema/raw/master/csl-citation.json"}</w:instrText>
      </w:r>
      <w:r>
        <w:fldChar w:fldCharType="separate"/>
      </w:r>
      <w:r>
        <w:t>Lela, “Wawancara Dengan Lela,” December 10, 2019.</w:t>
      </w:r>
      <w:r>
        <w:fldChar w:fldCharType="end"/>
      </w:r>
    </w:p>
  </w:footnote>
  <w:footnote w:id="30">
    <w:p w14:paraId="7E1AB8FD" w14:textId="77777777" w:rsidR="000F6425" w:rsidRDefault="00000000">
      <w:pPr>
        <w:pStyle w:val="FootnoteText"/>
        <w:jc w:val="both"/>
      </w:pPr>
      <w:r>
        <w:rPr>
          <w:rStyle w:val="FootnoteReference"/>
        </w:rPr>
        <w:footnoteRef/>
      </w:r>
      <w:r>
        <w:t xml:space="preserve"> </w:t>
      </w:r>
      <w:r>
        <w:fldChar w:fldCharType="begin" w:fldLock="1"/>
      </w:r>
      <w:r>
        <w:instrText>ADDIN CSL_CITATION {"citationItems":[{"id":"ITEM-1","itemData":{"author":[{"dropping-particle":"","family":"Mimi","given":"","non-dropping-particle":"","parse-names":false,"suffix":""}],"id":"ITEM-1","issued":{"date-parts":[["2019","12","20"]]},"note":"Wawancara pribadi","title":"Wawancara dengan Mimi","type":"webpage"},"uris":["http://www.mendeley.com/documents/?uuid=1bd95e3c-9ad3-43cc-8599-536235e80ed0"]}],"mendeley":{"formattedCitation":"Mimi, “Wawancara Dengan Mimi,” December 20, 2019.","plainTextFormattedCitation":"Mimi, “Wawancara Dengan Mimi,” December 20, 2019.","previouslyFormattedCitation":"Mimi, “Wawancara Dengan Mimi,” December 20, 2019."},"properties":{"noteIndex":30},"schema":"https://github.com/citation-style-language/schema/raw/master/csl-citation.json"}</w:instrText>
      </w:r>
      <w:r>
        <w:fldChar w:fldCharType="separate"/>
      </w:r>
      <w:r>
        <w:t>Mimi, “Wawancara Dengan Mimi,” December 20, 2019.</w:t>
      </w:r>
      <w:r>
        <w:fldChar w:fldCharType="end"/>
      </w:r>
    </w:p>
  </w:footnote>
  <w:footnote w:id="31">
    <w:p w14:paraId="6237B36D" w14:textId="77777777" w:rsidR="000F6425" w:rsidRDefault="00000000">
      <w:pPr>
        <w:pStyle w:val="FootnoteText"/>
        <w:jc w:val="both"/>
      </w:pPr>
      <w:r>
        <w:rPr>
          <w:rStyle w:val="FootnoteReference"/>
        </w:rPr>
        <w:footnoteRef/>
      </w:r>
      <w:r>
        <w:t xml:space="preserve"> </w:t>
      </w:r>
      <w:r>
        <w:fldChar w:fldCharType="begin" w:fldLock="1"/>
      </w:r>
      <w:r>
        <w:instrText>ADDIN CSL_CITATION {"citationItems":[{"id":"ITEM-1","itemData":{"author":[{"dropping-particle":"","family":"Titin","given":"","non-dropping-particle":"","parse-names":false,"suffix":""}],"id":"ITEM-1","issued":{"date-parts":[["2019","7","11"]]},"note":"Wawancara pribadi","title":"Wawancara dengan Titin","type":"webpage"},"uris":["http://www.mendeley.com/documents/?uuid=8d45e41a-361e-4de0-bf4f-d1dadb210776"]}],"mendeley":{"formattedCitation":"Titin, “Wawancara Dengan Titin,” July 11, 2019.","plainTextFormattedCitation":"Titin, “Wawancara Dengan Titin,” July 11, 2019.","previouslyFormattedCitation":"Titin, “Wawancara Dengan Titin,” July 11, 2019."},"properties":{"noteIndex":31},"schema":"https://github.com/citation-style-language/schema/raw/master/csl-citation.json"}</w:instrText>
      </w:r>
      <w:r>
        <w:fldChar w:fldCharType="separate"/>
      </w:r>
      <w:r>
        <w:t>Titin, “Wawancara Dengan Titin,” July 11, 2019.</w:t>
      </w:r>
      <w:r>
        <w:fldChar w:fldCharType="end"/>
      </w:r>
    </w:p>
  </w:footnote>
  <w:footnote w:id="32">
    <w:p w14:paraId="0DEB3DA2" w14:textId="77777777" w:rsidR="000F6425" w:rsidRDefault="00000000">
      <w:pPr>
        <w:pStyle w:val="FootnoteText"/>
        <w:jc w:val="both"/>
      </w:pPr>
      <w:r>
        <w:rPr>
          <w:rStyle w:val="FootnoteReference"/>
        </w:rPr>
        <w:footnoteRef/>
      </w:r>
      <w:r>
        <w:t xml:space="preserve"> </w:t>
      </w:r>
      <w:r>
        <w:fldChar w:fldCharType="begin" w:fldLock="1"/>
      </w:r>
      <w:r>
        <w:instrText>ADDIN CSL_CITATION {"citationItems":[{"id":"ITEM-1","itemData":{"author":[{"dropping-particle":"","family":"Abad","given":"Mahra","non-dropping-particle":"","parse-names":false,"suffix":""}],"id":"ITEM-1","issued":{"date-parts":[["2023","12","9"]]},"note":"Wawancara pribadi","publisher-place":"Riyadh, Saudi Arabia","title":"Wawancara dengan Mahra Abad di Riyadh, Saudi Arabia","type":"webpage"},"uris":["http://www.mendeley.com/documents/?uuid=08a0b762-886b-41ae-bdac-5833fc44c20d"]}],"mendeley":{"formattedCitation":"Abad, “Wawancara Dengan Mahra Abad Di Riyadh, Saudi Arabia.”","plainTextFormattedCitation":"Abad, “Wawancara Dengan Mahra Abad Di Riyadh, Saudi Arabia.”","previouslyFormattedCitation":"Abad, “Wawancara Dengan Mahra Abad Di Riyadh, Saudi Arabia.”"},"properties":{"noteIndex":32},"schema":"https://github.com/citation-style-language/schema/raw/master/csl-citation.json"}</w:instrText>
      </w:r>
      <w:r>
        <w:fldChar w:fldCharType="separate"/>
      </w:r>
      <w:r>
        <w:t>Abad, “Wawancara Dengan Mahra Abad Di Riyadh, Saudi Arabia.”</w:t>
      </w:r>
      <w:r>
        <w:fldChar w:fldCharType="end"/>
      </w:r>
    </w:p>
  </w:footnote>
  <w:footnote w:id="33">
    <w:p w14:paraId="14A82BF2" w14:textId="77777777" w:rsidR="000F6425" w:rsidRDefault="00000000">
      <w:pPr>
        <w:pStyle w:val="FootnoteText"/>
        <w:jc w:val="both"/>
      </w:pPr>
      <w:r>
        <w:rPr>
          <w:rStyle w:val="FootnoteReference"/>
        </w:rPr>
        <w:footnoteRef/>
      </w:r>
      <w:r>
        <w:t xml:space="preserve"> </w:t>
      </w:r>
      <w:r>
        <w:fldChar w:fldCharType="begin" w:fldLock="1"/>
      </w:r>
      <w:r>
        <w:instrText>ADDIN CSL_CITATION {"citationItems":[{"id":"ITEM-1","itemData":{"author":[{"dropping-particle":"","family":"Ira","given":"","non-dropping-particle":"","parse-names":false,"suffix":""}],"id":"ITEM-1","issued":{"date-parts":[["2019","2","5"]]},"note":"Wawancara pribadi","title":"Wawancara dengan Ira","type":"webpage"},"uris":["http://www.mendeley.com/documents/?uuid=b6659c9d-66db-4393-8fa8-034233ef8bd0"]}],"mendeley":{"formattedCitation":"Ira, “Wawancara Dengan Ira,” February 5, 2019.","plainTextFormattedCitation":"Ira, “Wawancara Dengan Ira,” February 5, 2019.","previouslyFormattedCitation":"Ira, “Wawancara Dengan Ira,” February 5, 2019."},"properties":{"noteIndex":33},"schema":"https://github.com/citation-style-language/schema/raw/master/csl-citation.json"}</w:instrText>
      </w:r>
      <w:r>
        <w:fldChar w:fldCharType="separate"/>
      </w:r>
      <w:r>
        <w:t>Ira, “Wawancara Dengan Ira,” February 5, 2019.</w:t>
      </w:r>
      <w:r>
        <w:fldChar w:fldCharType="end"/>
      </w:r>
    </w:p>
  </w:footnote>
  <w:footnote w:id="34">
    <w:p w14:paraId="12AAB051" w14:textId="77777777" w:rsidR="000F6425" w:rsidRDefault="00000000">
      <w:pPr>
        <w:pStyle w:val="FootnoteText"/>
        <w:jc w:val="both"/>
      </w:pPr>
      <w:r>
        <w:rPr>
          <w:rStyle w:val="FootnoteReference"/>
        </w:rPr>
        <w:footnoteRef/>
      </w:r>
      <w:r>
        <w:t xml:space="preserve"> </w:t>
      </w:r>
      <w:r>
        <w:fldChar w:fldCharType="begin" w:fldLock="1"/>
      </w:r>
      <w:r>
        <w:instrText>ADDIN CSL_CITATION {"citationItems":[{"id":"ITEM-1","itemData":{"author":[{"dropping-particle":"","family":"Susi","given":"","non-dropping-particle":"","parse-names":false,"suffix":""}],"id":"ITEM-1","issued":{"date-parts":[["2019"]]},"title":"Interview with, on August 15","type":"article"},"uris":["http://www.mendeley.com/documents/?uuid=7326d0f8-83cb-4442-84d1-f765a30f1f20"]}],"mendeley":{"formattedCitation":"Susi, “Interview with, on August 15,” 2019.","plainTextFormattedCitation":"Susi, “Interview with, on August 15,” 2019.","previouslyFormattedCitation":"Susi, “Interview with, on August 15,” 2019."},"properties":{"noteIndex":34},"schema":"https://github.com/citation-style-language/schema/raw/master/csl-citation.json"}</w:instrText>
      </w:r>
      <w:r>
        <w:fldChar w:fldCharType="separate"/>
      </w:r>
      <w:r>
        <w:t>Susi, “Interview with, on August 15,” 2019.</w:t>
      </w:r>
      <w:r>
        <w:fldChar w:fldCharType="end"/>
      </w:r>
    </w:p>
  </w:footnote>
  <w:footnote w:id="35">
    <w:p w14:paraId="393ADF41" w14:textId="77777777" w:rsidR="000F6425" w:rsidRDefault="00000000">
      <w:pPr>
        <w:pStyle w:val="FootnoteText"/>
        <w:jc w:val="both"/>
      </w:pPr>
      <w:r>
        <w:rPr>
          <w:rStyle w:val="FootnoteReference"/>
        </w:rPr>
        <w:footnoteRef/>
      </w:r>
      <w:r>
        <w:t xml:space="preserve"> </w:t>
      </w:r>
      <w:r>
        <w:fldChar w:fldCharType="begin" w:fldLock="1"/>
      </w:r>
      <w:r>
        <w:instrText>ADDIN CSL_CITATION {"citationItems":[{"id":"ITEM-1","itemData":{"id":"ITEM-1","issued":{"date-parts":[["0"]]},"title":"Interview with Mumun, on September 29, 2021","type":"article"},"uris":["http://www.mendeley.com/documents/?uuid=89b08291-e3f2-4f5d-876f-4591a2a7c441"]}],"mendeley":{"formattedCitation":"“Interview with Mumun, on September 29, 2021,” n.d.","plainTextFormattedCitation":"“Interview with Mumun, on September 29, 2021,” n.d.","previouslyFormattedCitation":"“Interview with Mumun, on September 29, 2021,” n.d."},"properties":{"noteIndex":35},"schema":"https://github.com/citation-style-language/schema/raw/master/csl-citation.json"}</w:instrText>
      </w:r>
      <w:r>
        <w:fldChar w:fldCharType="separate"/>
      </w:r>
      <w:r>
        <w:t>“Interview with Mumun, on September 29, 2021,” n.d.</w:t>
      </w:r>
      <w:r>
        <w:fldChar w:fldCharType="end"/>
      </w:r>
    </w:p>
  </w:footnote>
  <w:footnote w:id="36">
    <w:p w14:paraId="22939390" w14:textId="77777777" w:rsidR="000F6425" w:rsidRDefault="00000000">
      <w:pPr>
        <w:pStyle w:val="FootnoteText"/>
        <w:jc w:val="both"/>
      </w:pPr>
      <w:r>
        <w:rPr>
          <w:rStyle w:val="FootnoteReference"/>
        </w:rPr>
        <w:footnoteRef/>
      </w:r>
      <w:r>
        <w:t xml:space="preserve"> </w:t>
      </w:r>
      <w:r>
        <w:fldChar w:fldCharType="begin" w:fldLock="1"/>
      </w:r>
      <w:r>
        <w:instrText>ADDIN CSL_CITATION {"citationItems":[{"id":"ITEM-1","itemData":{"author":[{"dropping-particle":"","family":"Lela","given":"","non-dropping-particle":"","parse-names":false,"suffix":""}],"id":"ITEM-1","issued":{"date-parts":[["2019","12","10"]]},"note":"Wawancara pribadi","title":"Wawancara dengan Lela","type":"webpage"},"uris":["http://www.mendeley.com/documents/?uuid=319a9d50-6303-4adb-a794-ddbc20f56953"]}],"mendeley":{"formattedCitation":"Lela, “Wawancara Dengan Lela.”","plainTextFormattedCitation":"Lela, “Wawancara Dengan Lela.”","previouslyFormattedCitation":"Lela, “Wawancara Dengan Lela.”"},"properties":{"noteIndex":36},"schema":"https://github.com/citation-style-language/schema/raw/master/csl-citation.json"}</w:instrText>
      </w:r>
      <w:r>
        <w:fldChar w:fldCharType="separate"/>
      </w:r>
      <w:r>
        <w:t>Lela, “Wawancara Dengan Lela.”</w:t>
      </w:r>
      <w:r>
        <w:fldChar w:fldCharType="end"/>
      </w:r>
    </w:p>
  </w:footnote>
  <w:footnote w:id="37">
    <w:p w14:paraId="1290B1B7" w14:textId="77777777" w:rsidR="000F6425" w:rsidRDefault="00000000">
      <w:pPr>
        <w:pStyle w:val="FootnoteText"/>
        <w:jc w:val="both"/>
      </w:pPr>
      <w:r>
        <w:rPr>
          <w:rStyle w:val="FootnoteReference"/>
        </w:rPr>
        <w:footnoteRef/>
      </w:r>
      <w:r>
        <w:t xml:space="preserve"> </w:t>
      </w:r>
      <w:r>
        <w:fldChar w:fldCharType="begin" w:fldLock="1"/>
      </w:r>
      <w:r>
        <w:instrText>ADDIN CSL_CITATION {"citationItems":[{"id":"ITEM-1","itemData":{"author":[{"dropping-particle":"","family":"Suti","given":"","non-dropping-particle":"","parse-names":false,"suffix":""}],"id":"ITEM-1","issued":{"date-parts":[["2019","12","4"]]},"note":"Wawancara pribadi","title":"Wawancara dengan Suti pada 04 Desember","type":"webpage"},"uris":["http://www.mendeley.com/documents/?uuid=c6d604c8-bc12-43c2-a7a5-714299533cac"]}],"mendeley":{"formattedCitation":"Suti, “Wawancara Dengan Suti Pada 04 Desember,” December 4, 2019.","plainTextFormattedCitation":"Suti, “Wawancara Dengan Suti Pada 04 Desember,” December 4, 2019.","previouslyFormattedCitation":"Suti, “Wawancara Dengan Suti Pada 04 Desember,” December 4, 2019."},"properties":{"noteIndex":37},"schema":"https://github.com/citation-style-language/schema/raw/master/csl-citation.json"}</w:instrText>
      </w:r>
      <w:r>
        <w:fldChar w:fldCharType="separate"/>
      </w:r>
      <w:r>
        <w:t>Suti, “Wawancara Dengan Suti Pada 04 Desember,” December 4, 2019.</w:t>
      </w:r>
      <w:r>
        <w:fldChar w:fldCharType="end"/>
      </w:r>
    </w:p>
  </w:footnote>
  <w:footnote w:id="38">
    <w:p w14:paraId="53FE6803" w14:textId="77777777" w:rsidR="000F6425" w:rsidRDefault="00000000">
      <w:pPr>
        <w:pStyle w:val="FootnoteText"/>
        <w:jc w:val="both"/>
      </w:pPr>
      <w:r>
        <w:rPr>
          <w:rStyle w:val="FootnoteReference"/>
        </w:rPr>
        <w:footnoteRef/>
      </w:r>
      <w:r>
        <w:t xml:space="preserve"> </w:t>
      </w:r>
      <w:r>
        <w:fldChar w:fldCharType="begin" w:fldLock="1"/>
      </w:r>
      <w:r>
        <w:instrText>ADDIN CSL_CITATION {"citationItems":[{"id":"ITEM-1","itemData":{"author":[{"dropping-particle":"","family":"Karmila","given":"","non-dropping-particle":"","parse-names":false,"suffix":""}],"id":"ITEM-1","issued":{"date-parts":[["2024","9","13"]]},"note":"Wawancara pribadi","publisher-place":"Gombak, Malaysia","title":"Wawancara dengan Karmila di Gombak, Malaysia","type":"webpage"},"uris":["http://www.mendeley.com/documents/?uuid=7147dc7b-342c-4f5d-a07e-bd5af304b188"]}],"mendeley":{"formattedCitation":"Karmila, “Wawancara Dengan Karmila Di Gombak, Malaysia.”","plainTextFormattedCitation":"Karmila, “Wawancara Dengan Karmila Di Gombak, Malaysia.”","previouslyFormattedCitation":"Karmila, “Wawancara Dengan Karmila Di Gombak, Malaysia.”"},"properties":{"noteIndex":38},"schema":"https://github.com/citation-style-language/schema/raw/master/csl-citation.json"}</w:instrText>
      </w:r>
      <w:r>
        <w:fldChar w:fldCharType="separate"/>
      </w:r>
      <w:r>
        <w:t>Karmila, “Wawancara Dengan Karmila Di Gombak, Malaysia.”</w:t>
      </w:r>
      <w:r>
        <w:fldChar w:fldCharType="end"/>
      </w:r>
    </w:p>
  </w:footnote>
  <w:footnote w:id="39">
    <w:p w14:paraId="61E90D36" w14:textId="77777777" w:rsidR="000F6425" w:rsidRDefault="00000000">
      <w:pPr>
        <w:pStyle w:val="FootnoteText"/>
        <w:jc w:val="both"/>
      </w:pPr>
      <w:r>
        <w:rPr>
          <w:rStyle w:val="FootnoteReference"/>
        </w:rPr>
        <w:footnoteRef/>
      </w:r>
      <w:r>
        <w:t xml:space="preserve"> </w:t>
      </w:r>
      <w:r>
        <w:fldChar w:fldCharType="begin" w:fldLock="1"/>
      </w:r>
      <w:r>
        <w:instrText>ADDIN CSL_CITATION {"citationItems":[{"id":"ITEM-1","itemData":{"author":[{"dropping-particle":"","family":"Iman","given":"","non-dropping-particle":"","parse-names":false,"suffix":""}],"id":"ITEM-1","issued":{"date-parts":[["2019","11","4"]]},"note":"Wawancara pribadi","publisher-place":"Casablanca, Maroko","title":"Wawancara dengan Iman di Casablanca, Maroko","type":"webpage"},"uris":["http://www.mendeley.com/documents/?uuid=e78df987-7cb9-4d42-9ac5-826a374689e7"]}],"mendeley":{"formattedCitation":"Iman, “Wawancara Dengan Iman Di Casablanca, Maroko.”","plainTextFormattedCitation":"Iman, “Wawancara Dengan Iman Di Casablanca, Maroko.”","previouslyFormattedCitation":"Iman, “Wawancara Dengan Iman Di Casablanca, Maroko.”"},"properties":{"noteIndex":39},"schema":"https://github.com/citation-style-language/schema/raw/master/csl-citation.json"}</w:instrText>
      </w:r>
      <w:r>
        <w:fldChar w:fldCharType="separate"/>
      </w:r>
      <w:r>
        <w:t>Iman, “Wawancara Dengan Iman Di Casablanca, Maroko.”</w:t>
      </w:r>
      <w:r>
        <w:fldChar w:fldCharType="end"/>
      </w:r>
    </w:p>
  </w:footnote>
  <w:footnote w:id="40">
    <w:p w14:paraId="44ACAD74" w14:textId="77777777" w:rsidR="000F6425" w:rsidRDefault="00000000">
      <w:pPr>
        <w:pStyle w:val="FootnoteText"/>
        <w:jc w:val="both"/>
      </w:pPr>
      <w:r>
        <w:rPr>
          <w:rStyle w:val="FootnoteReference"/>
        </w:rPr>
        <w:footnoteRef/>
      </w:r>
      <w:r>
        <w:t xml:space="preserve"> </w:t>
      </w:r>
      <w:r>
        <w:fldChar w:fldCharType="begin" w:fldLock="1"/>
      </w:r>
      <w:r>
        <w:instrText>ADDIN CSL_CITATION {"citationItems":[{"id":"ITEM-1","itemData":{"author":[{"dropping-particle":"","family":"Karmila","given":"","non-dropping-particle":"","parse-names":false,"suffix":""}],"id":"ITEM-1","issued":{"date-parts":[["2024","9","13"]]},"note":"Wawancara pribadi","publisher-place":"Gombak, Malaysia","title":"Wawancara dengan Karmila di Gombak, Malaysia","type":"webpage"},"uris":["http://www.mendeley.com/documents/?uuid=7147dc7b-342c-4f5d-a07e-bd5af304b188"]}],"mendeley":{"formattedCitation":"Karmila, “Wawancara Dengan Karmila Di Gombak, Malaysia.”","plainTextFormattedCitation":"Karmila, “Wawancara Dengan Karmila Di Gombak, Malaysia.”","previouslyFormattedCitation":"Karmila, “Wawancara Dengan Karmila Di Gombak, Malaysia.”"},"properties":{"noteIndex":40},"schema":"https://github.com/citation-style-language/schema/raw/master/csl-citation.json"}</w:instrText>
      </w:r>
      <w:r>
        <w:fldChar w:fldCharType="separate"/>
      </w:r>
      <w:r>
        <w:t>Karmila, “Wawancara Dengan Karmila Di Gombak, Malaysia.”</w:t>
      </w:r>
      <w:r>
        <w:fldChar w:fldCharType="end"/>
      </w:r>
    </w:p>
  </w:footnote>
  <w:footnote w:id="41">
    <w:p w14:paraId="2F871701" w14:textId="77777777" w:rsidR="000F6425" w:rsidRDefault="00000000">
      <w:pPr>
        <w:pStyle w:val="FootnoteText"/>
        <w:jc w:val="both"/>
      </w:pPr>
      <w:r>
        <w:rPr>
          <w:rStyle w:val="FootnoteReference"/>
        </w:rPr>
        <w:footnoteRef/>
      </w:r>
      <w:r>
        <w:t xml:space="preserve"> </w:t>
      </w:r>
      <w:r>
        <w:fldChar w:fldCharType="begin" w:fldLock="1"/>
      </w:r>
      <w:r>
        <w:instrText>ADDIN CSL_CITATION {"citationItems":[{"id":"ITEM-1","itemData":{"author":[{"dropping-particle":"","family":"Muslimah","given":"","non-dropping-particle":"","parse-names":false,"suffix":""}],"id":"ITEM-1","issued":{"date-parts":[["2023","12","6"]]},"note":"Wawancara pribadi","publisher-place":"Jeddah, Saudi Arabia","title":"Wawancara dengan Muslimah di Jeddah, Saudi Arabia","type":"article"},"uris":["http://www.mendeley.com/documents/?uuid=8bf91aa4-990a-40b3-b77f-088e3e02f4fa"]}],"mendeley":{"formattedCitation":"Muslimah, “Wawancara Dengan Muslimah Di Jeddah, Saudi Arabia.”","plainTextFormattedCitation":"Muslimah, “Wawancara Dengan Muslimah Di Jeddah, Saudi Arabia.”","previouslyFormattedCitation":"Muslimah, “Wawancara Dengan Muslimah Di Jeddah, Saudi Arabia.”"},"properties":{"noteIndex":41},"schema":"https://github.com/citation-style-language/schema/raw/master/csl-citation.json"}</w:instrText>
      </w:r>
      <w:r>
        <w:fldChar w:fldCharType="separate"/>
      </w:r>
      <w:r>
        <w:t>Muslimah, “Wawancara Dengan Muslimah Di Jeddah, Saudi Arabia.”</w:t>
      </w:r>
      <w:r>
        <w:fldChar w:fldCharType="end"/>
      </w:r>
    </w:p>
  </w:footnote>
  <w:footnote w:id="42">
    <w:p w14:paraId="6C8A4F5C" w14:textId="77777777" w:rsidR="000F6425" w:rsidRDefault="00000000">
      <w:pPr>
        <w:pStyle w:val="FootnoteText"/>
      </w:pPr>
      <w:r>
        <w:rPr>
          <w:rStyle w:val="FootnoteReference"/>
        </w:rPr>
        <w:footnoteRef/>
      </w:r>
      <w:r>
        <w:t xml:space="preserve"> </w:t>
      </w:r>
      <w:r>
        <w:fldChar w:fldCharType="begin" w:fldLock="1"/>
      </w:r>
      <w:r>
        <w:instrText>ADDIN CSL_CITATION {"citationItems":[{"id":"ITEM-1","itemData":{"author":[{"dropping-particle":"","family":"Arsal","given":"Thriwaty","non-dropping-particle":"","parse-names":false,"suffix":""}],"container-title":"Jurnal Sosiologi Pedesaan","id":"ITEM-1","issue":"2","issued":{"date-parts":[["2012","9"]]},"page":"166","title":"Nikah Siri dalam Tinjauan Demografi","type":"article-journal","volume":"6"},"uris":["http://www.mendeley.com/documents/?uuid=d6a4c4ee-3fad-42be-ba7f-d0a627f443be"]},{"id":"ITEM-2","itemData":{"author":[{"dropping-particle":"","family":"Arsyad","given":"Aisyah","non-dropping-particle":"","parse-names":false,"suffix":""}],"container-title":"Muslim Subjectivity: Spektrum Islam Indonesia","editor":[{"dropping-particle":"","family":"Nabiel","given":"M (ed.)","non-dropping-particle":"","parse-names":false,"suffix":""}],"id":"ITEM-2","issued":{"date-parts":[["2017"]]},"page":"57","publisher":"Pustaka Insan Madani","publisher-place":"Yogyakarta","title":"Polemik Nikah Siri: Dualisme Hukum Memapankan Sistem Patriarki","type":"chapter"},"uris":["http://www.mendeley.com/documents/?uuid=8d41387c-b41e-4b5a-9906-509445793d61"]}],"mendeley":{"formattedCitation":"Thriwaty Arsal, “Nikah Siri Dalam Tinjauan Demografi,” &lt;i&gt;Jurnal Sosiologi Pedesaan&lt;/i&gt; 6, no. 2 (September 2012): 166; Aisyah Arsyad, “Polemik Nikah Siri: Dualisme Hukum Memapankan Sistem Patriarki,” in &lt;i&gt;Muslim Subjectivity: Spektrum Islam Indonesia&lt;/i&gt;, ed. M (ed.) Nabiel (Yogyakarta: Pustaka Insan Madani, 2017), 57.","plainTextFormattedCitation":"Thriwaty Arsal, “Nikah Siri Dalam Tinjauan Demografi,” Jurnal Sosiologi Pedesaan 6, no. 2 (September 2012): 166; Aisyah Arsyad, “Polemik Nikah Siri: Dualisme Hukum Memapankan Sistem Patriarki,” in Muslim Subjectivity: Spektrum Islam Indonesia, ed. M (ed.) Nabiel (Yogyakarta: Pustaka Insan Madani, 2017), 57.","previouslyFormattedCitation":"Thriwaty Arsal, “Nikah Siri Dalam Tinjauan Demografi,” &lt;i&gt;Jurnal Sosiologi Pedesaan&lt;/i&gt; 6, no. 2 (September 2012): 166; Aisyah Arsyad, “Polemik Nikah Siri: Dualisme Hukum Memapankan Sistem Patriarki,” in &lt;i&gt;Muslim Subjectivity: Spektrum Islam Indonesia&lt;/i&gt;, ed. M (ed.) Nabiel (Yogyakarta: Pustaka Insan Madani, 2017), 57."},"properties":{"noteIndex":42},"schema":"https://github.com/citation-style-language/schema/raw/master/csl-citation.json"}</w:instrText>
      </w:r>
      <w:r>
        <w:fldChar w:fldCharType="separate"/>
      </w:r>
      <w:r>
        <w:t xml:space="preserve">Thriwaty Arsal, “Nikah Siri Dalam Tinjauan Demografi,” </w:t>
      </w:r>
      <w:r>
        <w:rPr>
          <w:i/>
        </w:rPr>
        <w:t>Jurnal Sosiologi Pedesaan</w:t>
      </w:r>
      <w:r>
        <w:t xml:space="preserve"> 6, no. 2 (September 2012): 166; Aisyah Arsyad, “Polemik Nikah Siri: Dualisme Hukum Memapankan Sistem Patriarki,” in </w:t>
      </w:r>
      <w:r>
        <w:rPr>
          <w:i/>
        </w:rPr>
        <w:t>Muslim Subjectivity: Spektrum Islam Indonesia</w:t>
      </w:r>
      <w:r>
        <w:t>, ed. M (ed.) Nabiel (Yogyakarta: Pustaka Insan Madani, 2017), 57.</w:t>
      </w:r>
      <w:r>
        <w:fldChar w:fldCharType="end"/>
      </w:r>
    </w:p>
  </w:footnote>
  <w:footnote w:id="43">
    <w:p w14:paraId="11138000" w14:textId="77777777" w:rsidR="000F6425" w:rsidRDefault="00000000">
      <w:pPr>
        <w:pStyle w:val="FootnoteText"/>
        <w:jc w:val="both"/>
      </w:pPr>
      <w:r>
        <w:rPr>
          <w:rStyle w:val="FootnoteReference"/>
        </w:rPr>
        <w:footnoteRef/>
      </w:r>
      <w:r>
        <w:t xml:space="preserve"> </w:t>
      </w:r>
      <w:r>
        <w:fldChar w:fldCharType="begin" w:fldLock="1"/>
      </w:r>
      <w:r>
        <w:instrText>ADDIN CSL_CITATION {"citationItems":[{"id":"ITEM-1","itemData":{"author":[{"dropping-particle":"","family":"Lutfiyah","given":"Zeni","non-dropping-particle":"","parse-names":false,"suffix":""}],"container-title":"Jurnal Yustisia","id":"ITEM-1","issue":"91","issued":{"date-parts":[["2015"]]},"page":"106","title":"Perkawinan Siri dalam Reformulasi Hukum Perkawinan Islam di Indonesia Sebagai Upaya Preventif Terhadap Disharmoni Sosial Dalam Masyarakat (Perspektif Gender Dan Hak Asasi Manusia)","type":"article-journal"},"uris":["http://www.mendeley.com/documents/?uuid=8b711e70-8201-469f-96d0-84c5d74a7f80"]}],"mendeley":{"formattedCitation":"Zeni Lutfiyah, “Perkawinan Siri Dalam Reformulasi Hukum Perkawinan Islam Di Indonesia Sebagai Upaya Preventif Terhadap Disharmoni Sosial Dalam Masyarakat (Perspektif Gender Dan Hak Asasi Manusia),” &lt;i&gt;Jurnal Yustisia&lt;/i&gt;, no. 91 (2015): 106.","plainTextFormattedCitation":"Zeni Lutfiyah, “Perkawinan Siri Dalam Reformulasi Hukum Perkawinan Islam Di Indonesia Sebagai Upaya Preventif Terhadap Disharmoni Sosial Dalam Masyarakat (Perspektif Gender Dan Hak Asasi Manusia),” Jurnal Yustisia, no. 91 (2015): 106.","previouslyFormattedCitation":"Zeni Lutfiyah, “Perkawinan Siri Dalam Reformulasi Hukum Perkawinan Islam Di Indonesia Sebagai Upaya Preventif Terhadap Disharmoni Sosial Dalam Masyarakat (Perspektif Gender Dan Hak Asasi Manusia),” &lt;i&gt;Jurnal Yustisia&lt;/i&gt;, no. 91 (2015): 106."},"properties":{"noteIndex":43},"schema":"https://github.com/citation-style-language/schema/raw/master/csl-citation.json"}</w:instrText>
      </w:r>
      <w:r>
        <w:fldChar w:fldCharType="separate"/>
      </w:r>
      <w:r>
        <w:t xml:space="preserve">Zeni Lutfiyah, “Perkawinan Siri Dalam Reformulasi Hukum Perkawinan Islam Di Indonesia Sebagai Upaya Preventif Terhadap Disharmoni Sosial Dalam Masyarakat (Perspektif Gender Dan Hak Asasi Manusia),” </w:t>
      </w:r>
      <w:r>
        <w:rPr>
          <w:i/>
        </w:rPr>
        <w:t>Jurnal Yustisia</w:t>
      </w:r>
      <w:r>
        <w:t>, no. 91 (2015): 106.</w:t>
      </w:r>
      <w:r>
        <w:fldChar w:fldCharType="end"/>
      </w:r>
    </w:p>
  </w:footnote>
  <w:footnote w:id="44">
    <w:p w14:paraId="342231FA" w14:textId="77777777" w:rsidR="000F6425" w:rsidRDefault="00000000">
      <w:pPr>
        <w:pStyle w:val="FootnoteText"/>
        <w:jc w:val="both"/>
      </w:pPr>
      <w:r>
        <w:rPr>
          <w:rStyle w:val="FootnoteReference"/>
        </w:rPr>
        <w:footnoteRef/>
      </w:r>
      <w:r>
        <w:t xml:space="preserve"> </w:t>
      </w:r>
      <w:r>
        <w:fldChar w:fldCharType="begin" w:fldLock="1"/>
      </w:r>
      <w:r>
        <w:instrText>ADDIN CSL_CITATION {"citationItems":[{"id":"ITEM-1","itemData":{"author":[{"dropping-particle":"","family":"Lutfiyah","given":"Zeni","non-dropping-particle":"","parse-names":false,"suffix":""}],"container-title":"Jurnal Yustisia","id":"ITEM-1","issue":"91","issued":{"date-parts":[["2015"]]},"page":"106","title":"Perkawinan Siri dalam Reformulasi Hukum Perkawinan Islam di Indonesia Sebagai Upaya Preventif Terhadap Disharmoni Sosial Dalam Masyarakat (Perspektif Gender Dan Hak Asasi Manusia)","type":"article-journal"},"uris":["http://www.mendeley.com/documents/?uuid=8b711e70-8201-469f-96d0-84c5d74a7f80"]}],"mendeley":{"formattedCitation":"Lutfiyah.","plainTextFormattedCitation":"Lutfiyah.","previouslyFormattedCitation":"Lutfiyah."},"properties":{"noteIndex":44},"schema":"https://github.com/citation-style-language/schema/raw/master/csl-citation.json"}</w:instrText>
      </w:r>
      <w:r>
        <w:fldChar w:fldCharType="separate"/>
      </w:r>
      <w:r>
        <w:t>Lutfiyah.</w:t>
      </w:r>
      <w:r>
        <w:fldChar w:fldCharType="end"/>
      </w:r>
    </w:p>
  </w:footnote>
  <w:footnote w:id="45">
    <w:p w14:paraId="1EE42395" w14:textId="77777777" w:rsidR="000F6425" w:rsidRDefault="00000000">
      <w:pPr>
        <w:pStyle w:val="FootnoteText"/>
        <w:jc w:val="both"/>
      </w:pPr>
      <w:r>
        <w:rPr>
          <w:rStyle w:val="FootnoteReference"/>
        </w:rPr>
        <w:footnoteRef/>
      </w:r>
      <w:r>
        <w:t xml:space="preserve"> </w:t>
      </w:r>
      <w:r>
        <w:fldChar w:fldCharType="begin" w:fldLock="1"/>
      </w:r>
      <w:r>
        <w:instrText>ADDIN CSL_CITATION {"citationItems":[{"id":"ITEM-1","itemData":{"author":[{"dropping-particle":"","family":"Arsal","given":"Thriwaty","non-dropping-particle":"","parse-names":false,"suffix":""}],"container-title":"Jurnal Sosiologi Pedesaan","id":"ITEM-1","issue":"2","issued":{"date-parts":[["2012","9"]]},"page":"166","title":"Nikah Siri dalam Tinjauan Demografi","type":"article-journal","volume":"6"},"uris":["http://www.mendeley.com/documents/?uuid=d6a4c4ee-3fad-42be-ba7f-d0a627f443be"]}],"mendeley":{"formattedCitation":"Arsal, “Nikah Siri Dalam Tinjauan Demografi.”","plainTextFormattedCitation":"Arsal, “Nikah Siri Dalam Tinjauan Demografi.”","previouslyFormattedCitation":"Arsal, “Nikah Siri Dalam Tinjauan Demografi.”"},"properties":{"noteIndex":45},"schema":"https://github.com/citation-style-language/schema/raw/master/csl-citation.json"}</w:instrText>
      </w:r>
      <w:r>
        <w:fldChar w:fldCharType="separate"/>
      </w:r>
      <w:r>
        <w:t>Arsal, “Nikah Siri Dalam Tinjauan Demografi.”</w:t>
      </w:r>
      <w:r>
        <w:fldChar w:fldCharType="end"/>
      </w:r>
    </w:p>
  </w:footnote>
  <w:footnote w:id="46">
    <w:p w14:paraId="3135C3DA" w14:textId="77777777" w:rsidR="000F6425" w:rsidRDefault="00000000">
      <w:pPr>
        <w:pStyle w:val="FootnoteText"/>
        <w:jc w:val="both"/>
      </w:pPr>
      <w:r>
        <w:rPr>
          <w:rStyle w:val="FootnoteReference"/>
        </w:rPr>
        <w:footnoteRef/>
      </w:r>
      <w:r>
        <w:t xml:space="preserve"> </w:t>
      </w:r>
      <w:r>
        <w:fldChar w:fldCharType="begin" w:fldLock="1"/>
      </w:r>
      <w:r>
        <w:instrText>ADDIN CSL_CITATION {"citationItems":[{"id":"ITEM-1","itemData":{"author":[{"dropping-particle":"","family":"Jaggar","given":"Alison","non-dropping-particle":"","parse-names":false,"suffix":""}],"id":"ITEM-1","issued":{"date-parts":[["2014"]]},"title":"Gender and global justice","type":"article-journal"},"uris":["http://www.mendeley.com/documents/?uuid=6abd2cca-6581-416b-aa9c-b4d75c03f274"]},{"id":"ITEM-2","itemData":{"DOI":"10.5860/choice.38-0370","author":[{"dropping-particle":"","family":"Rothenberg","given":"Paula","non-dropping-particle":"","parse-names":false,"suffix":""}],"id":"ITEM-2","issued":{"date-parts":[["2000"]]},"title":"Invisible Privilege","type":"article-journal"},"uris":["http://www.mendeley.com/documents/?uuid=4bff106d-6310-4fe3-a2a2-11ab9e707d28"]}],"mendeley":{"formattedCitation":"Alison Jaggar, “Gender and Global Justice,” 2014, https://consensus.app/papers/gender-and-global-justice-jaggar/1bbb5495d6b551428c79843f6e212a80/; Paula Rothenberg, “Invisible Privilege,” 2000, https://doi.org/10.5860/choice.38-0370.","plainTextFormattedCitation":"Alison Jaggar, “Gender and Global Justice,” 2014, https://consensus.app/papers/gender-and-global-justice-jaggar/1bbb5495d6b551428c79843f6e212a80/; Paula Rothenberg, “Invisible Privilege,” 2000, https://doi.org/10.5860/choice.38-0370.","previouslyFormattedCitation":"Alison Jaggar, “Gender and Global Justice,” 2014, https://consensus.app/papers/gender-and-global-justice-jaggar/1bbb5495d6b551428c79843f6e212a80/; Paula Rothenberg, “Invisible Privilege,” 2000, https://doi.org/10.5860/choice.38-0370."},"properties":{"noteIndex":46},"schema":"https://github.com/citation-style-language/schema/raw/master/csl-citation.json"}</w:instrText>
      </w:r>
      <w:r>
        <w:fldChar w:fldCharType="separate"/>
      </w:r>
      <w:r>
        <w:t>Alison Jaggar, “Gender and Global Justice,” 2014, https://consensus.app/papers/gender-and-global-justice-jaggar/1bbb5495d6b551428c79843f6e212a80/; Paula Rothenberg, “Invisible Privilege,” 2000, https://doi.org/10.5860/choice.38-0370.</w:t>
      </w:r>
      <w:r>
        <w:fldChar w:fldCharType="end"/>
      </w:r>
    </w:p>
  </w:footnote>
  <w:footnote w:id="47">
    <w:p w14:paraId="76A748ED" w14:textId="77777777" w:rsidR="000F6425" w:rsidRDefault="00000000">
      <w:pPr>
        <w:pStyle w:val="FootnoteText"/>
        <w:jc w:val="both"/>
      </w:pPr>
      <w:r>
        <w:rPr>
          <w:rStyle w:val="FootnoteReference"/>
        </w:rPr>
        <w:footnoteRef/>
      </w:r>
      <w:r>
        <w:t xml:space="preserve"> </w:t>
      </w:r>
      <w:r>
        <w:fldChar w:fldCharType="begin" w:fldLock="1"/>
      </w:r>
      <w:r>
        <w:instrText>ADDIN CSL_CITATION {"citationItems":[{"id":"ITEM-1","itemData":{"DOI":"10.2307/2026833","ISSN":"0022362X","author":[{"dropping-particle":"","family":"Cudd","given":"Ann E.","non-dropping-particle":"","parse-names":false,"suffix":""}],"container-title":"The Journal of Philosophy","id":"ITEM-1","issue":"5","issued":{"date-parts":[["1990","5"]]},"page":"262","title":"Sensationalized Philosophy: A Reply to Marquis's \"Why Abortion is Immoral\"","type":"article-journal","volume":"87"},"uris":["http://www.mendeley.com/documents/?uuid=7d83b7ad-84f8-4db3-b918-19af6c8f5281"]},{"id":"ITEM-2","itemData":{"author":[{"dropping-particle":"","family":"Ulfah","given":"Isnatin","non-dropping-particle":"","parse-names":false,"suffix":""}],"id":"ITEM-2","issued":{"date-parts":[["2015","3"]]},"number-of-pages":"44","publisher-place":"Surabaya","title":"Perempuan di Tengah Konflik Agama","type":"book"},"uris":["http://www.mendeley.com/documents/?uuid=f8222ce7-cc4b-4eef-a205-2438d13af775"]}],"mendeley":{"formattedCitation":"Ann E. Cudd, “Sensationalized Philosophy: A Reply to Marquis’s ‘Why Abortion Is Immoral,’” &lt;i&gt;The Journal of Philosophy&lt;/i&gt; 87, no. 5 (May 1990): 262, https://doi.org/10.2307/2026833; Isnatin Ulfah, &lt;i&gt;Perempuan Di Tengah Konflik Agama&lt;/i&gt; (Surabaya, 2015).","plainTextFormattedCitation":"Ann E. Cudd, “Sensationalized Philosophy: A Reply to Marquis’s ‘Why Abortion Is Immoral,’” The Journal of Philosophy 87, no. 5 (May 1990): 262, https://doi.org/10.2307/2026833; Isnatin Ulfah, Perempuan Di Tengah Konflik Agama (Surabaya, 2015).","previouslyFormattedCitation":"Ann E. Cudd, “Sensationalized Philosophy: A Reply to Marquis’s ‘Why Abortion Is Immoral,’” &lt;i&gt;The Journal of Philosophy&lt;/i&gt; 87, no. 5 (May 1990): 262, https://doi.org/10.2307/2026833; Isnatin Ulfah, &lt;i&gt;Perempuan Di Tengah Konflik Agama&lt;/i&gt; (Surabaya, 2015)."},"properties":{"noteIndex":47},"schema":"https://github.com/citation-style-language/schema/raw/master/csl-citation.json"}</w:instrText>
      </w:r>
      <w:r>
        <w:fldChar w:fldCharType="separate"/>
      </w:r>
      <w:r>
        <w:t xml:space="preserve">Ann E. Cudd, “Sensationalized Philosophy: A Reply to Marquis’s ‘Why Abortion Is Immoral,’” </w:t>
      </w:r>
      <w:r>
        <w:rPr>
          <w:i/>
        </w:rPr>
        <w:t>The Journal of Philosophy</w:t>
      </w:r>
      <w:r>
        <w:t xml:space="preserve"> 87, no. 5 (May 1990): 262, https://doi.org/10.2307/2026833; Isnatin Ulfah, </w:t>
      </w:r>
      <w:r>
        <w:rPr>
          <w:i/>
        </w:rPr>
        <w:t>Perempuan Di Tengah Konflik Agama</w:t>
      </w:r>
      <w:r>
        <w:t xml:space="preserve"> (Surabaya, 2015).</w:t>
      </w:r>
      <w:r>
        <w:fldChar w:fldCharType="end"/>
      </w:r>
    </w:p>
  </w:footnote>
  <w:footnote w:id="48">
    <w:p w14:paraId="0AA597EC" w14:textId="77777777" w:rsidR="000F6425" w:rsidRDefault="00000000">
      <w:pPr>
        <w:pStyle w:val="FootnoteText"/>
        <w:jc w:val="both"/>
      </w:pPr>
      <w:r>
        <w:rPr>
          <w:rStyle w:val="FootnoteReference"/>
        </w:rPr>
        <w:footnoteRef/>
      </w:r>
      <w:r>
        <w:t xml:space="preserve"> </w:t>
      </w:r>
      <w:r>
        <w:fldChar w:fldCharType="begin" w:fldLock="1"/>
      </w:r>
      <w:r>
        <w:instrText>ADDIN CSL_CITATION {"citationItems":[{"id":"ITEM-1","itemData":{"author":[{"dropping-particle":"","family":"Zein","given":"M Satria Effendi","non-dropping-particle":"","parse-names":false,"suffix":""}],"id":"ITEM-1","issued":{"date-parts":[["2004"]]},"publisher":"Prenada Media","publisher-place":"Jakarta","title":"Problematika Hukum Keluarga Islam Kontemporer","type":"book"},"uris":["http://www.mendeley.com/documents/?uuid=44880664-4421-449b-8fd0-8e111b7a6070"]}],"mendeley":{"formattedCitation":"M Satria Effendi Zein, &lt;i&gt;Problematika Hukum Keluarga Islam Kontemporer&lt;/i&gt; (Jakarta: Prenada Media, 2004).","plainTextFormattedCitation":"M Satria Effendi Zein, Problematika Hukum Keluarga Islam Kontemporer (Jakarta: Prenada Media, 2004).","previouslyFormattedCitation":"M Satria Effendi Zein, &lt;i&gt;Problematika Hukum Keluarga Islam Kontemporer&lt;/i&gt; (Jakarta: Prenada Media, 2004)."},"properties":{"noteIndex":48},"schema":"https://github.com/citation-style-language/schema/raw/master/csl-citation.json"}</w:instrText>
      </w:r>
      <w:r>
        <w:fldChar w:fldCharType="separate"/>
      </w:r>
      <w:r>
        <w:t xml:space="preserve">M Satria Effendi Zein, </w:t>
      </w:r>
      <w:r>
        <w:rPr>
          <w:i/>
        </w:rPr>
        <w:t>Problematika Hukum Keluarga Islam Kontemporer</w:t>
      </w:r>
      <w:r>
        <w:t xml:space="preserve"> (Jakarta: Prenada Media, 2004).</w:t>
      </w:r>
      <w:r>
        <w:fldChar w:fldCharType="end"/>
      </w:r>
    </w:p>
  </w:footnote>
  <w:footnote w:id="49">
    <w:p w14:paraId="0DC1FAE6" w14:textId="77777777" w:rsidR="000F6425" w:rsidRDefault="00000000">
      <w:pPr>
        <w:pStyle w:val="FootnoteText"/>
        <w:jc w:val="both"/>
      </w:pPr>
      <w:r>
        <w:rPr>
          <w:rStyle w:val="FootnoteReference"/>
        </w:rPr>
        <w:footnoteRef/>
      </w:r>
      <w:r>
        <w:t xml:space="preserve"> </w:t>
      </w:r>
      <w:r>
        <w:fldChar w:fldCharType="begin" w:fldLock="1"/>
      </w:r>
      <w:r>
        <w:instrText>ADDIN CSL_CITATION {"citationItems":[{"id":"ITEM-1","itemData":{"DOI":"10.24246/jrh.2019.v3.i2.p145-160","author":[{"dropping-particle":"","family":"Benuf","given":"Kornelius","non-dropping-particle":"","parse-names":false,"suffix":""},{"dropping-particle":"","family":"Azhar","given":"Muhamad","non-dropping-particle":"","parse-names":false,"suffix":""}],"container-title":"Refleksi Hukum: Jurnal Ilmu Hukum","id":"ITEM-1","issue":"2","issued":{"date-parts":[["2019"]]},"page":"145-160","title":"Metodologi Penelitian Hukum Sebagai Instrumen Mengurai Permasalahan Hukum Kontemporer","type":"article-journal","volume":"3"},"uris":["http://www.mendeley.com/documents/?uuid=4e93e58a-6e78-44f9-a975-09b0d95d78cc"]}],"mendeley":{"formattedCitation":"Kornelius Benuf and Muhamad Azhar, “Metodologi Penelitian Hukum Sebagai Instrumen Mengurai Permasalahan Hukum Kontemporer,” &lt;i&gt;Refleksi Hukum: Jurnal Ilmu Hukum&lt;/i&gt; 3, no. 2 (2019): 145–60, https://doi.org/10.24246/jrh.2019.v3.i2.p145-160.","plainTextFormattedCitation":"Kornelius Benuf and Muhamad Azhar, “Metodologi Penelitian Hukum Sebagai Instrumen Mengurai Permasalahan Hukum Kontemporer,” Refleksi Hukum: Jurnal Ilmu Hukum 3, no. 2 (2019): 145–60, https://doi.org/10.24246/jrh.2019.v3.i2.p145-160.","previouslyFormattedCitation":"Kornelius Benuf and Muhamad Azhar, “Metodologi Penelitian Hukum Sebagai Instrumen Mengurai Permasalahan Hukum Kontemporer,” &lt;i&gt;Refleksi Hukum: Jurnal Ilmu Hukum&lt;/i&gt; 3, no. 2 (2019): 145–60, https://doi.org/10.24246/jrh.2019.v3.i2.p145-160."},"properties":{"noteIndex":49},"schema":"https://github.com/citation-style-language/schema/raw/master/csl-citation.json"}</w:instrText>
      </w:r>
      <w:r>
        <w:fldChar w:fldCharType="separate"/>
      </w:r>
      <w:r>
        <w:t xml:space="preserve">Kornelius Benuf and Muhamad Azhar, “Metodologi Penelitian Hukum Sebagai Instrumen Mengurai Permasalahan Hukum Kontemporer,” </w:t>
      </w:r>
      <w:r>
        <w:rPr>
          <w:i/>
        </w:rPr>
        <w:t>Refleksi Hukum: Jurnal Ilmu Hukum</w:t>
      </w:r>
      <w:r>
        <w:t xml:space="preserve"> 3, no. 2 (2019): 145–60, https://doi.org/10.24246/jrh.2019.v3.i2.p145-160.</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3F8BD" w14:textId="77777777" w:rsidR="000F6425" w:rsidRDefault="000F6425">
    <w:pPr>
      <w:tabs>
        <w:tab w:val="center" w:pos="4153"/>
        <w:tab w:val="right" w:pos="8306"/>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savePreviewPicture/>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225F"/>
    <w:rsid w:val="00002DF9"/>
    <w:rsid w:val="00015A06"/>
    <w:rsid w:val="0006392A"/>
    <w:rsid w:val="000943A9"/>
    <w:rsid w:val="000C664E"/>
    <w:rsid w:val="000F6425"/>
    <w:rsid w:val="0015225F"/>
    <w:rsid w:val="00192EE9"/>
    <w:rsid w:val="00216B16"/>
    <w:rsid w:val="002B473C"/>
    <w:rsid w:val="002C14A8"/>
    <w:rsid w:val="003028E2"/>
    <w:rsid w:val="003411AD"/>
    <w:rsid w:val="00346A10"/>
    <w:rsid w:val="00392D4F"/>
    <w:rsid w:val="003C1B3B"/>
    <w:rsid w:val="00495104"/>
    <w:rsid w:val="00587288"/>
    <w:rsid w:val="005B23F4"/>
    <w:rsid w:val="00615E7A"/>
    <w:rsid w:val="0066251A"/>
    <w:rsid w:val="00726D21"/>
    <w:rsid w:val="007674B6"/>
    <w:rsid w:val="00782003"/>
    <w:rsid w:val="00785B69"/>
    <w:rsid w:val="007A451B"/>
    <w:rsid w:val="007D7C6B"/>
    <w:rsid w:val="0081448D"/>
    <w:rsid w:val="00820138"/>
    <w:rsid w:val="008527BC"/>
    <w:rsid w:val="008A64D8"/>
    <w:rsid w:val="009434AC"/>
    <w:rsid w:val="009765F2"/>
    <w:rsid w:val="009C6740"/>
    <w:rsid w:val="00A32236"/>
    <w:rsid w:val="00A548CB"/>
    <w:rsid w:val="00A71FDC"/>
    <w:rsid w:val="00A9341D"/>
    <w:rsid w:val="00AD509E"/>
    <w:rsid w:val="00AE5F03"/>
    <w:rsid w:val="00B01166"/>
    <w:rsid w:val="00B57DF4"/>
    <w:rsid w:val="00C4143F"/>
    <w:rsid w:val="00C576AA"/>
    <w:rsid w:val="00C85B0F"/>
    <w:rsid w:val="00CA736C"/>
    <w:rsid w:val="00D27455"/>
    <w:rsid w:val="00D76B3A"/>
    <w:rsid w:val="00E00164"/>
    <w:rsid w:val="00F135A1"/>
    <w:rsid w:val="00F20F59"/>
    <w:rsid w:val="00F3549D"/>
    <w:rsid w:val="00F376F9"/>
    <w:rsid w:val="00F569A6"/>
    <w:rsid w:val="00F74C15"/>
    <w:rsid w:val="00FB3D32"/>
    <w:rsid w:val="00FB7DB2"/>
    <w:rsid w:val="00FF54D5"/>
    <w:rsid w:val="04D32E79"/>
    <w:rsid w:val="1F7756C0"/>
    <w:rsid w:val="2135412A"/>
    <w:rsid w:val="26090E77"/>
    <w:rsid w:val="5F8D6DBB"/>
    <w:rsid w:val="770A4EDC"/>
  </w:rsids>
  <m:mathPr>
    <m:mathFont m:val="Cambria Math"/>
    <m:brkBin m:val="before"/>
    <m:brkBinSub m:val="--"/>
    <m:smallFrac m:val="0"/>
    <m:dispDef/>
    <m:lMargin m:val="0"/>
    <m:rMargin m:val="0"/>
    <m:defJc m:val="centerGroup"/>
    <m:wrapIndent m:val="1440"/>
    <m:intLim m:val="subSup"/>
    <m:naryLim m:val="undOvr"/>
  </m:mathPr>
  <w:themeFontLang w:val="zh-C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07065"/>
  <w15:docId w15:val="{4A9194C1-0A4D-4E05-98DB-A2A4581AF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Theme="minorEastAsia" w:hAnsi="Calibri" w:cs="Calibri"/>
      <w:sz w:val="22"/>
      <w:szCs w:val="22"/>
      <w:lang w:val="en-US" w:eastAsia="en-US"/>
    </w:rPr>
  </w:style>
  <w:style w:type="paragraph" w:styleId="Heading1">
    <w:name w:val="heading 1"/>
    <w:basedOn w:val="Normal"/>
    <w:next w:val="Normal"/>
    <w:link w:val="Heading1Char"/>
    <w:uiPriority w:val="9"/>
    <w:qFormat/>
    <w:pPr>
      <w:keepNext/>
      <w:keepLines/>
      <w:spacing w:before="120" w:after="240" w:line="240" w:lineRule="auto"/>
      <w:jc w:val="center"/>
      <w:outlineLvl w:val="0"/>
    </w:pPr>
    <w:rPr>
      <w:rFonts w:ascii="Calisto MT" w:eastAsiaTheme="majorEastAsia" w:hAnsi="Calisto MT" w:cstheme="majorBidi"/>
      <w:b/>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BodyText2">
    <w:name w:val="Body Text 2"/>
    <w:basedOn w:val="Normal"/>
    <w:link w:val="BodyText2Char"/>
    <w:uiPriority w:val="99"/>
    <w:qFormat/>
    <w:pPr>
      <w:spacing w:after="120" w:line="48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qFormat/>
    <w:pPr>
      <w:spacing w:after="120"/>
      <w:ind w:left="283"/>
    </w:pPr>
    <w:rPr>
      <w:rFonts w:cs="Times New Roman"/>
    </w:rPr>
  </w:style>
  <w:style w:type="paragraph" w:styleId="CommentText">
    <w:name w:val="annotation text"/>
    <w:basedOn w:val="Normal"/>
    <w:uiPriority w:val="99"/>
    <w:unhideWhenUsed/>
    <w:qFormat/>
    <w:pPr>
      <w:spacing w:line="240" w:lineRule="auto"/>
    </w:pPr>
    <w:rPr>
      <w:sz w:val="20"/>
      <w:szCs w:val="20"/>
    </w:rPr>
  </w:style>
  <w:style w:type="character" w:styleId="EndnoteReference">
    <w:name w:val="endnote reference"/>
    <w:uiPriority w:val="99"/>
    <w:semiHidden/>
    <w:unhideWhenUsed/>
    <w:qFormat/>
    <w:rPr>
      <w:vertAlign w:val="superscript"/>
    </w:rPr>
  </w:style>
  <w:style w:type="paragraph" w:styleId="EndnoteText">
    <w:name w:val="endnote text"/>
    <w:basedOn w:val="Normal"/>
    <w:link w:val="EndnoteTextChar"/>
    <w:uiPriority w:val="99"/>
    <w:semiHidden/>
    <w:unhideWhenUsed/>
    <w:qFormat/>
    <w:pPr>
      <w:spacing w:after="0" w:line="240" w:lineRule="auto"/>
    </w:pPr>
    <w:rPr>
      <w:rFonts w:cs="Times New Roman"/>
      <w:sz w:val="20"/>
      <w:szCs w:val="20"/>
    </w:rPr>
  </w:style>
  <w:style w:type="paragraph" w:styleId="Footer">
    <w:name w:val="footer"/>
    <w:basedOn w:val="Normal"/>
    <w:link w:val="FooterChar"/>
    <w:uiPriority w:val="99"/>
    <w:unhideWhenUsed/>
    <w:qFormat/>
    <w:pPr>
      <w:tabs>
        <w:tab w:val="center" w:pos="4153"/>
        <w:tab w:val="right" w:pos="8306"/>
      </w:tabs>
    </w:pPr>
    <w:rPr>
      <w:rFonts w:cs="Times New Roman"/>
    </w:rPr>
  </w:style>
  <w:style w:type="character" w:styleId="FootnoteReference">
    <w:name w:val="footnote reference"/>
    <w:uiPriority w:val="99"/>
    <w:qFormat/>
    <w:rPr>
      <w:rFonts w:cs="Times New Roman"/>
      <w:vertAlign w:val="superscript"/>
    </w:rPr>
  </w:style>
  <w:style w:type="paragraph" w:styleId="FootnoteText">
    <w:name w:val="footnote text"/>
    <w:basedOn w:val="Normal"/>
    <w:link w:val="FootnoteTextChar"/>
    <w:uiPriority w:val="99"/>
    <w:qFormat/>
    <w:pPr>
      <w:spacing w:after="0" w:line="240" w:lineRule="auto"/>
    </w:pPr>
    <w:rPr>
      <w:rFonts w:ascii="Times New Roman" w:eastAsia="Times New Roman" w:hAnsi="Times New Roman" w:cs="Times New Roman"/>
      <w:sz w:val="20"/>
      <w:szCs w:val="20"/>
    </w:rPr>
  </w:style>
  <w:style w:type="paragraph" w:styleId="Header">
    <w:name w:val="header"/>
    <w:basedOn w:val="Normal"/>
    <w:link w:val="HeaderChar"/>
    <w:uiPriority w:val="99"/>
    <w:unhideWhenUsed/>
    <w:qFormat/>
    <w:pPr>
      <w:tabs>
        <w:tab w:val="center" w:pos="4153"/>
        <w:tab w:val="right" w:pos="8306"/>
      </w:tabs>
    </w:pPr>
    <w:rPr>
      <w:rFonts w:cs="Times New Roman"/>
    </w:rPr>
  </w:style>
  <w:style w:type="paragraph" w:styleId="HTMLPreformatted">
    <w:name w:val="HTML Preformatted"/>
    <w:basedOn w:val="Normal"/>
    <w:link w:val="HTMLPreformattedChar"/>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styleId="Hyperlink">
    <w:name w:val="Hyperlink"/>
    <w:uiPriority w:val="99"/>
    <w:unhideWhenUsed/>
    <w:qFormat/>
    <w:rPr>
      <w:color w:val="0000FF"/>
      <w:u w:val="single"/>
    </w:rPr>
  </w:style>
  <w:style w:type="paragraph" w:styleId="NormalWeb">
    <w:name w:val="Normal (Web)"/>
    <w:basedOn w:val="Normal"/>
    <w:uiPriority w:val="99"/>
    <w:qFormat/>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59"/>
    <w:qFormat/>
    <w:rPr>
      <w:rFonts w:eastAsia="Times New Roman"/>
      <w:lang w:val="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FootnoteTextChar">
    <w:name w:val="Footnote Text Char"/>
    <w:link w:val="FootnoteText"/>
    <w:uiPriority w:val="99"/>
    <w:qFormat/>
    <w:rPr>
      <w:rFonts w:ascii="Times New Roman" w:eastAsia="Times New Roman" w:hAnsi="Times New Roman" w:cs="Times New Roman"/>
      <w:sz w:val="20"/>
      <w:szCs w:val="20"/>
    </w:rPr>
  </w:style>
  <w:style w:type="paragraph" w:styleId="ListParagraph">
    <w:name w:val="List Paragraph"/>
    <w:basedOn w:val="Normal"/>
    <w:uiPriority w:val="34"/>
    <w:qFormat/>
    <w:pPr>
      <w:spacing w:after="0" w:line="240" w:lineRule="auto"/>
      <w:ind w:left="720"/>
      <w:contextualSpacing/>
    </w:pPr>
    <w:rPr>
      <w:rFonts w:ascii="Times New Roman" w:eastAsia="Times New Roman" w:hAnsi="Times New Roman" w:cs="Times New Roman"/>
      <w:sz w:val="24"/>
      <w:szCs w:val="24"/>
    </w:rPr>
  </w:style>
  <w:style w:type="character" w:customStyle="1" w:styleId="BodyText2Char">
    <w:name w:val="Body Text 2 Char"/>
    <w:link w:val="BodyText2"/>
    <w:uiPriority w:val="99"/>
    <w:qFormat/>
    <w:rPr>
      <w:rFonts w:ascii="Times New Roman" w:eastAsia="Times New Roman" w:hAnsi="Times New Roman" w:cs="Times New Roman"/>
      <w:sz w:val="24"/>
      <w:szCs w:val="24"/>
    </w:rPr>
  </w:style>
  <w:style w:type="character" w:customStyle="1" w:styleId="EndnoteTextChar">
    <w:name w:val="Endnote Text Char"/>
    <w:link w:val="EndnoteText"/>
    <w:uiPriority w:val="99"/>
    <w:semiHidden/>
    <w:qFormat/>
    <w:rPr>
      <w:sz w:val="20"/>
      <w:szCs w:val="20"/>
    </w:rPr>
  </w:style>
  <w:style w:type="character" w:customStyle="1" w:styleId="hps">
    <w:name w:val="hps"/>
    <w:basedOn w:val="DefaultParagraphFont"/>
    <w:qFormat/>
  </w:style>
  <w:style w:type="character" w:customStyle="1" w:styleId="HeaderChar">
    <w:name w:val="Header Char"/>
    <w:link w:val="Header"/>
    <w:uiPriority w:val="99"/>
    <w:qFormat/>
    <w:rPr>
      <w:sz w:val="22"/>
      <w:szCs w:val="22"/>
      <w:lang w:val="en-US" w:eastAsia="en-US"/>
    </w:rPr>
  </w:style>
  <w:style w:type="character" w:customStyle="1" w:styleId="FooterChar">
    <w:name w:val="Footer Char"/>
    <w:link w:val="Footer"/>
    <w:uiPriority w:val="99"/>
    <w:qFormat/>
    <w:rPr>
      <w:sz w:val="22"/>
      <w:szCs w:val="22"/>
      <w:lang w:val="en-US" w:eastAsia="en-US"/>
    </w:rPr>
  </w:style>
  <w:style w:type="character" w:customStyle="1" w:styleId="BodyTextIndentChar">
    <w:name w:val="Body Text Indent Char"/>
    <w:link w:val="BodyTextIndent"/>
    <w:uiPriority w:val="99"/>
    <w:semiHidden/>
    <w:qFormat/>
    <w:rPr>
      <w:sz w:val="22"/>
      <w:szCs w:val="22"/>
    </w:rPr>
  </w:style>
  <w:style w:type="paragraph" w:customStyle="1" w:styleId="Bibliography1">
    <w:name w:val="Bibliography1"/>
    <w:basedOn w:val="Normal"/>
    <w:next w:val="Normal"/>
    <w:uiPriority w:val="37"/>
    <w:semiHidden/>
    <w:unhideWhenUsed/>
    <w:qFormat/>
    <w:pPr>
      <w:spacing w:after="0" w:line="240" w:lineRule="auto"/>
      <w:ind w:left="567" w:firstLine="284"/>
      <w:jc w:val="both"/>
    </w:pPr>
    <w:rPr>
      <w:rFonts w:asciiTheme="minorHAnsi" w:eastAsiaTheme="minorHAnsi" w:hAnsiTheme="minorHAnsi" w:cstheme="minorBidi"/>
    </w:rPr>
  </w:style>
  <w:style w:type="paragraph" w:customStyle="1" w:styleId="Tabletitle">
    <w:name w:val="Tabletitle"/>
    <w:basedOn w:val="Normal"/>
    <w:qFormat/>
    <w:pPr>
      <w:widowControl w:val="0"/>
      <w:autoSpaceDE w:val="0"/>
      <w:autoSpaceDN w:val="0"/>
      <w:adjustRightInd w:val="0"/>
      <w:spacing w:before="240" w:after="120" w:line="360" w:lineRule="auto"/>
      <w:ind w:firstLine="340"/>
      <w:jc w:val="center"/>
      <w:textAlignment w:val="baseline"/>
    </w:pPr>
    <w:rPr>
      <w:rFonts w:ascii="Times New Roman" w:eastAsia="BatangChe" w:hAnsi="Times New Roman" w:cs="Times New Roman"/>
      <w:i/>
      <w:sz w:val="24"/>
      <w:szCs w:val="20"/>
      <w:lang w:eastAsia="ko-KR"/>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fontstyle01">
    <w:name w:val="fontstyle01"/>
    <w:basedOn w:val="DefaultParagraphFont"/>
    <w:qFormat/>
    <w:rPr>
      <w:rFonts w:ascii="Cambria" w:hAnsi="Cambria" w:hint="default"/>
      <w:color w:val="000000"/>
      <w:sz w:val="24"/>
      <w:szCs w:val="24"/>
    </w:rPr>
  </w:style>
  <w:style w:type="character" w:customStyle="1" w:styleId="fontstyle21">
    <w:name w:val="fontstyle21"/>
    <w:basedOn w:val="DefaultParagraphFont"/>
    <w:qFormat/>
    <w:rPr>
      <w:rFonts w:ascii="Cambria" w:hAnsi="Cambria" w:hint="default"/>
      <w:color w:val="000000"/>
      <w:sz w:val="24"/>
      <w:szCs w:val="24"/>
    </w:rPr>
  </w:style>
  <w:style w:type="character" w:customStyle="1" w:styleId="HTMLPreformattedChar">
    <w:name w:val="HTML Preformatted Char"/>
    <w:basedOn w:val="DefaultParagraphFont"/>
    <w:link w:val="HTMLPreformatted"/>
    <w:uiPriority w:val="99"/>
    <w:semiHidden/>
    <w:qFormat/>
    <w:rPr>
      <w:rFonts w:ascii="Courier New" w:eastAsia="Times New Roman" w:hAnsi="Courier New" w:cs="Courier New"/>
    </w:rPr>
  </w:style>
  <w:style w:type="character" w:customStyle="1" w:styleId="Heading1Char">
    <w:name w:val="Heading 1 Char"/>
    <w:basedOn w:val="DefaultParagraphFont"/>
    <w:link w:val="Heading1"/>
    <w:uiPriority w:val="9"/>
    <w:qFormat/>
    <w:rPr>
      <w:rFonts w:ascii="Calisto MT" w:eastAsiaTheme="majorEastAsia" w:hAnsi="Calisto MT" w:cstheme="majorBidi"/>
      <w:b/>
      <w:sz w:val="32"/>
      <w:szCs w:val="32"/>
    </w:rPr>
  </w:style>
  <w:style w:type="table" w:customStyle="1" w:styleId="Style39">
    <w:name w:val="_Style 39"/>
    <w:basedOn w:val="TableNormal"/>
    <w:qFormat/>
    <w:tblPr>
      <w:tblCellMar>
        <w:top w:w="100" w:type="dxa"/>
        <w:left w:w="100" w:type="dxa"/>
        <w:bottom w:w="100" w:type="dxa"/>
        <w:right w:w="100" w:type="dxa"/>
      </w:tblCellMar>
    </w:tblPr>
  </w:style>
  <w:style w:type="table" w:customStyle="1" w:styleId="Style40">
    <w:name w:val="_Style 40"/>
    <w:basedOn w:val="TableNormal"/>
    <w:qFormat/>
    <w:tblPr>
      <w:tblCellMar>
        <w:top w:w="100" w:type="dxa"/>
        <w:left w:w="100" w:type="dxa"/>
        <w:bottom w:w="100" w:type="dxa"/>
        <w:right w:w="100" w:type="dxa"/>
      </w:tblCellMar>
    </w:tblPr>
  </w:style>
  <w:style w:type="table" w:customStyle="1" w:styleId="Style41">
    <w:name w:val="_Style 41"/>
    <w:basedOn w:val="TableNormal"/>
    <w:qFormat/>
    <w:tblPr>
      <w:tblCellMar>
        <w:top w:w="100" w:type="dxa"/>
        <w:left w:w="100" w:type="dxa"/>
        <w:bottom w:w="100" w:type="dxa"/>
        <w:right w:w="100" w:type="dxa"/>
      </w:tblCellMar>
    </w:tblPr>
  </w:style>
  <w:style w:type="table" w:customStyle="1" w:styleId="Style42">
    <w:name w:val="_Style 42"/>
    <w:basedOn w:val="TableNormal"/>
    <w:qFormat/>
    <w:tblPr>
      <w:tblCellMar>
        <w:left w:w="115" w:type="dxa"/>
        <w:right w:w="115" w:type="dxa"/>
      </w:tblCellMar>
    </w:tblPr>
  </w:style>
  <w:style w:type="table" w:customStyle="1" w:styleId="Style43">
    <w:name w:val="_Style 43"/>
    <w:basedOn w:val="TableNormal"/>
    <w:qFormat/>
    <w:rPr>
      <w:rFonts w:eastAsia="Times New Roman"/>
    </w:rPr>
    <w:tblPr/>
  </w:style>
  <w:style w:type="table" w:customStyle="1" w:styleId="Style44">
    <w:name w:val="_Style 44"/>
    <w:basedOn w:val="TableNormal"/>
    <w:qFormat/>
    <w:rPr>
      <w:rFonts w:eastAsia="Times New Roman"/>
    </w:rPr>
    <w:tblPr/>
  </w:style>
  <w:style w:type="table" w:customStyle="1" w:styleId="Style45">
    <w:name w:val="_Style 45"/>
    <w:basedOn w:val="TableNormal"/>
    <w:qFormat/>
    <w:rPr>
      <w:rFonts w:eastAsia="Times New Roman"/>
    </w:rPr>
    <w:tbl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styleId="UnresolvedMention">
    <w:name w:val="Unresolved Mention"/>
    <w:basedOn w:val="DefaultParagraphFont"/>
    <w:uiPriority w:val="99"/>
    <w:semiHidden/>
    <w:unhideWhenUsed/>
    <w:rsid w:val="00785B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nasiri.abadi20@gmail.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ailatu.zahroh@yahoo.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osulahmad9@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iftahul_ulum2001@yahoo.com" TargetMode="External"/><Relationship Id="rId4" Type="http://schemas.openxmlformats.org/officeDocument/2006/relationships/settings" Target="settings.xml"/><Relationship Id="rId9" Type="http://schemas.openxmlformats.org/officeDocument/2006/relationships/hyperlink" Target="mailto:liaistifhama2@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5jS/1+UnLrwV00mSaKwWLVFmmQ==">CgMxLjA4AHIhMUJIX0huVXY5dEo0TXBvNENjQ193SWdiNjRhdkEyYU03</go:docsCustomData>
</go:gDocsCustomXmlDataStorage>
</file>

<file path=customXml/itemProps1.xml><?xml version="1.0" encoding="utf-8"?>
<ds:datastoreItem xmlns:ds="http://schemas.openxmlformats.org/officeDocument/2006/customXml" ds:itemID="{51FA2C74-8689-DA44-8E94-6711A503D83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21</Pages>
  <Words>10105</Words>
  <Characters>57604</Characters>
  <Application>Microsoft Office Word</Application>
  <DocSecurity>0</DocSecurity>
  <Lines>480</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Ramadhita</dc:creator>
  <cp:lastModifiedBy>A416MAO VIPS422</cp:lastModifiedBy>
  <cp:revision>3</cp:revision>
  <dcterms:created xsi:type="dcterms:W3CDTF">2025-09-21T13:43:00Z</dcterms:created>
  <dcterms:modified xsi:type="dcterms:W3CDTF">2025-09-22T09:02:00Z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http://www.zotero.org/styles/chicago-fullnote-bibliography</vt:lpwstr>
  </property>
  <property fmtid="{D5CDD505-2E9C-101B-9397-08002B2CF9AE}" pid="7" name="Mendeley Recent Style Name 2_1">
    <vt:lpwstr>Chicago Manual of Style 17th edition (full note)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12th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4th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9th edition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http://www.zotero.org/styles/turabian-fullnote-bibliography-8th-edition</vt:lpwstr>
  </property>
  <property fmtid="{D5CDD505-2E9C-101B-9397-08002B2CF9AE}" pid="19" name="Mendeley Recent Style Name 8_1">
    <vt:lpwstr>Turabian 8th edition (full note)</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9th edition (full note)</vt:lpwstr>
  </property>
  <property fmtid="{D5CDD505-2E9C-101B-9397-08002B2CF9AE}" pid="22" name="Mendeley Document_1">
    <vt:lpwstr>True</vt:lpwstr>
  </property>
  <property fmtid="{D5CDD505-2E9C-101B-9397-08002B2CF9AE}" pid="23" name="Mendeley Unique User Id_1">
    <vt:lpwstr>03cba4df-be72-3041-a31f-16cbadcaa016</vt:lpwstr>
  </property>
  <property fmtid="{D5CDD505-2E9C-101B-9397-08002B2CF9AE}" pid="24" name="Mendeley Citation Style_1">
    <vt:lpwstr>http://www.zotero.org/styles/chicago-fullnote-bibliography</vt:lpwstr>
  </property>
  <property fmtid="{D5CDD505-2E9C-101B-9397-08002B2CF9AE}" pid="25" name="KSOProductBuildVer">
    <vt:lpwstr>1033-12.2.0.22549</vt:lpwstr>
  </property>
  <property fmtid="{D5CDD505-2E9C-101B-9397-08002B2CF9AE}" pid="26" name="ICV">
    <vt:lpwstr>A1013284443243DEBEFDDB458C67470D_12</vt:lpwstr>
  </property>
</Properties>
</file>