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7FDAA" w14:textId="77777777" w:rsidR="00791B8D" w:rsidRPr="00991113" w:rsidRDefault="00791B8D" w:rsidP="00FA1208">
      <w:pPr>
        <w:spacing w:line="240" w:lineRule="auto"/>
        <w:rPr>
          <w:rFonts w:asciiTheme="majorBidi" w:hAnsiTheme="majorBidi" w:cstheme="majorBidi"/>
          <w:bCs/>
        </w:rPr>
      </w:pPr>
    </w:p>
    <w:p w14:paraId="30ABB447" w14:textId="77777777" w:rsidR="00D460DD" w:rsidRDefault="005A6F76" w:rsidP="00D460DD">
      <w:pPr>
        <w:spacing w:after="0" w:line="240" w:lineRule="auto"/>
        <w:contextualSpacing/>
        <w:jc w:val="center"/>
        <w:rPr>
          <w:rFonts w:asciiTheme="majorBidi" w:hAnsiTheme="majorBidi" w:cstheme="majorBidi"/>
          <w:b/>
          <w:sz w:val="32"/>
          <w:szCs w:val="32"/>
        </w:rPr>
      </w:pPr>
      <w:r w:rsidRPr="009C64D0">
        <w:rPr>
          <w:rFonts w:asciiTheme="majorBidi" w:hAnsiTheme="majorBidi" w:cstheme="majorBidi"/>
          <w:b/>
          <w:sz w:val="32"/>
          <w:szCs w:val="32"/>
        </w:rPr>
        <w:t>PATRIARCHY, POVERTY, AND VULNERABILITY TO GIRLS' EDUCATIONAL RIGHTS IN THE FAMILY THE UNCLE'S TALE: A SOCIOLOGICAL ANALYSIS</w:t>
      </w:r>
      <w:r w:rsidR="00D460DD">
        <w:rPr>
          <w:rFonts w:asciiTheme="majorBidi" w:hAnsiTheme="majorBidi" w:cstheme="majorBidi"/>
          <w:b/>
          <w:sz w:val="32"/>
          <w:szCs w:val="32"/>
        </w:rPr>
        <w:t xml:space="preserve"> </w:t>
      </w:r>
      <w:r w:rsidRPr="009C64D0">
        <w:rPr>
          <w:rFonts w:asciiTheme="majorBidi" w:hAnsiTheme="majorBidi" w:cstheme="majorBidi"/>
          <w:b/>
          <w:sz w:val="32"/>
          <w:szCs w:val="32"/>
        </w:rPr>
        <w:t xml:space="preserve">ISLAMIC </w:t>
      </w:r>
    </w:p>
    <w:p w14:paraId="176B4358" w14:textId="70335E2E" w:rsidR="00791B8D" w:rsidRPr="00D460DD" w:rsidRDefault="005A6F76" w:rsidP="00D460DD">
      <w:pPr>
        <w:spacing w:after="0" w:line="240" w:lineRule="auto"/>
        <w:contextualSpacing/>
        <w:jc w:val="center"/>
        <w:rPr>
          <w:rFonts w:asciiTheme="majorBidi" w:hAnsiTheme="majorBidi" w:cstheme="majorBidi"/>
          <w:b/>
          <w:sz w:val="32"/>
          <w:szCs w:val="32"/>
        </w:rPr>
      </w:pPr>
      <w:r w:rsidRPr="009C64D0">
        <w:rPr>
          <w:rFonts w:asciiTheme="majorBidi" w:hAnsiTheme="majorBidi" w:cstheme="majorBidi"/>
          <w:b/>
          <w:sz w:val="32"/>
          <w:szCs w:val="32"/>
        </w:rPr>
        <w:t>LAW</w:t>
      </w:r>
      <w:r w:rsidR="00D460DD">
        <w:rPr>
          <w:rFonts w:asciiTheme="majorBidi" w:hAnsiTheme="majorBidi" w:cstheme="majorBidi"/>
          <w:b/>
          <w:sz w:val="32"/>
          <w:szCs w:val="32"/>
        </w:rPr>
        <w:t xml:space="preserve"> </w:t>
      </w:r>
      <w:r w:rsidRPr="009C64D0">
        <w:rPr>
          <w:rFonts w:asciiTheme="majorBidi" w:hAnsiTheme="majorBidi" w:cstheme="majorBidi"/>
          <w:b/>
          <w:sz w:val="32"/>
          <w:szCs w:val="32"/>
        </w:rPr>
        <w:t>AND FEMINISM</w:t>
      </w:r>
    </w:p>
    <w:p w14:paraId="09033F9E" w14:textId="77777777" w:rsidR="00791B8D" w:rsidRPr="009C64D0" w:rsidRDefault="00791B8D" w:rsidP="00FA1208">
      <w:pPr>
        <w:spacing w:after="0" w:line="240" w:lineRule="auto"/>
        <w:contextualSpacing/>
        <w:jc w:val="center"/>
        <w:rPr>
          <w:rFonts w:asciiTheme="majorBidi" w:hAnsiTheme="majorBidi" w:cstheme="majorBidi"/>
          <w:b/>
          <w:lang w:val="sv-SE"/>
        </w:rPr>
      </w:pPr>
    </w:p>
    <w:p w14:paraId="46CC2382" w14:textId="77777777" w:rsidR="00791B8D" w:rsidRPr="009C64D0" w:rsidRDefault="00791B8D" w:rsidP="00ED6A33">
      <w:pPr>
        <w:spacing w:after="0" w:line="276" w:lineRule="auto"/>
        <w:contextualSpacing/>
        <w:jc w:val="center"/>
        <w:rPr>
          <w:rFonts w:asciiTheme="majorBidi" w:hAnsiTheme="majorBidi" w:cstheme="majorBidi"/>
          <w:b/>
          <w:vertAlign w:val="superscript"/>
          <w:lang w:val="sv-SE"/>
        </w:rPr>
      </w:pPr>
      <w:r w:rsidRPr="009C64D0">
        <w:rPr>
          <w:rFonts w:asciiTheme="majorBidi" w:hAnsiTheme="majorBidi" w:cstheme="majorBidi"/>
          <w:b/>
          <w:lang w:val="sv-SE"/>
        </w:rPr>
        <w:t>Hadriana Marhaeni Munthe</w:t>
      </w:r>
      <w:r w:rsidRPr="009C64D0">
        <w:rPr>
          <w:rFonts w:asciiTheme="majorBidi" w:hAnsiTheme="majorBidi" w:cstheme="majorBidi"/>
          <w:b/>
          <w:vertAlign w:val="superscript"/>
          <w:lang w:val="sv-SE"/>
        </w:rPr>
        <w:t>*</w:t>
      </w:r>
    </w:p>
    <w:p w14:paraId="41B91DB2" w14:textId="0E473DA6" w:rsidR="00791B8D" w:rsidRPr="00991113" w:rsidRDefault="00791B8D" w:rsidP="00ED6A33">
      <w:pPr>
        <w:spacing w:after="0" w:line="276" w:lineRule="auto"/>
        <w:contextualSpacing/>
        <w:jc w:val="center"/>
        <w:rPr>
          <w:rFonts w:asciiTheme="majorBidi" w:hAnsiTheme="majorBidi" w:cstheme="majorBidi"/>
          <w:bCs/>
          <w:lang w:val="sv-SE"/>
        </w:rPr>
      </w:pPr>
      <w:r w:rsidRPr="00991113">
        <w:rPr>
          <w:rFonts w:asciiTheme="majorBidi" w:hAnsiTheme="majorBidi" w:cstheme="majorBidi"/>
          <w:bCs/>
          <w:lang w:val="sv-SE"/>
        </w:rPr>
        <w:t>Universitas Sumatera Utara, Indonesia</w:t>
      </w:r>
    </w:p>
    <w:p w14:paraId="6E6217E0" w14:textId="2D7E0BF1" w:rsidR="00791B8D" w:rsidRPr="009C64D0" w:rsidRDefault="00791B8D" w:rsidP="00ED6A33">
      <w:pPr>
        <w:spacing w:after="0" w:line="276" w:lineRule="auto"/>
        <w:contextualSpacing/>
        <w:jc w:val="center"/>
        <w:rPr>
          <w:rFonts w:asciiTheme="majorBidi" w:hAnsiTheme="majorBidi" w:cstheme="majorBidi"/>
          <w:b/>
          <w:lang w:val="sv-SE"/>
        </w:rPr>
      </w:pPr>
      <w:r w:rsidRPr="009C64D0">
        <w:rPr>
          <w:rFonts w:asciiTheme="majorBidi" w:hAnsiTheme="majorBidi" w:cstheme="majorBidi"/>
          <w:b/>
          <w:lang w:val="sv-SE"/>
        </w:rPr>
        <w:t xml:space="preserve"> Lina Sudarwati</w:t>
      </w:r>
    </w:p>
    <w:p w14:paraId="62E5C543" w14:textId="5E14B8CF" w:rsidR="00791B8D" w:rsidRPr="00991113" w:rsidRDefault="00791B8D" w:rsidP="00ED6A33">
      <w:pPr>
        <w:spacing w:after="0" w:line="276" w:lineRule="auto"/>
        <w:contextualSpacing/>
        <w:jc w:val="center"/>
        <w:rPr>
          <w:rFonts w:asciiTheme="majorBidi" w:hAnsiTheme="majorBidi" w:cstheme="majorBidi"/>
          <w:bCs/>
          <w:lang w:val="sv-SE"/>
        </w:rPr>
      </w:pPr>
      <w:r w:rsidRPr="00991113">
        <w:rPr>
          <w:rFonts w:asciiTheme="majorBidi" w:hAnsiTheme="majorBidi" w:cstheme="majorBidi"/>
          <w:bCs/>
          <w:lang w:val="sv-SE"/>
        </w:rPr>
        <w:t>Universitas Sumatera Utara, Indonesia</w:t>
      </w:r>
    </w:p>
    <w:p w14:paraId="1E50CB0C" w14:textId="77777777" w:rsidR="00791B8D" w:rsidRPr="009C64D0" w:rsidRDefault="00791B8D" w:rsidP="00ED6A33">
      <w:pPr>
        <w:spacing w:after="0" w:line="276" w:lineRule="auto"/>
        <w:contextualSpacing/>
        <w:jc w:val="center"/>
        <w:rPr>
          <w:rFonts w:asciiTheme="majorBidi" w:hAnsiTheme="majorBidi" w:cstheme="majorBidi"/>
          <w:b/>
          <w:lang w:val="sv-SE"/>
        </w:rPr>
      </w:pPr>
      <w:r w:rsidRPr="009C64D0">
        <w:rPr>
          <w:rFonts w:asciiTheme="majorBidi" w:hAnsiTheme="majorBidi" w:cstheme="majorBidi"/>
          <w:b/>
          <w:lang w:val="sv-SE"/>
        </w:rPr>
        <w:t>Napsiah</w:t>
      </w:r>
    </w:p>
    <w:p w14:paraId="423A63C2" w14:textId="5C02BD2E" w:rsidR="00791B8D" w:rsidRPr="00546849" w:rsidRDefault="00791B8D" w:rsidP="00ED6A33">
      <w:pPr>
        <w:spacing w:after="0" w:line="276" w:lineRule="auto"/>
        <w:contextualSpacing/>
        <w:jc w:val="center"/>
        <w:rPr>
          <w:rFonts w:asciiTheme="majorBidi" w:hAnsiTheme="majorBidi" w:cstheme="majorBidi"/>
          <w:bCs/>
          <w:lang w:val="sv-SE"/>
        </w:rPr>
      </w:pPr>
      <w:r w:rsidRPr="00991113">
        <w:rPr>
          <w:rFonts w:asciiTheme="majorBidi" w:hAnsiTheme="majorBidi" w:cstheme="majorBidi"/>
          <w:bCs/>
          <w:lang w:val="sv-SE"/>
        </w:rPr>
        <w:t>Universitas Islam Negeri Sunan Kalijaga Yogyakarta, Indonesia</w:t>
      </w:r>
    </w:p>
    <w:p w14:paraId="5CAC5029" w14:textId="1C8A58C3" w:rsidR="00791B8D" w:rsidRPr="005A0C5B" w:rsidRDefault="00791B8D" w:rsidP="00ED6A33">
      <w:pPr>
        <w:spacing w:after="0" w:line="276" w:lineRule="auto"/>
        <w:contextualSpacing/>
        <w:jc w:val="center"/>
        <w:rPr>
          <w:rFonts w:asciiTheme="majorBidi" w:hAnsiTheme="majorBidi" w:cstheme="majorBidi"/>
          <w:b/>
          <w:vertAlign w:val="superscript"/>
          <w:lang w:val="fi-FI"/>
        </w:rPr>
      </w:pPr>
      <w:r w:rsidRPr="005A0C5B">
        <w:rPr>
          <w:rFonts w:asciiTheme="majorBidi" w:hAnsiTheme="majorBidi" w:cstheme="majorBidi"/>
          <w:b/>
          <w:lang w:val="fi-FI"/>
        </w:rPr>
        <w:t>Asimayanty Siahaan</w:t>
      </w:r>
    </w:p>
    <w:p w14:paraId="5113DFE8" w14:textId="702081B3" w:rsidR="00791B8D" w:rsidRPr="00991113" w:rsidRDefault="00791B8D" w:rsidP="00ED6A33">
      <w:pPr>
        <w:spacing w:after="0" w:line="276" w:lineRule="auto"/>
        <w:contextualSpacing/>
        <w:jc w:val="center"/>
        <w:rPr>
          <w:rFonts w:asciiTheme="majorBidi" w:hAnsiTheme="majorBidi" w:cstheme="majorBidi"/>
          <w:bCs/>
          <w:vertAlign w:val="superscript"/>
        </w:rPr>
      </w:pPr>
      <w:r w:rsidRPr="00991113">
        <w:rPr>
          <w:rFonts w:asciiTheme="majorBidi" w:hAnsiTheme="majorBidi" w:cstheme="majorBidi"/>
          <w:bCs/>
        </w:rPr>
        <w:t>Universitas Sumatera Utara, Indonesia</w:t>
      </w:r>
    </w:p>
    <w:p w14:paraId="706E0DD1" w14:textId="492D67C4" w:rsidR="00791B8D" w:rsidRPr="00991113" w:rsidRDefault="00791B8D" w:rsidP="00ED6A33">
      <w:pPr>
        <w:spacing w:line="276" w:lineRule="auto"/>
        <w:jc w:val="center"/>
        <w:rPr>
          <w:rFonts w:asciiTheme="majorBidi" w:hAnsiTheme="majorBidi" w:cstheme="majorBidi"/>
          <w:bCs/>
        </w:rPr>
      </w:pPr>
      <w:r w:rsidRPr="00991113">
        <w:rPr>
          <w:rFonts w:asciiTheme="majorBidi" w:hAnsiTheme="majorBidi" w:cstheme="majorBidi"/>
          <w:bCs/>
          <w:spacing w:val="-6"/>
        </w:rPr>
        <w:t>*Corresponding</w:t>
      </w:r>
      <w:r w:rsidRPr="00991113">
        <w:rPr>
          <w:rFonts w:asciiTheme="majorBidi" w:hAnsiTheme="majorBidi" w:cstheme="majorBidi"/>
          <w:bCs/>
          <w:spacing w:val="-1"/>
        </w:rPr>
        <w:t xml:space="preserve"> </w:t>
      </w:r>
      <w:r w:rsidRPr="00991113">
        <w:rPr>
          <w:rFonts w:asciiTheme="majorBidi" w:hAnsiTheme="majorBidi" w:cstheme="majorBidi"/>
          <w:bCs/>
          <w:spacing w:val="-6"/>
        </w:rPr>
        <w:t xml:space="preserve">author: </w:t>
      </w:r>
      <w:hyperlink r:id="rId8" w:history="1">
        <w:r w:rsidRPr="00991113">
          <w:rPr>
            <w:rStyle w:val="Hyperlink"/>
            <w:rFonts w:asciiTheme="majorBidi" w:hAnsiTheme="majorBidi" w:cstheme="majorBidi"/>
            <w:bCs/>
            <w:color w:val="auto"/>
          </w:rPr>
          <w:t>hadriana@usu.ac.id</w:t>
        </w:r>
      </w:hyperlink>
    </w:p>
    <w:p w14:paraId="575FAEF2" w14:textId="77777777" w:rsidR="005A6F76" w:rsidRPr="009C64D0" w:rsidRDefault="005A6F76" w:rsidP="00B35C6C">
      <w:pPr>
        <w:spacing w:after="0" w:line="240" w:lineRule="auto"/>
        <w:rPr>
          <w:rFonts w:asciiTheme="majorBidi" w:hAnsiTheme="majorBidi" w:cstheme="majorBidi"/>
          <w:b/>
        </w:rPr>
      </w:pPr>
      <w:r w:rsidRPr="009C64D0">
        <w:rPr>
          <w:rFonts w:asciiTheme="majorBidi" w:hAnsiTheme="majorBidi" w:cstheme="majorBidi"/>
          <w:b/>
        </w:rPr>
        <w:t>Abstract</w:t>
      </w:r>
    </w:p>
    <w:p w14:paraId="7183A45A" w14:textId="77777777" w:rsidR="00546849" w:rsidRPr="00991113" w:rsidRDefault="00546849" w:rsidP="00211253">
      <w:pPr>
        <w:spacing w:after="0" w:line="240" w:lineRule="auto"/>
        <w:ind w:left="567"/>
        <w:jc w:val="both"/>
        <w:rPr>
          <w:rFonts w:asciiTheme="majorBidi" w:hAnsiTheme="majorBidi" w:cstheme="majorBidi"/>
          <w:bCs/>
        </w:rPr>
      </w:pPr>
      <w:r w:rsidRPr="00991113">
        <w:rPr>
          <w:rFonts w:asciiTheme="majorBidi" w:hAnsiTheme="majorBidi" w:cstheme="majorBidi"/>
          <w:bCs/>
        </w:rPr>
        <w:t>The vulnerability of girls' rights to formal education is still a serious problem, especially in poor families headed by widowed women (</w:t>
      </w:r>
      <w:proofErr w:type="spellStart"/>
      <w:r w:rsidRPr="00991113">
        <w:rPr>
          <w:rFonts w:asciiTheme="majorBidi" w:hAnsiTheme="majorBidi" w:cstheme="majorBidi"/>
          <w:bCs/>
          <w:i/>
          <w:iCs/>
        </w:rPr>
        <w:t>pekka</w:t>
      </w:r>
      <w:proofErr w:type="spellEnd"/>
      <w:r w:rsidRPr="00991113">
        <w:rPr>
          <w:rFonts w:asciiTheme="majorBidi" w:hAnsiTheme="majorBidi" w:cstheme="majorBidi"/>
          <w:bCs/>
        </w:rPr>
        <w:t xml:space="preserve">). This condition is evident in the Kalak </w:t>
      </w:r>
      <w:proofErr w:type="spellStart"/>
      <w:r w:rsidRPr="00991113">
        <w:rPr>
          <w:rFonts w:asciiTheme="majorBidi" w:hAnsiTheme="majorBidi" w:cstheme="majorBidi"/>
          <w:bCs/>
        </w:rPr>
        <w:t>Pakpak</w:t>
      </w:r>
      <w:proofErr w:type="spellEnd"/>
      <w:r w:rsidRPr="00991113">
        <w:rPr>
          <w:rFonts w:asciiTheme="majorBidi" w:hAnsiTheme="majorBidi" w:cstheme="majorBidi"/>
          <w:bCs/>
        </w:rPr>
        <w:t xml:space="preserve"> family in </w:t>
      </w:r>
      <w:proofErr w:type="spellStart"/>
      <w:r w:rsidRPr="00991113">
        <w:rPr>
          <w:rFonts w:asciiTheme="majorBidi" w:hAnsiTheme="majorBidi" w:cstheme="majorBidi"/>
          <w:bCs/>
        </w:rPr>
        <w:t>Paggan</w:t>
      </w:r>
      <w:proofErr w:type="spellEnd"/>
      <w:r w:rsidRPr="00991113">
        <w:rPr>
          <w:rFonts w:asciiTheme="majorBidi" w:hAnsiTheme="majorBidi" w:cstheme="majorBidi"/>
          <w:bCs/>
        </w:rPr>
        <w:t xml:space="preserve"> Julu VIII, North Sumatra, where girls often drop out of school and are pushed into the marginal employment sector from a young age. This phenomenon is not solely caused by economic limitations, but also influenced by social and cultural structures that are patriarchal and rooted in family and community life. This study uses a qualitative approach with the perspective of Legal Sociology Max Weber and Islamic feminism by Amina Wadud, with data collection techniques in the form of life </w:t>
      </w:r>
      <w:r w:rsidRPr="00991113">
        <w:rPr>
          <w:rFonts w:asciiTheme="majorBidi" w:hAnsiTheme="majorBidi" w:cstheme="majorBidi"/>
          <w:bCs/>
          <w:i/>
          <w:iCs/>
        </w:rPr>
        <w:t xml:space="preserve">stories </w:t>
      </w:r>
      <w:r w:rsidRPr="00991113">
        <w:rPr>
          <w:rFonts w:asciiTheme="majorBidi" w:hAnsiTheme="majorBidi" w:cstheme="majorBidi"/>
          <w:bCs/>
        </w:rPr>
        <w:t xml:space="preserve">of seven girls who dropped out of school and worked in the marginalized sector. The results of the study show that the vulnerability of girls' educational rights is formed from the meeting of patriarchy and poverty, which creates the phenomenon of "patriarchal poverty" in the Pekka Kalak </w:t>
      </w:r>
      <w:proofErr w:type="spellStart"/>
      <w:r w:rsidRPr="00991113">
        <w:rPr>
          <w:rFonts w:asciiTheme="majorBidi" w:hAnsiTheme="majorBidi" w:cstheme="majorBidi"/>
          <w:bCs/>
        </w:rPr>
        <w:t>Pakpak</w:t>
      </w:r>
      <w:proofErr w:type="spellEnd"/>
      <w:r w:rsidRPr="00991113">
        <w:rPr>
          <w:rFonts w:asciiTheme="majorBidi" w:hAnsiTheme="majorBidi" w:cstheme="majorBidi"/>
          <w:bCs/>
        </w:rPr>
        <w:t xml:space="preserve"> family, from the perspective of Max Weber, this injustice is a product of social structures, power relations, and patriarchal legitimacy that makes formal education laws or policies often fail to guarantee equality, while from the perspective of Amina Wadud,  patriarchal interpretations of the text of the Qur'an negate women's rights, even though Islamic principles support justice and gender equality. Girls experience double burdens, marginalized educational rights and work obligations from an early age that reflect the complex interplay between social norms, economic structures, and gender-biased interpretations of religion. Therefore, the fulfillment of girls' educational rights requires a holistic approach that includes social transformation, gender-based public policies, gender awareness education, and inclusive religious reinterpretation, so that the right to education can be carried out as a moral obligation, an instrument of empowerment, and a means of breaking the cycle of structural injustice.</w:t>
      </w:r>
    </w:p>
    <w:p w14:paraId="62450E6C" w14:textId="77777777" w:rsidR="00546849" w:rsidRPr="00546849" w:rsidRDefault="00546849" w:rsidP="00211253">
      <w:pPr>
        <w:spacing w:after="0" w:line="240" w:lineRule="auto"/>
        <w:ind w:left="567"/>
        <w:jc w:val="both"/>
        <w:rPr>
          <w:rFonts w:asciiTheme="majorBidi" w:hAnsiTheme="majorBidi" w:cstheme="majorBidi"/>
          <w:bCs/>
        </w:rPr>
      </w:pPr>
      <w:r w:rsidRPr="00ED6A33">
        <w:rPr>
          <w:rFonts w:asciiTheme="majorBidi" w:hAnsiTheme="majorBidi" w:cstheme="majorBidi"/>
          <w:b/>
        </w:rPr>
        <w:t>Keywords:</w:t>
      </w:r>
      <w:r w:rsidRPr="005A0C5B">
        <w:rPr>
          <w:rFonts w:asciiTheme="majorBidi" w:hAnsiTheme="majorBidi" w:cstheme="majorBidi"/>
          <w:bCs/>
        </w:rPr>
        <w:t xml:space="preserve"> Patriarchy, Poverty, Girls' Right to Education, Pekka Family, Islamic Feminism.</w:t>
      </w:r>
    </w:p>
    <w:p w14:paraId="2ADF3C6C" w14:textId="77777777" w:rsidR="00FA1208" w:rsidRPr="00546849" w:rsidRDefault="00FA1208" w:rsidP="00FA1208">
      <w:pPr>
        <w:spacing w:after="0" w:line="240" w:lineRule="auto"/>
        <w:rPr>
          <w:rFonts w:asciiTheme="majorBidi" w:hAnsiTheme="majorBidi" w:cstheme="majorBidi"/>
          <w:bCs/>
        </w:rPr>
      </w:pPr>
    </w:p>
    <w:p w14:paraId="24EA4F80" w14:textId="77777777" w:rsidR="00546849" w:rsidRDefault="00546849" w:rsidP="00FA1208">
      <w:pPr>
        <w:spacing w:after="0" w:line="240" w:lineRule="auto"/>
        <w:rPr>
          <w:rFonts w:asciiTheme="majorBidi" w:hAnsiTheme="majorBidi" w:cstheme="majorBidi"/>
          <w:b/>
          <w:lang w:val="fi-FI"/>
        </w:rPr>
      </w:pPr>
    </w:p>
    <w:p w14:paraId="1C1E997C" w14:textId="77777777" w:rsidR="00546849" w:rsidRDefault="00546849" w:rsidP="00FA1208">
      <w:pPr>
        <w:spacing w:after="0" w:line="240" w:lineRule="auto"/>
        <w:rPr>
          <w:rFonts w:asciiTheme="majorBidi" w:hAnsiTheme="majorBidi" w:cstheme="majorBidi"/>
          <w:b/>
          <w:lang w:val="fi-FI"/>
        </w:rPr>
      </w:pPr>
    </w:p>
    <w:p w14:paraId="27322480" w14:textId="77777777" w:rsidR="00546849" w:rsidRPr="00546849" w:rsidRDefault="00546849" w:rsidP="0077067D">
      <w:pPr>
        <w:spacing w:after="0" w:line="240" w:lineRule="auto"/>
        <w:rPr>
          <w:rFonts w:asciiTheme="majorBidi" w:hAnsiTheme="majorBidi" w:cstheme="majorBidi"/>
          <w:b/>
        </w:rPr>
      </w:pPr>
      <w:r w:rsidRPr="005A0C5B">
        <w:rPr>
          <w:rFonts w:asciiTheme="majorBidi" w:hAnsiTheme="majorBidi" w:cstheme="majorBidi"/>
          <w:b/>
        </w:rPr>
        <w:lastRenderedPageBreak/>
        <w:t>Introduction</w:t>
      </w:r>
    </w:p>
    <w:p w14:paraId="4B8431EC" w14:textId="77777777" w:rsidR="00546849" w:rsidRPr="00546849" w:rsidRDefault="00546849" w:rsidP="003724BE">
      <w:pPr>
        <w:spacing w:after="0" w:line="240" w:lineRule="auto"/>
        <w:ind w:firstLine="720"/>
        <w:jc w:val="both"/>
        <w:rPr>
          <w:rFonts w:asciiTheme="majorBidi" w:hAnsiTheme="majorBidi" w:cstheme="majorBidi"/>
          <w:bCs/>
        </w:rPr>
      </w:pPr>
      <w:r w:rsidRPr="005A0C5B">
        <w:rPr>
          <w:rFonts w:asciiTheme="majorBidi" w:hAnsiTheme="majorBidi" w:cstheme="majorBidi"/>
          <w:bCs/>
        </w:rPr>
        <w:t xml:space="preserve">The reality of women as a subordinated and marginalized gender group is still ongoing in various societies and cultures in </w:t>
      </w:r>
      <w:proofErr w:type="spellStart"/>
      <w:r w:rsidRPr="005A0C5B">
        <w:rPr>
          <w:rFonts w:asciiTheme="majorBidi" w:hAnsiTheme="majorBidi" w:cstheme="majorBidi"/>
          <w:bCs/>
        </w:rPr>
        <w:t>Pakpak</w:t>
      </w:r>
      <w:proofErr w:type="spellEnd"/>
      <w:r w:rsidRPr="005A0C5B">
        <w:rPr>
          <w:rFonts w:asciiTheme="majorBidi" w:hAnsiTheme="majorBidi" w:cstheme="majorBidi"/>
          <w:bCs/>
        </w:rPr>
        <w:t>, North Sumatra, Indonesia.</w:t>
      </w:r>
      <w:r>
        <w:rPr>
          <w:rStyle w:val="FootnoteReference"/>
          <w:rFonts w:asciiTheme="majorBidi" w:hAnsiTheme="majorBidi" w:cstheme="majorBidi"/>
          <w:bCs/>
        </w:rPr>
        <w:footnoteReference w:id="1"/>
      </w:r>
      <w:r w:rsidRPr="005A0C5B">
        <w:rPr>
          <w:rFonts w:asciiTheme="majorBidi" w:hAnsiTheme="majorBidi" w:cstheme="majorBidi"/>
          <w:bCs/>
        </w:rPr>
        <w:t xml:space="preserve"> Women are vulnerable to various practices of gender inequality, such as subordination, violence, marginalization, stereotypes, and double burdens in the domestic and public spheres.</w:t>
      </w:r>
      <w:r>
        <w:rPr>
          <w:rStyle w:val="FootnoteReference"/>
          <w:rFonts w:asciiTheme="majorBidi" w:hAnsiTheme="majorBidi" w:cstheme="majorBidi"/>
          <w:bCs/>
        </w:rPr>
        <w:footnoteReference w:id="2"/>
      </w:r>
      <w:r w:rsidRPr="005A0C5B">
        <w:rPr>
          <w:rFonts w:asciiTheme="majorBidi" w:hAnsiTheme="majorBidi" w:cstheme="majorBidi"/>
          <w:bCs/>
        </w:rPr>
        <w:t xml:space="preserve"> Although men also experience forms of gender inequality, for example through social stereotypes that demand that they are always strong and rational, various facts show that women remain more vulnerable to marginalization and subordination in social structures.</w:t>
      </w:r>
      <w:r>
        <w:rPr>
          <w:rStyle w:val="FootnoteReference"/>
          <w:rFonts w:asciiTheme="majorBidi" w:hAnsiTheme="majorBidi" w:cstheme="majorBidi"/>
          <w:bCs/>
        </w:rPr>
        <w:footnoteReference w:id="3"/>
      </w:r>
      <w:r w:rsidRPr="005A0C5B">
        <w:rPr>
          <w:rFonts w:asciiTheme="majorBidi" w:hAnsiTheme="majorBidi" w:cstheme="majorBidi"/>
          <w:bCs/>
        </w:rPr>
        <w:t xml:space="preserve"> Gender inequality against women, legitimized in the name of culture, is often manifested in various forms of violence, marginalization, subordination, stereotyping, and double burden, which are rooted in patriarchal cultural values and are still strongly found in local communities.</w:t>
      </w:r>
      <w:r>
        <w:rPr>
          <w:rStyle w:val="FootnoteReference"/>
          <w:rFonts w:asciiTheme="majorBidi" w:hAnsiTheme="majorBidi" w:cstheme="majorBidi"/>
          <w:bCs/>
        </w:rPr>
        <w:footnoteReference w:id="4"/>
      </w:r>
    </w:p>
    <w:p w14:paraId="088AAD6E" w14:textId="77777777" w:rsidR="00546849" w:rsidRPr="00546849" w:rsidRDefault="00546849" w:rsidP="00D821EF">
      <w:pPr>
        <w:spacing w:after="0" w:line="240" w:lineRule="auto"/>
        <w:ind w:firstLine="720"/>
        <w:jc w:val="both"/>
        <w:rPr>
          <w:rFonts w:asciiTheme="majorBidi" w:hAnsiTheme="majorBidi" w:cstheme="majorBidi"/>
          <w:bCs/>
        </w:rPr>
      </w:pPr>
      <w:r w:rsidRPr="00B352B4">
        <w:rPr>
          <w:rFonts w:asciiTheme="majorBidi" w:hAnsiTheme="majorBidi" w:cstheme="majorBidi"/>
          <w:bCs/>
        </w:rPr>
        <w:t>Various reactions have emerged in response to gender inequality, especially from feminists. This emphasizes that the roots of gender injustice, especially those related to culture, are closely related to patriarchy, understood as a social system as well as an ideology.</w:t>
      </w:r>
      <w:r>
        <w:rPr>
          <w:rStyle w:val="FootnoteReference"/>
          <w:rFonts w:asciiTheme="majorBidi" w:hAnsiTheme="majorBidi" w:cstheme="majorBidi"/>
          <w:bCs/>
        </w:rPr>
        <w:footnoteReference w:id="5"/>
      </w:r>
      <w:r w:rsidRPr="00B352B4">
        <w:rPr>
          <w:rFonts w:asciiTheme="majorBidi" w:hAnsiTheme="majorBidi" w:cstheme="majorBidi"/>
          <w:bCs/>
        </w:rPr>
        <w:t xml:space="preserve"> Patriarchy is not a phenomenon that comes suddenly, but is formed and processes throughout the history of human society and culture.</w:t>
      </w:r>
      <w:r>
        <w:rPr>
          <w:rStyle w:val="FootnoteReference"/>
          <w:rFonts w:asciiTheme="majorBidi" w:hAnsiTheme="majorBidi" w:cstheme="majorBidi"/>
          <w:bCs/>
        </w:rPr>
        <w:footnoteReference w:id="6"/>
      </w:r>
      <w:r w:rsidRPr="00991113">
        <w:rPr>
          <w:rFonts w:asciiTheme="majorBidi" w:hAnsiTheme="majorBidi" w:cstheme="majorBidi"/>
          <w:bCs/>
        </w:rPr>
        <w:t xml:space="preserve"> In the context of the Batak </w:t>
      </w:r>
      <w:proofErr w:type="spellStart"/>
      <w:r w:rsidRPr="00991113">
        <w:rPr>
          <w:rFonts w:asciiTheme="majorBidi" w:hAnsiTheme="majorBidi" w:cstheme="majorBidi"/>
          <w:bCs/>
        </w:rPr>
        <w:t>Pakpak</w:t>
      </w:r>
      <w:proofErr w:type="spellEnd"/>
      <w:r w:rsidRPr="00991113">
        <w:rPr>
          <w:rFonts w:asciiTheme="majorBidi" w:hAnsiTheme="majorBidi" w:cstheme="majorBidi"/>
          <w:bCs/>
        </w:rPr>
        <w:t xml:space="preserve"> </w:t>
      </w:r>
      <w:proofErr w:type="spellStart"/>
      <w:r w:rsidRPr="00991113">
        <w:rPr>
          <w:rFonts w:asciiTheme="majorBidi" w:hAnsiTheme="majorBidi" w:cstheme="majorBidi"/>
          <w:bCs/>
        </w:rPr>
        <w:t>Pegagan</w:t>
      </w:r>
      <w:proofErr w:type="spellEnd"/>
      <w:r w:rsidRPr="00991113">
        <w:rPr>
          <w:rFonts w:asciiTheme="majorBidi" w:hAnsiTheme="majorBidi" w:cstheme="majorBidi"/>
          <w:bCs/>
        </w:rPr>
        <w:t xml:space="preserve"> Julu VIII community, the patriarchal system and ideology are reflected in the division of roles, power relations, and decision-making at the family level.</w:t>
      </w:r>
      <w:r>
        <w:rPr>
          <w:rStyle w:val="FootnoteReference"/>
          <w:rFonts w:asciiTheme="majorBidi" w:hAnsiTheme="majorBidi" w:cstheme="majorBidi"/>
          <w:bCs/>
        </w:rPr>
        <w:footnoteReference w:id="7"/>
      </w:r>
      <w:r w:rsidRPr="00B352B4">
        <w:rPr>
          <w:rFonts w:asciiTheme="majorBidi" w:hAnsiTheme="majorBidi" w:cstheme="majorBidi"/>
          <w:bCs/>
        </w:rPr>
        <w:t xml:space="preserve"> Men are generally positioned as heads of families with primary authority, while women are placed in domestic and supportive roles.</w:t>
      </w:r>
      <w:r>
        <w:rPr>
          <w:rStyle w:val="FootnoteReference"/>
          <w:rFonts w:asciiTheme="majorBidi" w:hAnsiTheme="majorBidi" w:cstheme="majorBidi"/>
          <w:bCs/>
        </w:rPr>
        <w:footnoteReference w:id="8"/>
      </w:r>
      <w:r w:rsidRPr="00B352B4">
        <w:rPr>
          <w:rFonts w:asciiTheme="majorBidi" w:hAnsiTheme="majorBidi" w:cstheme="majorBidi"/>
          <w:bCs/>
        </w:rPr>
        <w:t xml:space="preserve"> This pattern of relationships shows how private patriarchy operates in the family as the main social institution, as well as a means of reproducing patriarchal values across generations.</w:t>
      </w:r>
      <w:r>
        <w:rPr>
          <w:rStyle w:val="FootnoteReference"/>
          <w:rFonts w:asciiTheme="majorBidi" w:hAnsiTheme="majorBidi" w:cstheme="majorBidi"/>
          <w:bCs/>
        </w:rPr>
        <w:footnoteReference w:id="9"/>
      </w:r>
      <w:r w:rsidRPr="00B352B4">
        <w:rPr>
          <w:rFonts w:asciiTheme="majorBidi" w:hAnsiTheme="majorBidi" w:cstheme="majorBidi"/>
          <w:bCs/>
        </w:rPr>
        <w:t xml:space="preserve"> </w:t>
      </w:r>
    </w:p>
    <w:p w14:paraId="2E6CB53C" w14:textId="77777777" w:rsidR="00546849" w:rsidRPr="00546849" w:rsidRDefault="00546849" w:rsidP="006B5875">
      <w:pPr>
        <w:spacing w:after="0" w:line="240" w:lineRule="auto"/>
        <w:ind w:firstLine="720"/>
        <w:jc w:val="both"/>
        <w:rPr>
          <w:rFonts w:asciiTheme="majorBidi" w:hAnsiTheme="majorBidi" w:cstheme="majorBidi"/>
          <w:bCs/>
        </w:rPr>
      </w:pPr>
      <w:r w:rsidRPr="00546849">
        <w:rPr>
          <w:rFonts w:asciiTheme="majorBidi" w:hAnsiTheme="majorBidi" w:cstheme="majorBidi"/>
          <w:bCs/>
        </w:rPr>
        <w:t xml:space="preserve">The phenomenon of gender inequality in the </w:t>
      </w:r>
      <w:proofErr w:type="spellStart"/>
      <w:r w:rsidRPr="00546849">
        <w:rPr>
          <w:rFonts w:asciiTheme="majorBidi" w:hAnsiTheme="majorBidi" w:cstheme="majorBidi"/>
          <w:bCs/>
        </w:rPr>
        <w:t>Pakpak</w:t>
      </w:r>
      <w:proofErr w:type="spellEnd"/>
      <w:r w:rsidRPr="00546849">
        <w:rPr>
          <w:rFonts w:asciiTheme="majorBidi" w:hAnsiTheme="majorBidi" w:cstheme="majorBidi"/>
          <w:bCs/>
        </w:rPr>
        <w:t xml:space="preserve"> family is seen in the vulnerability of girls' right to access formal education, especially in poor families headed by women.</w:t>
      </w:r>
      <w:r>
        <w:rPr>
          <w:rStyle w:val="FootnoteReference"/>
          <w:rFonts w:asciiTheme="majorBidi" w:hAnsiTheme="majorBidi" w:cstheme="majorBidi"/>
          <w:bCs/>
        </w:rPr>
        <w:footnoteReference w:id="10"/>
      </w:r>
      <w:r w:rsidRPr="00546849">
        <w:rPr>
          <w:rFonts w:asciiTheme="majorBidi" w:hAnsiTheme="majorBidi" w:cstheme="majorBidi"/>
          <w:bCs/>
        </w:rPr>
        <w:t xml:space="preserve"> The female </w:t>
      </w:r>
      <w:r w:rsidRPr="00546849">
        <w:rPr>
          <w:rFonts w:asciiTheme="majorBidi" w:hAnsiTheme="majorBidi" w:cstheme="majorBidi"/>
          <w:bCs/>
        </w:rPr>
        <w:lastRenderedPageBreak/>
        <w:t xml:space="preserve">head of the family, or </w:t>
      </w:r>
      <w:proofErr w:type="spellStart"/>
      <w:r w:rsidRPr="00546849">
        <w:rPr>
          <w:rFonts w:asciiTheme="majorBidi" w:hAnsiTheme="majorBidi" w:cstheme="majorBidi"/>
          <w:bCs/>
        </w:rPr>
        <w:t>pekka</w:t>
      </w:r>
      <w:proofErr w:type="spellEnd"/>
      <w:r w:rsidRPr="00546849">
        <w:rPr>
          <w:rFonts w:asciiTheme="majorBidi" w:hAnsiTheme="majorBidi" w:cstheme="majorBidi"/>
          <w:bCs/>
        </w:rPr>
        <w:t>, is generally a widow who bears the living expenses of her children.</w:t>
      </w:r>
      <w:r>
        <w:rPr>
          <w:rStyle w:val="FootnoteReference"/>
          <w:rFonts w:asciiTheme="majorBidi" w:hAnsiTheme="majorBidi" w:cstheme="majorBidi"/>
          <w:bCs/>
        </w:rPr>
        <w:footnoteReference w:id="11"/>
      </w:r>
      <w:r w:rsidRPr="00B352B4">
        <w:rPr>
          <w:rFonts w:asciiTheme="majorBidi" w:hAnsiTheme="majorBidi" w:cstheme="majorBidi"/>
          <w:bCs/>
        </w:rPr>
        <w:t xml:space="preserve"> In the traditional context, widowed women are often underappreciated and faced with discriminatory practices, such as limited right to speak, express opinions, and make strategic decisions.</w:t>
      </w:r>
      <w:r>
        <w:rPr>
          <w:rStyle w:val="FootnoteReference"/>
          <w:rFonts w:asciiTheme="majorBidi" w:hAnsiTheme="majorBidi" w:cstheme="majorBidi"/>
          <w:bCs/>
        </w:rPr>
        <w:footnoteReference w:id="12"/>
      </w:r>
      <w:r w:rsidRPr="00B352B4">
        <w:rPr>
          <w:rFonts w:asciiTheme="majorBidi" w:hAnsiTheme="majorBidi" w:cstheme="majorBidi"/>
          <w:bCs/>
        </w:rPr>
        <w:t xml:space="preserve"> In fact, customary decisions have a central position in maintaining social order, including determining the social position of widowed women. This decision affirms the dominance of patriarchal values that are full of gender bias, so that customary institutions become an extension of the power of the public patriarchy that does not favor women, especially widows.</w:t>
      </w:r>
      <w:r>
        <w:rPr>
          <w:rStyle w:val="FootnoteReference"/>
          <w:rFonts w:asciiTheme="majorBidi" w:hAnsiTheme="majorBidi" w:cstheme="majorBidi"/>
          <w:bCs/>
        </w:rPr>
        <w:footnoteReference w:id="13"/>
      </w:r>
    </w:p>
    <w:p w14:paraId="41197915" w14:textId="7595AFCF" w:rsidR="00546849" w:rsidRPr="00546849" w:rsidRDefault="00546849" w:rsidP="00F22625">
      <w:pPr>
        <w:spacing w:after="0" w:line="240" w:lineRule="auto"/>
        <w:ind w:firstLine="720"/>
        <w:jc w:val="both"/>
        <w:rPr>
          <w:rFonts w:asciiTheme="majorBidi" w:hAnsiTheme="majorBidi" w:cstheme="majorBidi"/>
          <w:bCs/>
        </w:rPr>
      </w:pPr>
      <w:r w:rsidRPr="00546849">
        <w:rPr>
          <w:rFonts w:asciiTheme="majorBidi" w:hAnsiTheme="majorBidi" w:cstheme="majorBidi"/>
          <w:bCs/>
        </w:rPr>
        <w:t>Poor female heads of families face a double burden, namely the responsibility to meet the economic needs of the family while ensuring children's education.</w:t>
      </w:r>
      <w:r>
        <w:rPr>
          <w:rStyle w:val="FootnoteReference"/>
          <w:rFonts w:asciiTheme="majorBidi" w:hAnsiTheme="majorBidi" w:cstheme="majorBidi"/>
          <w:bCs/>
        </w:rPr>
        <w:footnoteReference w:id="14"/>
      </w:r>
      <w:r w:rsidRPr="00546849">
        <w:rPr>
          <w:rFonts w:asciiTheme="majorBidi" w:hAnsiTheme="majorBidi" w:cstheme="majorBidi"/>
          <w:bCs/>
        </w:rPr>
        <w:t xml:space="preserve"> Limited resources force them to make priority decisions that tend to put boys first. As a result, girls become more vulnerable to dropping out of school or only receiving education at a lower level. In fact, girls are often required to help finance their brothers' education, either through domestic work or work outside the village, so that the cycle of subordination and gender inequality continues across generations</w:t>
      </w:r>
      <w:r w:rsidR="00B352B4" w:rsidRPr="00546849">
        <w:rPr>
          <w:rFonts w:asciiTheme="majorBidi" w:hAnsiTheme="majorBidi" w:cstheme="majorBidi"/>
          <w:bCs/>
        </w:rPr>
        <w:t>.</w:t>
      </w:r>
      <w:r w:rsidR="00916D50">
        <w:rPr>
          <w:rStyle w:val="FootnoteReference"/>
          <w:rFonts w:asciiTheme="majorBidi" w:hAnsiTheme="majorBidi" w:cstheme="majorBidi"/>
          <w:bCs/>
          <w:lang w:val="fi-FI"/>
        </w:rPr>
        <w:footnoteReference w:id="15"/>
      </w:r>
      <w:r w:rsidR="00F22625">
        <w:rPr>
          <w:rFonts w:asciiTheme="majorBidi" w:hAnsiTheme="majorBidi" w:cstheme="majorBidi"/>
          <w:bCs/>
        </w:rPr>
        <w:t xml:space="preserve"> </w:t>
      </w:r>
      <w:r w:rsidRPr="005A0C5B">
        <w:rPr>
          <w:rFonts w:asciiTheme="majorBidi" w:hAnsiTheme="majorBidi" w:cstheme="majorBidi"/>
          <w:bCs/>
        </w:rPr>
        <w:t>The vulnerability of girls' educational rights arises from the interaction of patriarchy and poverty. Inherent cultural norms, gender-biased family decisions, and economic pressures put girls at a disadvantage in determining educational priorities.</w:t>
      </w:r>
      <w:r>
        <w:rPr>
          <w:rStyle w:val="FootnoteReference"/>
          <w:rFonts w:asciiTheme="majorBidi" w:hAnsiTheme="majorBidi" w:cstheme="majorBidi"/>
          <w:bCs/>
        </w:rPr>
        <w:footnoteReference w:id="16"/>
      </w:r>
      <w:r w:rsidRPr="005A0C5B">
        <w:rPr>
          <w:rFonts w:asciiTheme="majorBidi" w:hAnsiTheme="majorBidi" w:cstheme="majorBidi"/>
          <w:bCs/>
        </w:rPr>
        <w:t xml:space="preserve"> In fact, national laws and policies, such as Law No. 20 of 2003 concerning the National Education System and Law No. 23 of 2002 concerning Child Protection, affirm equal educational rights for all children without discrimination, including girls, and oblige the government and society to ensure fair and equitable access to education.</w:t>
      </w:r>
      <w:r>
        <w:rPr>
          <w:rStyle w:val="FootnoteReference"/>
          <w:rFonts w:asciiTheme="majorBidi" w:hAnsiTheme="majorBidi" w:cstheme="majorBidi"/>
          <w:bCs/>
        </w:rPr>
        <w:footnoteReference w:id="17"/>
      </w:r>
      <w:r w:rsidRPr="005A0C5B">
        <w:rPr>
          <w:rFonts w:asciiTheme="majorBidi" w:hAnsiTheme="majorBidi" w:cstheme="majorBidi"/>
          <w:bCs/>
        </w:rPr>
        <w:t xml:space="preserve"> This condition shows that gender inequality in girls' education is not only a result of poverty, but is also reinforced by patriarchal social structures, customary law, and religious interpretations, creating a circle of subordination that is difficult to penetrate without simultaneous legal, social, and religious reforms.</w:t>
      </w:r>
      <w:r>
        <w:rPr>
          <w:rStyle w:val="FootnoteReference"/>
          <w:rFonts w:asciiTheme="majorBidi" w:hAnsiTheme="majorBidi" w:cstheme="majorBidi"/>
          <w:bCs/>
        </w:rPr>
        <w:footnoteReference w:id="18"/>
      </w:r>
    </w:p>
    <w:p w14:paraId="4E4F9D6F" w14:textId="77777777" w:rsidR="00546849" w:rsidRPr="005A0C5B" w:rsidRDefault="00546849" w:rsidP="00202C35">
      <w:pPr>
        <w:spacing w:after="0" w:line="240" w:lineRule="auto"/>
        <w:ind w:firstLine="720"/>
        <w:jc w:val="both"/>
        <w:rPr>
          <w:rFonts w:asciiTheme="majorBidi" w:hAnsiTheme="majorBidi" w:cstheme="majorBidi"/>
          <w:bCs/>
          <w:lang w:val="sv-SE"/>
        </w:rPr>
      </w:pPr>
      <w:r w:rsidRPr="00991113">
        <w:rPr>
          <w:rFonts w:asciiTheme="majorBidi" w:hAnsiTheme="majorBidi" w:cstheme="majorBidi"/>
          <w:bCs/>
        </w:rPr>
        <w:t xml:space="preserve">To find out the position of this research, it is necessary to put forward several relevant studies to trace the extent to which this research is needed and find its new position. These previous studies also serve as a comparative basis in analyzing the focus and contribution of this research. Some of the relevant studies in the context of this study are as follows. Najwa </w:t>
      </w:r>
      <w:proofErr w:type="spellStart"/>
      <w:r w:rsidRPr="00991113">
        <w:rPr>
          <w:rFonts w:asciiTheme="majorBidi" w:hAnsiTheme="majorBidi" w:cstheme="majorBidi"/>
          <w:bCs/>
        </w:rPr>
        <w:t>Qurrata'Ayun's</w:t>
      </w:r>
      <w:proofErr w:type="spellEnd"/>
      <w:r w:rsidRPr="00991113">
        <w:rPr>
          <w:rFonts w:asciiTheme="majorBidi" w:hAnsiTheme="majorBidi" w:cstheme="majorBidi"/>
          <w:bCs/>
        </w:rPr>
        <w:t xml:space="preserve"> </w:t>
      </w:r>
      <w:r w:rsidRPr="00991113">
        <w:rPr>
          <w:rFonts w:asciiTheme="majorBidi" w:hAnsiTheme="majorBidi" w:cstheme="majorBidi"/>
          <w:bCs/>
        </w:rPr>
        <w:lastRenderedPageBreak/>
        <w:t xml:space="preserve">research </w:t>
      </w:r>
      <w:r>
        <w:rPr>
          <w:rStyle w:val="FootnoteReference"/>
          <w:rFonts w:asciiTheme="majorBidi" w:hAnsiTheme="majorBidi" w:cstheme="majorBidi"/>
          <w:bCs/>
        </w:rPr>
        <w:footnoteReference w:id="19"/>
      </w:r>
      <w:r w:rsidRPr="005A0C5B">
        <w:rPr>
          <w:rFonts w:asciiTheme="majorBidi" w:hAnsiTheme="majorBidi" w:cstheme="majorBidi"/>
          <w:bCs/>
        </w:rPr>
        <w:t xml:space="preserve"> entitled </w:t>
      </w:r>
      <w:r w:rsidRPr="005A0C5B">
        <w:rPr>
          <w:rFonts w:asciiTheme="majorBidi" w:hAnsiTheme="majorBidi" w:cstheme="majorBidi"/>
          <w:bCs/>
          <w:i/>
          <w:iCs/>
        </w:rPr>
        <w:t>"Suing the Power of Patriarchy: Women's Rights in the Transformation Towards Gender Equality"</w:t>
      </w:r>
      <w:r w:rsidRPr="005A0C5B">
        <w:rPr>
          <w:rFonts w:asciiTheme="majorBidi" w:hAnsiTheme="majorBidi" w:cstheme="majorBidi"/>
          <w:bCs/>
        </w:rPr>
        <w:t xml:space="preserve"> shows that the position and role of women in society have changed in various fields, including politics, education, economy, family, and social and culture. The results of the study confirm that women are no longer completely marginalized by male dominance, and their existence is increasingly recognized as an important contribution in various aspects of life. In addition, this study emphasizes that the intelligence and expertise of Indonesian women make a real contribution to development, so that their existence cannot be underestimated. These findings are in line with the nature of women as social beings who have the right to express, express their opinions, and develop their potential freely. This study provides an optimistic picture of the transformation of women's positions, although the practice of gender inequality is still found in various social and cultural contexts.</w:t>
      </w:r>
    </w:p>
    <w:p w14:paraId="7D5E6763" w14:textId="77777777" w:rsidR="00546849" w:rsidRPr="005A0C5B" w:rsidRDefault="00546849" w:rsidP="006B64B0">
      <w:pPr>
        <w:spacing w:after="0" w:line="240" w:lineRule="auto"/>
        <w:ind w:firstLine="720"/>
        <w:jc w:val="both"/>
        <w:rPr>
          <w:rFonts w:asciiTheme="majorBidi" w:hAnsiTheme="majorBidi" w:cstheme="majorBidi"/>
          <w:bCs/>
          <w:lang w:val="sv-SE"/>
        </w:rPr>
      </w:pPr>
      <w:r w:rsidRPr="005A0C5B">
        <w:rPr>
          <w:rFonts w:asciiTheme="majorBidi" w:hAnsiTheme="majorBidi" w:cstheme="majorBidi"/>
          <w:bCs/>
        </w:rPr>
        <w:t>Meanwhile, Sridepi's research</w:t>
      </w:r>
      <w:r>
        <w:rPr>
          <w:rStyle w:val="FootnoteReference"/>
          <w:rFonts w:asciiTheme="majorBidi" w:hAnsiTheme="majorBidi" w:cstheme="majorBidi"/>
          <w:bCs/>
        </w:rPr>
        <w:footnoteReference w:id="20"/>
      </w:r>
      <w:r w:rsidRPr="005A0C5B">
        <w:rPr>
          <w:rFonts w:asciiTheme="majorBidi" w:hAnsiTheme="majorBidi" w:cstheme="majorBidi"/>
          <w:bCs/>
        </w:rPr>
        <w:t xml:space="preserve"> entitled </w:t>
      </w:r>
      <w:r w:rsidRPr="005A0C5B">
        <w:rPr>
          <w:rFonts w:asciiTheme="majorBidi" w:hAnsiTheme="majorBidi" w:cstheme="majorBidi"/>
          <w:bCs/>
          <w:i/>
          <w:iCs/>
        </w:rPr>
        <w:t>"Analysis of the Position of Women in Islamic Family Law: Perspective of Interpretation of Surah An-Nisa Verse 34 and Feminism Theory"</w:t>
      </w:r>
      <w:r w:rsidRPr="005A0C5B">
        <w:rPr>
          <w:rFonts w:asciiTheme="majorBidi" w:hAnsiTheme="majorBidi" w:cstheme="majorBidi"/>
          <w:bCs/>
        </w:rPr>
        <w:t xml:space="preserve"> emphasizes that Surah An-Nisa verse 34 can be understood in a more egalitarian way if interpreted in a developing social context, without ruling out sharia principles. The findings of this study show that the integration between Qur'anic interpretation and feminist theory allows for the formation of a more just, inclusive, and responsive understanding of Islamic family law issues in the contemporary era.</w:t>
      </w:r>
    </w:p>
    <w:p w14:paraId="0DD5333A" w14:textId="77777777" w:rsidR="00546849" w:rsidRPr="005A0C5B" w:rsidRDefault="00546849" w:rsidP="006555D1">
      <w:pPr>
        <w:spacing w:after="0" w:line="240" w:lineRule="auto"/>
        <w:ind w:firstLine="720"/>
        <w:jc w:val="both"/>
        <w:rPr>
          <w:rFonts w:asciiTheme="majorBidi" w:hAnsiTheme="majorBidi" w:cstheme="majorBidi"/>
          <w:bCs/>
          <w:lang w:val="sv-SE"/>
        </w:rPr>
      </w:pPr>
      <w:r w:rsidRPr="005A0C5B">
        <w:rPr>
          <w:rFonts w:asciiTheme="majorBidi" w:hAnsiTheme="majorBidi" w:cstheme="majorBidi"/>
          <w:bCs/>
        </w:rPr>
        <w:t xml:space="preserve">In addition, </w:t>
      </w:r>
      <w:proofErr w:type="spellStart"/>
      <w:r w:rsidRPr="005A0C5B">
        <w:rPr>
          <w:rFonts w:asciiTheme="majorBidi" w:hAnsiTheme="majorBidi" w:cstheme="majorBidi"/>
          <w:bCs/>
        </w:rPr>
        <w:t>Nursattini's</w:t>
      </w:r>
      <w:proofErr w:type="spellEnd"/>
      <w:r w:rsidRPr="005A0C5B">
        <w:rPr>
          <w:rFonts w:asciiTheme="majorBidi" w:hAnsiTheme="majorBidi" w:cstheme="majorBidi"/>
          <w:bCs/>
        </w:rPr>
        <w:t xml:space="preserve"> research</w:t>
      </w:r>
      <w:r>
        <w:rPr>
          <w:rStyle w:val="FootnoteReference"/>
          <w:rFonts w:asciiTheme="majorBidi" w:hAnsiTheme="majorBidi" w:cstheme="majorBidi"/>
          <w:bCs/>
        </w:rPr>
        <w:footnoteReference w:id="21"/>
      </w:r>
      <w:r w:rsidRPr="005A0C5B">
        <w:rPr>
          <w:rFonts w:asciiTheme="majorBidi" w:hAnsiTheme="majorBidi" w:cstheme="majorBidi"/>
          <w:bCs/>
        </w:rPr>
        <w:t xml:space="preserve"> entitled </w:t>
      </w:r>
      <w:r w:rsidRPr="005A0C5B">
        <w:rPr>
          <w:rFonts w:asciiTheme="majorBidi" w:hAnsiTheme="majorBidi" w:cstheme="majorBidi"/>
          <w:bCs/>
          <w:i/>
          <w:iCs/>
        </w:rPr>
        <w:t>"Patriarchal Culture and Women's Access to Education"</w:t>
      </w:r>
      <w:r w:rsidRPr="005A0C5B">
        <w:rPr>
          <w:rFonts w:asciiTheme="majorBidi" w:hAnsiTheme="majorBidi" w:cstheme="majorBidi"/>
          <w:bCs/>
        </w:rPr>
        <w:t xml:space="preserve"> shows that the patriarchal culture inherent in society tends to prioritize boys' education, so that women's access to education is often hampered by prevailing norms and cultures. This is reflected in the data on the percentage of literacy, namely 83.42% for women and 91.86% for men, as well as the Human Development Index which shows 68.63 for women and 75.43 for men. These findings confirm the low participation of women, especially at the higher education level, which is contrary to the national education goal that affirms that all citizens have the same right to education regardless of gender.</w:t>
      </w:r>
    </w:p>
    <w:p w14:paraId="735D6BCB" w14:textId="77777777" w:rsidR="00546849" w:rsidRPr="005A0C5B" w:rsidRDefault="00546849" w:rsidP="00C8753F">
      <w:pPr>
        <w:spacing w:after="0" w:line="240" w:lineRule="auto"/>
        <w:ind w:firstLine="720"/>
        <w:jc w:val="both"/>
        <w:rPr>
          <w:rFonts w:asciiTheme="majorBidi" w:hAnsiTheme="majorBidi" w:cstheme="majorBidi"/>
          <w:bCs/>
          <w:lang w:val="sv-SE"/>
        </w:rPr>
      </w:pPr>
      <w:r w:rsidRPr="005A0C5B">
        <w:rPr>
          <w:rFonts w:asciiTheme="majorBidi" w:hAnsiTheme="majorBidi" w:cstheme="majorBidi"/>
          <w:bCs/>
        </w:rPr>
        <w:t xml:space="preserve">Based on previous research reviews, there are several prominent similarities in the context of gender inequality and women's rights. The research of Najwa </w:t>
      </w:r>
      <w:proofErr w:type="spellStart"/>
      <w:r w:rsidRPr="005A0C5B">
        <w:rPr>
          <w:rFonts w:asciiTheme="majorBidi" w:hAnsiTheme="majorBidi" w:cstheme="majorBidi"/>
          <w:bCs/>
        </w:rPr>
        <w:t>Qurrata'Ayun</w:t>
      </w:r>
      <w:proofErr w:type="spellEnd"/>
      <w:r w:rsidRPr="005A0C5B">
        <w:rPr>
          <w:rFonts w:asciiTheme="majorBidi" w:hAnsiTheme="majorBidi" w:cstheme="majorBidi"/>
          <w:bCs/>
        </w:rPr>
        <w:t xml:space="preserve">, Sridepi, and </w:t>
      </w:r>
      <w:proofErr w:type="spellStart"/>
      <w:r w:rsidRPr="005A0C5B">
        <w:rPr>
          <w:rFonts w:asciiTheme="majorBidi" w:hAnsiTheme="majorBidi" w:cstheme="majorBidi"/>
          <w:bCs/>
        </w:rPr>
        <w:t>Nursaptini</w:t>
      </w:r>
      <w:proofErr w:type="spellEnd"/>
      <w:r w:rsidRPr="005A0C5B">
        <w:rPr>
          <w:rFonts w:asciiTheme="majorBidi" w:hAnsiTheme="majorBidi" w:cstheme="majorBidi"/>
          <w:bCs/>
        </w:rPr>
        <w:t xml:space="preserve"> both highlights the subordination of women in various spheres of life, both in politics, economy, education, family, and social and cultural norms. Third, the study emphasizes that women experience limited rights due to patriarchal structures, both through social domination, legal norms, and gender-biased interpretations of religion. In addition, the three studies both highlight the importance of awareness of reform, both through recognition of women's contributions, egalitarian reinterpretation of Islamic law, and efforts to improve access to education to reduce gender inequality.</w:t>
      </w:r>
    </w:p>
    <w:p w14:paraId="3E16B159" w14:textId="77777777" w:rsidR="00546849" w:rsidRPr="00546849" w:rsidRDefault="00546849" w:rsidP="00833CF8">
      <w:pPr>
        <w:spacing w:after="0" w:line="240" w:lineRule="auto"/>
        <w:ind w:firstLine="720"/>
        <w:jc w:val="both"/>
        <w:rPr>
          <w:rFonts w:asciiTheme="majorBidi" w:hAnsiTheme="majorBidi" w:cstheme="majorBidi"/>
          <w:bCs/>
        </w:rPr>
      </w:pPr>
      <w:r w:rsidRPr="000355AC">
        <w:rPr>
          <w:rFonts w:asciiTheme="majorBidi" w:hAnsiTheme="majorBidi" w:cstheme="majorBidi"/>
          <w:bCs/>
        </w:rPr>
        <w:t xml:space="preserve">On the other hand, there are fundamental differences between these studies. Najwa </w:t>
      </w:r>
      <w:proofErr w:type="spellStart"/>
      <w:r w:rsidRPr="000355AC">
        <w:rPr>
          <w:rFonts w:asciiTheme="majorBidi" w:hAnsiTheme="majorBidi" w:cstheme="majorBidi"/>
          <w:bCs/>
        </w:rPr>
        <w:t>Qurrata'Ayun's</w:t>
      </w:r>
      <w:proofErr w:type="spellEnd"/>
      <w:r w:rsidRPr="000355AC">
        <w:rPr>
          <w:rFonts w:asciiTheme="majorBidi" w:hAnsiTheme="majorBidi" w:cstheme="majorBidi"/>
          <w:bCs/>
        </w:rPr>
        <w:t xml:space="preserve"> research emphasizes women's social transformation broadly, focusing on changing the position of women in modern society, while </w:t>
      </w:r>
      <w:proofErr w:type="spellStart"/>
      <w:r w:rsidRPr="000355AC">
        <w:rPr>
          <w:rFonts w:asciiTheme="majorBidi" w:hAnsiTheme="majorBidi" w:cstheme="majorBidi"/>
          <w:bCs/>
        </w:rPr>
        <w:t>Sridepi's</w:t>
      </w:r>
      <w:proofErr w:type="spellEnd"/>
      <w:r w:rsidRPr="000355AC">
        <w:rPr>
          <w:rFonts w:asciiTheme="majorBidi" w:hAnsiTheme="majorBidi" w:cstheme="majorBidi"/>
          <w:bCs/>
        </w:rPr>
        <w:t xml:space="preserve"> research focuses on Qur'an interpretation and Islamic feminism perspectives to build a fairer understanding of family law. Meanwhile, </w:t>
      </w:r>
      <w:proofErr w:type="spellStart"/>
      <w:r w:rsidRPr="000355AC">
        <w:rPr>
          <w:rFonts w:asciiTheme="majorBidi" w:hAnsiTheme="majorBidi" w:cstheme="majorBidi"/>
          <w:bCs/>
        </w:rPr>
        <w:t>Nursattini's</w:t>
      </w:r>
      <w:proofErr w:type="spellEnd"/>
      <w:r w:rsidRPr="000355AC">
        <w:rPr>
          <w:rFonts w:asciiTheme="majorBidi" w:hAnsiTheme="majorBidi" w:cstheme="majorBidi"/>
          <w:bCs/>
        </w:rPr>
        <w:t xml:space="preserve"> research focuses on the impact of patriarchal culture on women's access to education, </w:t>
      </w:r>
      <w:r w:rsidRPr="000355AC">
        <w:rPr>
          <w:rFonts w:asciiTheme="majorBidi" w:hAnsiTheme="majorBidi" w:cstheme="majorBidi"/>
          <w:bCs/>
        </w:rPr>
        <w:lastRenderedPageBreak/>
        <w:t xml:space="preserve">complemented by empirical data on literacy and the Human Development Index. These differences show a variety of approaches: Najwa </w:t>
      </w:r>
      <w:proofErr w:type="spellStart"/>
      <w:r w:rsidRPr="000355AC">
        <w:rPr>
          <w:rFonts w:asciiTheme="majorBidi" w:hAnsiTheme="majorBidi" w:cstheme="majorBidi"/>
          <w:bCs/>
        </w:rPr>
        <w:t>Qurrata'Ayun</w:t>
      </w:r>
      <w:proofErr w:type="spellEnd"/>
      <w:r w:rsidRPr="000355AC">
        <w:rPr>
          <w:rFonts w:asciiTheme="majorBidi" w:hAnsiTheme="majorBidi" w:cstheme="majorBidi"/>
          <w:bCs/>
        </w:rPr>
        <w:t xml:space="preserve"> uses a socio-cultural perspective, </w:t>
      </w:r>
      <w:proofErr w:type="spellStart"/>
      <w:r w:rsidRPr="000355AC">
        <w:rPr>
          <w:rFonts w:asciiTheme="majorBidi" w:hAnsiTheme="majorBidi" w:cstheme="majorBidi"/>
          <w:bCs/>
        </w:rPr>
        <w:t>Sridepi</w:t>
      </w:r>
      <w:proofErr w:type="spellEnd"/>
      <w:r w:rsidRPr="000355AC">
        <w:rPr>
          <w:rFonts w:asciiTheme="majorBidi" w:hAnsiTheme="majorBidi" w:cstheme="majorBidi"/>
          <w:bCs/>
        </w:rPr>
        <w:t xml:space="preserve"> uses a critical analysis of law-theology, and </w:t>
      </w:r>
      <w:proofErr w:type="spellStart"/>
      <w:r w:rsidRPr="000355AC">
        <w:rPr>
          <w:rFonts w:asciiTheme="majorBidi" w:hAnsiTheme="majorBidi" w:cstheme="majorBidi"/>
          <w:bCs/>
        </w:rPr>
        <w:t>Nursaptini</w:t>
      </w:r>
      <w:proofErr w:type="spellEnd"/>
      <w:r w:rsidRPr="000355AC">
        <w:rPr>
          <w:rFonts w:asciiTheme="majorBidi" w:hAnsiTheme="majorBidi" w:cstheme="majorBidi"/>
          <w:bCs/>
        </w:rPr>
        <w:t xml:space="preserve"> emphasizes the empirical dimension of education in a patriarchal context.</w:t>
      </w:r>
    </w:p>
    <w:p w14:paraId="7998230B" w14:textId="77777777" w:rsidR="00546849" w:rsidRPr="000355AC" w:rsidRDefault="00546849" w:rsidP="007A482E">
      <w:pPr>
        <w:spacing w:after="0" w:line="240" w:lineRule="auto"/>
        <w:ind w:firstLine="720"/>
        <w:jc w:val="both"/>
        <w:rPr>
          <w:rFonts w:asciiTheme="majorBidi" w:hAnsiTheme="majorBidi" w:cstheme="majorBidi"/>
          <w:bCs/>
          <w:lang w:val="sv-SE"/>
        </w:rPr>
      </w:pPr>
      <w:r w:rsidRPr="00546849">
        <w:rPr>
          <w:rFonts w:asciiTheme="majorBidi" w:hAnsiTheme="majorBidi" w:cstheme="majorBidi"/>
          <w:bCs/>
        </w:rPr>
        <w:t>The novelty or novelty of this research lies in the multidisciplinary integration between legal sociology and Islamic feminism in analyzing the phenomenon of patriarchy, poverty, and vulnerability to the educational rights of girls in the Pekka Kalak Papak family. This approach allows research to look at gender inequality simultaneously from the legal, social, and religious dimensions. Max Weber's Legal Sociology Perspective is used to understand how legal structures, social norms, and the legitimacy of power in society affect the position of women, particularly the head of the family, as well as how customary law and social institutions shape women's hierarchy and subordination. Meanwhile, the perspective of Islamic Feminism by Amina Wadud is applied to examine how egalitarian interpretations of the Qur'an can challenge patriarchal practices that limit women's rights, including girls' access to education.</w:t>
      </w:r>
    </w:p>
    <w:p w14:paraId="57056159" w14:textId="77777777" w:rsidR="00546849" w:rsidRPr="00991113" w:rsidRDefault="00546849" w:rsidP="00F93B1E">
      <w:pPr>
        <w:spacing w:after="0" w:line="240" w:lineRule="auto"/>
        <w:ind w:firstLine="720"/>
        <w:jc w:val="both"/>
        <w:rPr>
          <w:rFonts w:asciiTheme="majorBidi" w:hAnsiTheme="majorBidi" w:cstheme="majorBidi"/>
          <w:bCs/>
          <w:lang w:val="sv-SE"/>
        </w:rPr>
      </w:pPr>
      <w:r w:rsidRPr="000355AC">
        <w:rPr>
          <w:rFonts w:asciiTheme="majorBidi" w:hAnsiTheme="majorBidi" w:cstheme="majorBidi"/>
          <w:bCs/>
        </w:rPr>
        <w:t xml:space="preserve">This research highlights a very specific local context, namely women heads of families in poor Batak </w:t>
      </w:r>
      <w:proofErr w:type="spellStart"/>
      <w:r w:rsidRPr="000355AC">
        <w:rPr>
          <w:rFonts w:asciiTheme="majorBidi" w:hAnsiTheme="majorBidi" w:cstheme="majorBidi"/>
          <w:bCs/>
        </w:rPr>
        <w:t>Pakpak</w:t>
      </w:r>
      <w:proofErr w:type="spellEnd"/>
      <w:r w:rsidRPr="000355AC">
        <w:rPr>
          <w:rFonts w:asciiTheme="majorBidi" w:hAnsiTheme="majorBidi" w:cstheme="majorBidi"/>
          <w:bCs/>
        </w:rPr>
        <w:t xml:space="preserve"> communities, thus providing a new dimension of how customary law, social structure, and religious interpretations simultaneously affect girls' access to education. In addition, the focus on poor Pekka families allows this study to concretely illustrate how patriarchal economic and cultural vulnerability reinforces gender inequality in education, as well as demonstrating the relevance of multidisciplinary approaches that have rarely been analyzed in an integrated manner in previous studies. Thus, this research not only provides a theoretical understanding of women's subordination, but also presents practical implications for women's education and empowerment policies in patriarchal and poor societies.</w:t>
      </w:r>
    </w:p>
    <w:p w14:paraId="504C1476" w14:textId="77777777" w:rsidR="00546849" w:rsidRPr="005A0C5B" w:rsidRDefault="00546849" w:rsidP="00A64806">
      <w:pPr>
        <w:spacing w:after="0" w:line="240" w:lineRule="auto"/>
        <w:jc w:val="both"/>
        <w:rPr>
          <w:rFonts w:asciiTheme="majorBidi" w:hAnsiTheme="majorBidi" w:cstheme="majorBidi"/>
          <w:b/>
          <w:lang w:val="sv-SE"/>
        </w:rPr>
      </w:pPr>
      <w:r w:rsidRPr="005A0C5B">
        <w:rPr>
          <w:rFonts w:asciiTheme="majorBidi" w:hAnsiTheme="majorBidi" w:cstheme="majorBidi"/>
          <w:b/>
        </w:rPr>
        <w:t xml:space="preserve">Method </w:t>
      </w:r>
    </w:p>
    <w:p w14:paraId="5F9B59B6" w14:textId="77777777" w:rsidR="00546849" w:rsidRPr="00546849" w:rsidRDefault="00546849" w:rsidP="00B418FB">
      <w:pPr>
        <w:spacing w:after="0" w:line="240" w:lineRule="auto"/>
        <w:ind w:firstLine="720"/>
        <w:jc w:val="both"/>
        <w:rPr>
          <w:rFonts w:asciiTheme="majorBidi" w:hAnsiTheme="majorBidi" w:cstheme="majorBidi"/>
          <w:bCs/>
        </w:rPr>
      </w:pPr>
      <w:r w:rsidRPr="005A0C5B">
        <w:rPr>
          <w:rFonts w:asciiTheme="majorBidi" w:hAnsiTheme="majorBidi" w:cstheme="majorBidi"/>
          <w:bCs/>
        </w:rPr>
        <w:t>This study uses a qualitative approach</w:t>
      </w:r>
      <w:r>
        <w:rPr>
          <w:rStyle w:val="FootnoteReference"/>
          <w:rFonts w:asciiTheme="majorBidi" w:hAnsiTheme="majorBidi" w:cstheme="majorBidi"/>
          <w:bCs/>
        </w:rPr>
        <w:footnoteReference w:id="22"/>
      </w:r>
      <w:r w:rsidRPr="005A0C5B">
        <w:rPr>
          <w:rFonts w:asciiTheme="majorBidi" w:hAnsiTheme="majorBidi" w:cstheme="majorBidi"/>
          <w:bCs/>
        </w:rPr>
        <w:t xml:space="preserve"> with the perspective of the Legal Sociology of Max Weber and Islamic feminism by Amina Wadud, with data collection techniques in the form</w:t>
      </w:r>
      <w:r w:rsidRPr="005A0C5B">
        <w:rPr>
          <w:rFonts w:asciiTheme="majorBidi" w:hAnsiTheme="majorBidi" w:cstheme="majorBidi"/>
          <w:bCs/>
          <w:i/>
          <w:iCs/>
        </w:rPr>
        <w:t xml:space="preserve"> of life stories</w:t>
      </w:r>
      <w:r w:rsidRPr="005A0C5B">
        <w:rPr>
          <w:rFonts w:asciiTheme="majorBidi" w:hAnsiTheme="majorBidi" w:cstheme="majorBidi"/>
          <w:bCs/>
        </w:rPr>
        <w:t xml:space="preserve"> of seven girls who dropped out of school and worked in the marginalized sector.</w:t>
      </w:r>
      <w:r>
        <w:rPr>
          <w:rStyle w:val="FootnoteReference"/>
          <w:rFonts w:asciiTheme="majorBidi" w:hAnsiTheme="majorBidi" w:cstheme="majorBidi"/>
          <w:bCs/>
        </w:rPr>
        <w:footnoteReference w:id="23"/>
      </w:r>
      <w:r w:rsidRPr="005A0C5B">
        <w:rPr>
          <w:rFonts w:asciiTheme="majorBidi" w:hAnsiTheme="majorBidi" w:cstheme="majorBidi"/>
          <w:bCs/>
        </w:rPr>
        <w:t xml:space="preserve"> This study aims to examine the vulnerability of girls' rights to access education through perceived life experiences, with the research stages being carried out from January to October 2025.</w:t>
      </w:r>
      <w:r>
        <w:rPr>
          <w:rStyle w:val="FootnoteReference"/>
          <w:rFonts w:asciiTheme="majorBidi" w:hAnsiTheme="majorBidi" w:cstheme="majorBidi"/>
          <w:bCs/>
        </w:rPr>
        <w:footnoteReference w:id="24"/>
      </w:r>
      <w:r w:rsidRPr="005A0C5B">
        <w:rPr>
          <w:rFonts w:asciiTheme="majorBidi" w:hAnsiTheme="majorBidi" w:cstheme="majorBidi"/>
          <w:bCs/>
        </w:rPr>
        <w:t xml:space="preserve"> The research method adopts a feminist qualitative approach,</w:t>
      </w:r>
      <w:r>
        <w:rPr>
          <w:rStyle w:val="FootnoteReference"/>
          <w:rFonts w:asciiTheme="majorBidi" w:hAnsiTheme="majorBidi" w:cstheme="majorBidi"/>
          <w:bCs/>
        </w:rPr>
        <w:footnoteReference w:id="25"/>
      </w:r>
      <w:r w:rsidRPr="005A0C5B">
        <w:rPr>
          <w:rFonts w:asciiTheme="majorBidi" w:hAnsiTheme="majorBidi" w:cstheme="majorBidi"/>
          <w:bCs/>
        </w:rPr>
        <w:t xml:space="preserve"> which emphasizes the importance of elevating women's life experiences and their voices from various cultural, religious, regional, racial, ethnic, national, and gender dimensions.</w:t>
      </w:r>
      <w:r>
        <w:rPr>
          <w:rStyle w:val="FootnoteReference"/>
          <w:rFonts w:asciiTheme="majorBidi" w:hAnsiTheme="majorBidi" w:cstheme="majorBidi"/>
          <w:bCs/>
        </w:rPr>
        <w:footnoteReference w:id="26"/>
      </w:r>
      <w:r w:rsidRPr="005A0C5B">
        <w:rPr>
          <w:rFonts w:asciiTheme="majorBidi" w:hAnsiTheme="majorBidi" w:cstheme="majorBidi"/>
          <w:bCs/>
        </w:rPr>
        <w:t xml:space="preserve"> Feminist studies aim to enrich knowledge about women's lives through diverse perspectives, so that the life experiences and voices of Kalak </w:t>
      </w:r>
      <w:proofErr w:type="spellStart"/>
      <w:r w:rsidRPr="005A0C5B">
        <w:rPr>
          <w:rFonts w:asciiTheme="majorBidi" w:hAnsiTheme="majorBidi" w:cstheme="majorBidi"/>
          <w:bCs/>
        </w:rPr>
        <w:t>Pakpak</w:t>
      </w:r>
      <w:proofErr w:type="spellEnd"/>
      <w:r w:rsidRPr="005A0C5B">
        <w:rPr>
          <w:rFonts w:asciiTheme="majorBidi" w:hAnsiTheme="majorBidi" w:cstheme="majorBidi"/>
          <w:bCs/>
        </w:rPr>
        <w:t xml:space="preserve"> girls are also part of the diversity of women's life experiences more broadly, as well as the </w:t>
      </w:r>
      <w:r w:rsidRPr="005A0C5B">
        <w:rPr>
          <w:rFonts w:asciiTheme="majorBidi" w:hAnsiTheme="majorBidi" w:cstheme="majorBidi"/>
          <w:bCs/>
        </w:rPr>
        <w:lastRenderedPageBreak/>
        <w:t>experiences of women from other races, cultures, and regions.</w:t>
      </w:r>
      <w:r>
        <w:rPr>
          <w:rStyle w:val="FootnoteReference"/>
          <w:rFonts w:asciiTheme="majorBidi" w:hAnsiTheme="majorBidi" w:cstheme="majorBidi"/>
          <w:bCs/>
        </w:rPr>
        <w:footnoteReference w:id="27"/>
      </w:r>
      <w:r w:rsidRPr="00991113">
        <w:rPr>
          <w:rFonts w:asciiTheme="majorBidi" w:hAnsiTheme="majorBidi" w:cstheme="majorBidi"/>
          <w:bCs/>
        </w:rPr>
        <w:t xml:space="preserve"> The research was conducted in </w:t>
      </w:r>
      <w:proofErr w:type="spellStart"/>
      <w:r w:rsidRPr="00991113">
        <w:rPr>
          <w:rFonts w:asciiTheme="majorBidi" w:hAnsiTheme="majorBidi" w:cstheme="majorBidi"/>
          <w:bCs/>
        </w:rPr>
        <w:t>Pegagan</w:t>
      </w:r>
      <w:proofErr w:type="spellEnd"/>
      <w:r w:rsidRPr="00991113">
        <w:rPr>
          <w:rFonts w:asciiTheme="majorBidi" w:hAnsiTheme="majorBidi" w:cstheme="majorBidi"/>
          <w:bCs/>
        </w:rPr>
        <w:t xml:space="preserve"> Julu VIII, which represents the </w:t>
      </w:r>
      <w:proofErr w:type="spellStart"/>
      <w:r w:rsidRPr="00991113">
        <w:rPr>
          <w:rFonts w:asciiTheme="majorBidi" w:hAnsiTheme="majorBidi" w:cstheme="majorBidi"/>
          <w:bCs/>
        </w:rPr>
        <w:t>Pakpak</w:t>
      </w:r>
      <w:proofErr w:type="spellEnd"/>
      <w:r w:rsidRPr="00991113">
        <w:rPr>
          <w:rFonts w:asciiTheme="majorBidi" w:hAnsiTheme="majorBidi" w:cstheme="majorBidi"/>
          <w:bCs/>
        </w:rPr>
        <w:t xml:space="preserve"> </w:t>
      </w:r>
      <w:proofErr w:type="spellStart"/>
      <w:r w:rsidRPr="00991113">
        <w:rPr>
          <w:rFonts w:asciiTheme="majorBidi" w:hAnsiTheme="majorBidi" w:cstheme="majorBidi"/>
          <w:bCs/>
        </w:rPr>
        <w:t>Pegagan</w:t>
      </w:r>
      <w:proofErr w:type="spellEnd"/>
      <w:r w:rsidRPr="00991113">
        <w:rPr>
          <w:rFonts w:asciiTheme="majorBidi" w:hAnsiTheme="majorBidi" w:cstheme="majorBidi"/>
          <w:bCs/>
        </w:rPr>
        <w:t xml:space="preserve"> </w:t>
      </w:r>
      <w:proofErr w:type="spellStart"/>
      <w:r w:rsidRPr="00991113">
        <w:rPr>
          <w:rFonts w:asciiTheme="majorBidi" w:hAnsiTheme="majorBidi" w:cstheme="majorBidi"/>
          <w:bCs/>
        </w:rPr>
        <w:t>suak</w:t>
      </w:r>
      <w:proofErr w:type="spellEnd"/>
      <w:r w:rsidRPr="00991113">
        <w:rPr>
          <w:rFonts w:asciiTheme="majorBidi" w:hAnsiTheme="majorBidi" w:cstheme="majorBidi"/>
          <w:bCs/>
        </w:rPr>
        <w:t xml:space="preserve"> area. The selection of this location was based on the consideration that the area was the original residence of the </w:t>
      </w:r>
      <w:proofErr w:type="spellStart"/>
      <w:r w:rsidRPr="00991113">
        <w:rPr>
          <w:rFonts w:asciiTheme="majorBidi" w:hAnsiTheme="majorBidi" w:cstheme="majorBidi"/>
          <w:bCs/>
        </w:rPr>
        <w:t>Pakpak</w:t>
      </w:r>
      <w:proofErr w:type="spellEnd"/>
      <w:r w:rsidRPr="00991113">
        <w:rPr>
          <w:rFonts w:asciiTheme="majorBidi" w:hAnsiTheme="majorBidi" w:cstheme="majorBidi"/>
          <w:bCs/>
        </w:rPr>
        <w:t xml:space="preserve"> </w:t>
      </w:r>
      <w:proofErr w:type="spellStart"/>
      <w:r w:rsidRPr="00991113">
        <w:rPr>
          <w:rFonts w:asciiTheme="majorBidi" w:hAnsiTheme="majorBidi" w:cstheme="majorBidi"/>
          <w:bCs/>
        </w:rPr>
        <w:t>kalak</w:t>
      </w:r>
      <w:proofErr w:type="spellEnd"/>
      <w:r w:rsidRPr="00991113">
        <w:rPr>
          <w:rFonts w:asciiTheme="majorBidi" w:hAnsiTheme="majorBidi" w:cstheme="majorBidi"/>
          <w:bCs/>
        </w:rPr>
        <w:t xml:space="preserve"> from the </w:t>
      </w:r>
      <w:proofErr w:type="spellStart"/>
      <w:r w:rsidRPr="00991113">
        <w:rPr>
          <w:rFonts w:asciiTheme="majorBidi" w:hAnsiTheme="majorBidi" w:cstheme="majorBidi"/>
          <w:bCs/>
        </w:rPr>
        <w:t>Pegagan</w:t>
      </w:r>
      <w:proofErr w:type="spellEnd"/>
      <w:r w:rsidRPr="00991113">
        <w:rPr>
          <w:rFonts w:asciiTheme="majorBidi" w:hAnsiTheme="majorBidi" w:cstheme="majorBidi"/>
          <w:bCs/>
        </w:rPr>
        <w:t xml:space="preserve"> </w:t>
      </w:r>
      <w:proofErr w:type="spellStart"/>
      <w:r w:rsidRPr="00991113">
        <w:rPr>
          <w:rFonts w:asciiTheme="majorBidi" w:hAnsiTheme="majorBidi" w:cstheme="majorBidi"/>
          <w:bCs/>
        </w:rPr>
        <w:t>suak</w:t>
      </w:r>
      <w:proofErr w:type="spellEnd"/>
      <w:r w:rsidRPr="00991113">
        <w:rPr>
          <w:rFonts w:asciiTheme="majorBidi" w:hAnsiTheme="majorBidi" w:cstheme="majorBidi"/>
          <w:bCs/>
        </w:rPr>
        <w:t>.</w:t>
      </w:r>
      <w:r>
        <w:rPr>
          <w:rStyle w:val="FootnoteReference"/>
          <w:rFonts w:asciiTheme="majorBidi" w:hAnsiTheme="majorBidi" w:cstheme="majorBidi"/>
          <w:bCs/>
        </w:rPr>
        <w:footnoteReference w:id="28"/>
      </w:r>
      <w:r w:rsidRPr="00BA26B9">
        <w:rPr>
          <w:rFonts w:asciiTheme="majorBidi" w:hAnsiTheme="majorBidi" w:cstheme="majorBidi"/>
          <w:bCs/>
        </w:rPr>
        <w:t xml:space="preserve"> The presence of </w:t>
      </w:r>
      <w:proofErr w:type="spellStart"/>
      <w:r w:rsidRPr="00BA26B9">
        <w:rPr>
          <w:rFonts w:asciiTheme="majorBidi" w:hAnsiTheme="majorBidi" w:cstheme="majorBidi"/>
          <w:bCs/>
        </w:rPr>
        <w:t>Pakpak</w:t>
      </w:r>
      <w:proofErr w:type="spellEnd"/>
      <w:r w:rsidRPr="00BA26B9">
        <w:rPr>
          <w:rFonts w:asciiTheme="majorBidi" w:hAnsiTheme="majorBidi" w:cstheme="majorBidi"/>
          <w:bCs/>
        </w:rPr>
        <w:t xml:space="preserve"> </w:t>
      </w:r>
      <w:proofErr w:type="spellStart"/>
      <w:r w:rsidRPr="00BA26B9">
        <w:rPr>
          <w:rFonts w:asciiTheme="majorBidi" w:hAnsiTheme="majorBidi" w:cstheme="majorBidi"/>
          <w:bCs/>
        </w:rPr>
        <w:t>kalak</w:t>
      </w:r>
      <w:proofErr w:type="spellEnd"/>
      <w:r w:rsidRPr="00BA26B9">
        <w:rPr>
          <w:rFonts w:asciiTheme="majorBidi" w:hAnsiTheme="majorBidi" w:cstheme="majorBidi"/>
          <w:bCs/>
        </w:rPr>
        <w:t xml:space="preserve"> in this area is represented through the tribal traditional church institution GKPPD (</w:t>
      </w:r>
      <w:proofErr w:type="spellStart"/>
      <w:r w:rsidRPr="00BA26B9">
        <w:rPr>
          <w:rFonts w:asciiTheme="majorBidi" w:hAnsiTheme="majorBidi" w:cstheme="majorBidi"/>
          <w:bCs/>
        </w:rPr>
        <w:t>Pakpak</w:t>
      </w:r>
      <w:proofErr w:type="spellEnd"/>
      <w:r w:rsidRPr="00BA26B9">
        <w:rPr>
          <w:rFonts w:asciiTheme="majorBidi" w:hAnsiTheme="majorBidi" w:cstheme="majorBidi"/>
          <w:bCs/>
        </w:rPr>
        <w:t xml:space="preserve"> Dairi Protestant Christian Church) and the </w:t>
      </w:r>
      <w:proofErr w:type="spellStart"/>
      <w:r w:rsidRPr="00BA26B9">
        <w:rPr>
          <w:rFonts w:asciiTheme="majorBidi" w:hAnsiTheme="majorBidi" w:cstheme="majorBidi"/>
          <w:bCs/>
        </w:rPr>
        <w:t>sulangsilima</w:t>
      </w:r>
      <w:proofErr w:type="spellEnd"/>
      <w:r w:rsidRPr="00BA26B9">
        <w:rPr>
          <w:rFonts w:asciiTheme="majorBidi" w:hAnsiTheme="majorBidi" w:cstheme="majorBidi"/>
          <w:bCs/>
        </w:rPr>
        <w:t xml:space="preserve"> traditional institution, which is the entrance to the research to obtain informants, both girls who have dropped out of school and female heads of families or poor </w:t>
      </w:r>
      <w:proofErr w:type="spellStart"/>
      <w:r w:rsidRPr="00BA26B9">
        <w:rPr>
          <w:rFonts w:asciiTheme="majorBidi" w:hAnsiTheme="majorBidi" w:cstheme="majorBidi"/>
          <w:bCs/>
        </w:rPr>
        <w:t>pekka</w:t>
      </w:r>
      <w:proofErr w:type="spellEnd"/>
      <w:r w:rsidRPr="00BA26B9">
        <w:rPr>
          <w:rFonts w:asciiTheme="majorBidi" w:hAnsiTheme="majorBidi" w:cstheme="majorBidi"/>
          <w:bCs/>
        </w:rPr>
        <w:t xml:space="preserve"> widows.</w:t>
      </w:r>
      <w:r>
        <w:rPr>
          <w:rStyle w:val="FootnoteReference"/>
          <w:rFonts w:asciiTheme="majorBidi" w:hAnsiTheme="majorBidi" w:cstheme="majorBidi"/>
          <w:bCs/>
        </w:rPr>
        <w:footnoteReference w:id="29"/>
      </w:r>
      <w:r w:rsidRPr="00991113">
        <w:rPr>
          <w:rFonts w:asciiTheme="majorBidi" w:hAnsiTheme="majorBidi" w:cstheme="majorBidi"/>
          <w:bCs/>
        </w:rPr>
        <w:t xml:space="preserve"> Based on rural administration data, there are 30 poor families headed by widowed women (</w:t>
      </w:r>
      <w:proofErr w:type="spellStart"/>
      <w:r w:rsidRPr="00991113">
        <w:rPr>
          <w:rFonts w:asciiTheme="majorBidi" w:hAnsiTheme="majorBidi" w:cstheme="majorBidi"/>
          <w:bCs/>
        </w:rPr>
        <w:t>pekka</w:t>
      </w:r>
      <w:proofErr w:type="spellEnd"/>
      <w:r w:rsidRPr="00991113">
        <w:rPr>
          <w:rFonts w:asciiTheme="majorBidi" w:hAnsiTheme="majorBidi" w:cstheme="majorBidi"/>
          <w:bCs/>
        </w:rPr>
        <w:t>).</w:t>
      </w:r>
      <w:r>
        <w:rPr>
          <w:rStyle w:val="FootnoteReference"/>
          <w:rFonts w:asciiTheme="majorBidi" w:hAnsiTheme="majorBidi" w:cstheme="majorBidi"/>
          <w:bCs/>
        </w:rPr>
        <w:footnoteReference w:id="30"/>
      </w:r>
      <w:r w:rsidRPr="00BA26B9">
        <w:rPr>
          <w:rFonts w:asciiTheme="majorBidi" w:hAnsiTheme="majorBidi" w:cstheme="majorBidi"/>
          <w:bCs/>
        </w:rPr>
        <w:t xml:space="preserve"> The research began with an FGD (focus group discussion) for all </w:t>
      </w:r>
      <w:proofErr w:type="spellStart"/>
      <w:r w:rsidRPr="00BA26B9">
        <w:rPr>
          <w:rFonts w:asciiTheme="majorBidi" w:hAnsiTheme="majorBidi" w:cstheme="majorBidi"/>
          <w:bCs/>
        </w:rPr>
        <w:t>pekka</w:t>
      </w:r>
      <w:proofErr w:type="spellEnd"/>
      <w:r w:rsidRPr="00BA26B9">
        <w:rPr>
          <w:rFonts w:asciiTheme="majorBidi" w:hAnsiTheme="majorBidi" w:cstheme="majorBidi"/>
          <w:bCs/>
        </w:rPr>
        <w:t xml:space="preserve"> widows regarding the right of children to receive education and educational priorities in the family.</w:t>
      </w:r>
      <w:r>
        <w:rPr>
          <w:rStyle w:val="FootnoteReference"/>
          <w:rFonts w:asciiTheme="majorBidi" w:hAnsiTheme="majorBidi" w:cstheme="majorBidi"/>
          <w:bCs/>
        </w:rPr>
        <w:footnoteReference w:id="31"/>
      </w:r>
      <w:r w:rsidRPr="00BA26B9">
        <w:rPr>
          <w:rFonts w:asciiTheme="majorBidi" w:hAnsiTheme="majorBidi" w:cstheme="majorBidi"/>
          <w:bCs/>
        </w:rPr>
        <w:t xml:space="preserve"> The results of the FGD show a tendency to be gender biased, where boys tend to be prioritized in accessing formal education over girls.</w:t>
      </w:r>
      <w:r>
        <w:rPr>
          <w:rStyle w:val="FootnoteReference"/>
          <w:rFonts w:asciiTheme="majorBidi" w:hAnsiTheme="majorBidi" w:cstheme="majorBidi"/>
          <w:bCs/>
        </w:rPr>
        <w:footnoteReference w:id="32"/>
      </w:r>
      <w:r w:rsidRPr="00991113">
        <w:rPr>
          <w:rFonts w:asciiTheme="majorBidi" w:hAnsiTheme="majorBidi" w:cstheme="majorBidi"/>
          <w:bCs/>
        </w:rPr>
        <w:t xml:space="preserve"> The next stage is to determine the research informant through an intensive approach to girls in the family of widows of </w:t>
      </w:r>
      <w:proofErr w:type="spellStart"/>
      <w:r w:rsidRPr="00991113">
        <w:rPr>
          <w:rFonts w:asciiTheme="majorBidi" w:hAnsiTheme="majorBidi" w:cstheme="majorBidi"/>
          <w:bCs/>
        </w:rPr>
        <w:t>pekka</w:t>
      </w:r>
      <w:proofErr w:type="spellEnd"/>
      <w:r w:rsidRPr="00991113">
        <w:rPr>
          <w:rFonts w:asciiTheme="majorBidi" w:hAnsiTheme="majorBidi" w:cstheme="majorBidi"/>
          <w:bCs/>
        </w:rPr>
        <w:t>.</w:t>
      </w:r>
      <w:r>
        <w:rPr>
          <w:rStyle w:val="FootnoteReference"/>
          <w:rFonts w:asciiTheme="majorBidi" w:hAnsiTheme="majorBidi" w:cstheme="majorBidi"/>
          <w:bCs/>
        </w:rPr>
        <w:footnoteReference w:id="33"/>
      </w:r>
      <w:r w:rsidRPr="00BA26B9">
        <w:rPr>
          <w:rFonts w:asciiTheme="majorBidi" w:hAnsiTheme="majorBidi" w:cstheme="majorBidi"/>
          <w:bCs/>
        </w:rPr>
        <w:t xml:space="preserve"> This approach succeeded in building trust and rapport with seven Kalak </w:t>
      </w:r>
      <w:proofErr w:type="spellStart"/>
      <w:r w:rsidRPr="00BA26B9">
        <w:rPr>
          <w:rFonts w:asciiTheme="majorBidi" w:hAnsiTheme="majorBidi" w:cstheme="majorBidi"/>
          <w:bCs/>
        </w:rPr>
        <w:t>Pakpak</w:t>
      </w:r>
      <w:proofErr w:type="spellEnd"/>
      <w:r w:rsidRPr="00BA26B9">
        <w:rPr>
          <w:rFonts w:asciiTheme="majorBidi" w:hAnsiTheme="majorBidi" w:cstheme="majorBidi"/>
          <w:bCs/>
        </w:rPr>
        <w:t xml:space="preserve"> girls, aged 15–20 years, from various clans (</w:t>
      </w:r>
      <w:proofErr w:type="spellStart"/>
      <w:r w:rsidRPr="00BA26B9">
        <w:rPr>
          <w:rFonts w:asciiTheme="majorBidi" w:hAnsiTheme="majorBidi" w:cstheme="majorBidi"/>
          <w:bCs/>
        </w:rPr>
        <w:t>berru</w:t>
      </w:r>
      <w:proofErr w:type="spellEnd"/>
      <w:r w:rsidRPr="00BA26B9">
        <w:rPr>
          <w:rFonts w:asciiTheme="majorBidi" w:hAnsiTheme="majorBidi" w:cstheme="majorBidi"/>
          <w:bCs/>
        </w:rPr>
        <w:t xml:space="preserve">). They are willing to be informants and actively participate in the entire data collection process, including in-depth interviews and </w:t>
      </w:r>
      <w:r w:rsidRPr="00BA26B9">
        <w:rPr>
          <w:rFonts w:asciiTheme="majorBidi" w:hAnsiTheme="majorBidi" w:cstheme="majorBidi"/>
          <w:bCs/>
          <w:i/>
          <w:iCs/>
        </w:rPr>
        <w:t>life story studies</w:t>
      </w:r>
      <w:r w:rsidRPr="00BA26B9">
        <w:rPr>
          <w:rFonts w:asciiTheme="majorBidi" w:hAnsiTheme="majorBidi" w:cstheme="majorBidi"/>
          <w:bCs/>
        </w:rPr>
        <w:t>. In order to respect the privacy of the informants, the names of the seven girls were disguised or not real names.</w:t>
      </w:r>
      <w:r>
        <w:rPr>
          <w:rStyle w:val="FootnoteReference"/>
          <w:rFonts w:asciiTheme="majorBidi" w:hAnsiTheme="majorBidi" w:cstheme="majorBidi"/>
          <w:bCs/>
        </w:rPr>
        <w:footnoteReference w:id="34"/>
      </w:r>
    </w:p>
    <w:p w14:paraId="07E66BBA" w14:textId="77777777" w:rsidR="00546849" w:rsidRPr="00546849" w:rsidRDefault="00546849" w:rsidP="00D83365">
      <w:pPr>
        <w:spacing w:after="0" w:line="240" w:lineRule="auto"/>
        <w:rPr>
          <w:rFonts w:asciiTheme="majorBidi" w:hAnsiTheme="majorBidi" w:cstheme="majorBidi"/>
          <w:b/>
        </w:rPr>
      </w:pPr>
      <w:r w:rsidRPr="005A0C5B">
        <w:rPr>
          <w:rFonts w:asciiTheme="majorBidi" w:hAnsiTheme="majorBidi" w:cstheme="majorBidi"/>
          <w:b/>
        </w:rPr>
        <w:t>Results and Discussion</w:t>
      </w:r>
    </w:p>
    <w:p w14:paraId="52A6DE04" w14:textId="77777777" w:rsidR="00546849" w:rsidRPr="00546849" w:rsidRDefault="00546849" w:rsidP="006E2E1E">
      <w:pPr>
        <w:spacing w:after="0" w:line="240" w:lineRule="auto"/>
        <w:jc w:val="both"/>
        <w:rPr>
          <w:rFonts w:asciiTheme="majorBidi" w:hAnsiTheme="majorBidi" w:cstheme="majorBidi"/>
          <w:b/>
        </w:rPr>
      </w:pPr>
      <w:r w:rsidRPr="005A0C5B">
        <w:rPr>
          <w:rFonts w:asciiTheme="majorBidi" w:hAnsiTheme="majorBidi" w:cstheme="majorBidi"/>
          <w:b/>
        </w:rPr>
        <w:t xml:space="preserve">Portrait of the Life of Widow Pekka Kalak </w:t>
      </w:r>
      <w:proofErr w:type="spellStart"/>
      <w:r w:rsidRPr="005A0C5B">
        <w:rPr>
          <w:rFonts w:asciiTheme="majorBidi" w:hAnsiTheme="majorBidi" w:cstheme="majorBidi"/>
          <w:b/>
        </w:rPr>
        <w:t>Pakpak</w:t>
      </w:r>
      <w:proofErr w:type="spellEnd"/>
      <w:r w:rsidRPr="005A0C5B">
        <w:rPr>
          <w:rFonts w:asciiTheme="majorBidi" w:hAnsiTheme="majorBidi" w:cstheme="majorBidi"/>
          <w:b/>
        </w:rPr>
        <w:t>: Patriarchy, Poverty, and Vulnerability of Girls' Right to Education</w:t>
      </w:r>
    </w:p>
    <w:p w14:paraId="3A9F7B3F" w14:textId="77777777" w:rsidR="00546849" w:rsidRPr="00546849" w:rsidRDefault="00546849" w:rsidP="00F97228">
      <w:pPr>
        <w:spacing w:after="0" w:line="240" w:lineRule="auto"/>
        <w:ind w:firstLine="709"/>
        <w:jc w:val="both"/>
        <w:rPr>
          <w:rFonts w:asciiTheme="majorBidi" w:hAnsiTheme="majorBidi" w:cstheme="majorBidi"/>
          <w:bCs/>
        </w:rPr>
      </w:pPr>
      <w:r w:rsidRPr="005A0C5B">
        <w:rPr>
          <w:rFonts w:asciiTheme="majorBidi" w:hAnsiTheme="majorBidi" w:cstheme="majorBidi"/>
          <w:bCs/>
        </w:rPr>
        <w:t xml:space="preserve">The portrait of the life of the widow of Pekka Kalak </w:t>
      </w:r>
      <w:proofErr w:type="spellStart"/>
      <w:r w:rsidRPr="005A0C5B">
        <w:rPr>
          <w:rFonts w:asciiTheme="majorBidi" w:hAnsiTheme="majorBidi" w:cstheme="majorBidi"/>
          <w:bCs/>
        </w:rPr>
        <w:t>Pakpak</w:t>
      </w:r>
      <w:proofErr w:type="spellEnd"/>
      <w:r w:rsidRPr="005A0C5B">
        <w:rPr>
          <w:rFonts w:asciiTheme="majorBidi" w:hAnsiTheme="majorBidi" w:cstheme="majorBidi"/>
          <w:bCs/>
        </w:rPr>
        <w:t xml:space="preserve"> in </w:t>
      </w:r>
      <w:proofErr w:type="spellStart"/>
      <w:r w:rsidRPr="005A0C5B">
        <w:rPr>
          <w:rFonts w:asciiTheme="majorBidi" w:hAnsiTheme="majorBidi" w:cstheme="majorBidi"/>
          <w:bCs/>
        </w:rPr>
        <w:t>Pegagan</w:t>
      </w:r>
      <w:proofErr w:type="spellEnd"/>
      <w:r w:rsidRPr="005A0C5B">
        <w:rPr>
          <w:rFonts w:asciiTheme="majorBidi" w:hAnsiTheme="majorBidi" w:cstheme="majorBidi"/>
          <w:bCs/>
        </w:rPr>
        <w:t xml:space="preserve"> Julu VIII clearly illustrates the condition of poor families who are very economically vulnerable. Pekka widows face significant resource limitations, so every decision related to meeting family needs becomes a heavy burden. Daily life is highly dependent on rice farming, which is not only limited to a narrow area of land ranging from 1 to 3 chains, but also highly dependent on productivity and crop yields that fluctuate each season. In fact, there are </w:t>
      </w:r>
      <w:proofErr w:type="spellStart"/>
      <w:r w:rsidRPr="005A0C5B">
        <w:rPr>
          <w:rFonts w:asciiTheme="majorBidi" w:hAnsiTheme="majorBidi" w:cstheme="majorBidi"/>
          <w:bCs/>
        </w:rPr>
        <w:t>pekkas</w:t>
      </w:r>
      <w:proofErr w:type="spellEnd"/>
      <w:r w:rsidRPr="005A0C5B">
        <w:rPr>
          <w:rFonts w:asciiTheme="majorBidi" w:hAnsiTheme="majorBidi" w:cstheme="majorBidi"/>
          <w:bCs/>
        </w:rPr>
        <w:t xml:space="preserve"> who have no private farmland at all, so they have to rely on income from work as land tenants or wage workers, which are often erratic and insufficient to meet the basic needs of the family. This condition confirms that the poverty experienced by </w:t>
      </w:r>
      <w:proofErr w:type="spellStart"/>
      <w:r w:rsidRPr="005A0C5B">
        <w:rPr>
          <w:rFonts w:asciiTheme="majorBidi" w:hAnsiTheme="majorBidi" w:cstheme="majorBidi"/>
          <w:bCs/>
        </w:rPr>
        <w:t>pekka</w:t>
      </w:r>
      <w:proofErr w:type="spellEnd"/>
      <w:r w:rsidRPr="005A0C5B">
        <w:rPr>
          <w:rFonts w:asciiTheme="majorBidi" w:hAnsiTheme="majorBidi" w:cstheme="majorBidi"/>
          <w:bCs/>
        </w:rPr>
        <w:t xml:space="preserve"> widows is not only financial deprivation, but also creates structural vulnerability, where women have to bear a double burden, as heads of families as well as breadwinners, while facing limitations in access to family resources and rights.</w:t>
      </w:r>
      <w:r>
        <w:rPr>
          <w:rStyle w:val="FootnoteReference"/>
          <w:rFonts w:asciiTheme="majorBidi" w:hAnsiTheme="majorBidi" w:cstheme="majorBidi"/>
          <w:bCs/>
        </w:rPr>
        <w:footnoteReference w:id="35"/>
      </w:r>
    </w:p>
    <w:p w14:paraId="2ED3ACB6" w14:textId="77777777" w:rsidR="00546849" w:rsidRPr="00546849" w:rsidRDefault="00546849" w:rsidP="004F09A2">
      <w:pPr>
        <w:spacing w:after="0" w:line="240" w:lineRule="auto"/>
        <w:ind w:firstLine="709"/>
        <w:jc w:val="both"/>
        <w:rPr>
          <w:rFonts w:asciiTheme="majorBidi" w:hAnsiTheme="majorBidi" w:cstheme="majorBidi"/>
          <w:bCs/>
        </w:rPr>
      </w:pPr>
      <w:r w:rsidRPr="00546849">
        <w:rPr>
          <w:rFonts w:asciiTheme="majorBidi" w:hAnsiTheme="majorBidi" w:cstheme="majorBidi"/>
          <w:bCs/>
        </w:rPr>
        <w:lastRenderedPageBreak/>
        <w:t xml:space="preserve">For </w:t>
      </w:r>
      <w:proofErr w:type="spellStart"/>
      <w:r w:rsidRPr="00546849">
        <w:rPr>
          <w:rFonts w:asciiTheme="majorBidi" w:hAnsiTheme="majorBidi" w:cstheme="majorBidi"/>
          <w:bCs/>
        </w:rPr>
        <w:t>pekka</w:t>
      </w:r>
      <w:proofErr w:type="spellEnd"/>
      <w:r w:rsidRPr="00546849">
        <w:rPr>
          <w:rFonts w:asciiTheme="majorBidi" w:hAnsiTheme="majorBidi" w:cstheme="majorBidi"/>
          <w:bCs/>
        </w:rPr>
        <w:t xml:space="preserve"> widows who have a narrow plot, the agricultural produce obtained is often insufficient to meet the daily needs of the family. The land usually comes from the husband's inheritance, so the widow </w:t>
      </w:r>
      <w:proofErr w:type="spellStart"/>
      <w:r w:rsidRPr="00546849">
        <w:rPr>
          <w:rFonts w:asciiTheme="majorBidi" w:hAnsiTheme="majorBidi" w:cstheme="majorBidi"/>
          <w:bCs/>
        </w:rPr>
        <w:t>pekka</w:t>
      </w:r>
      <w:proofErr w:type="spellEnd"/>
      <w:r w:rsidRPr="00546849">
        <w:rPr>
          <w:rFonts w:asciiTheme="majorBidi" w:hAnsiTheme="majorBidi" w:cstheme="majorBidi"/>
          <w:bCs/>
        </w:rPr>
        <w:t xml:space="preserve"> only has the right to manage, not full ownership rights. In the Kalak </w:t>
      </w:r>
      <w:proofErr w:type="spellStart"/>
      <w:r w:rsidRPr="00546849">
        <w:rPr>
          <w:rFonts w:asciiTheme="majorBidi" w:hAnsiTheme="majorBidi" w:cstheme="majorBidi"/>
          <w:bCs/>
        </w:rPr>
        <w:t>Pakpak</w:t>
      </w:r>
      <w:proofErr w:type="spellEnd"/>
      <w:r w:rsidRPr="00546849">
        <w:rPr>
          <w:rFonts w:asciiTheme="majorBidi" w:hAnsiTheme="majorBidi" w:cstheme="majorBidi"/>
          <w:bCs/>
        </w:rPr>
        <w:t xml:space="preserve"> customary system, the right of inheritance to the land remains with boys, while women, including </w:t>
      </w:r>
      <w:proofErr w:type="spellStart"/>
      <w:r w:rsidRPr="00546849">
        <w:rPr>
          <w:rFonts w:asciiTheme="majorBidi" w:hAnsiTheme="majorBidi" w:cstheme="majorBidi"/>
          <w:bCs/>
        </w:rPr>
        <w:t>pekka</w:t>
      </w:r>
      <w:proofErr w:type="spellEnd"/>
      <w:r w:rsidRPr="00546849">
        <w:rPr>
          <w:rFonts w:asciiTheme="majorBidi" w:hAnsiTheme="majorBidi" w:cstheme="majorBidi"/>
          <w:bCs/>
        </w:rPr>
        <w:t xml:space="preserve"> widows, do not have inheritance rights. This condition places women in economically and socially subordinate positions, because although they are responsible for land management and the fulfillment of family needs, legal power and control over key resources remain in the hands of men. This also strengthens women's vulnerability, especially in determining the priority of children's education, because limited control of resources makes it difficult for women to allocate educational rights fairly for boys and girls.</w:t>
      </w:r>
      <w:r>
        <w:rPr>
          <w:rStyle w:val="FootnoteReference"/>
          <w:rFonts w:asciiTheme="majorBidi" w:hAnsiTheme="majorBidi" w:cstheme="majorBidi"/>
          <w:bCs/>
        </w:rPr>
        <w:footnoteReference w:id="36"/>
      </w:r>
    </w:p>
    <w:p w14:paraId="679D9DF7" w14:textId="77777777" w:rsidR="00546849" w:rsidRPr="00546849" w:rsidRDefault="00546849" w:rsidP="009F588A">
      <w:pPr>
        <w:spacing w:after="0" w:line="240" w:lineRule="auto"/>
        <w:ind w:firstLine="709"/>
        <w:jc w:val="both"/>
        <w:rPr>
          <w:rFonts w:asciiTheme="majorBidi" w:hAnsiTheme="majorBidi" w:cstheme="majorBidi"/>
          <w:bCs/>
        </w:rPr>
      </w:pPr>
      <w:r w:rsidRPr="00546849">
        <w:rPr>
          <w:rFonts w:asciiTheme="majorBidi" w:hAnsiTheme="majorBidi" w:cstheme="majorBidi"/>
          <w:bCs/>
        </w:rPr>
        <w:t xml:space="preserve">The social structure of women in the Batak </w:t>
      </w:r>
      <w:proofErr w:type="spellStart"/>
      <w:r w:rsidRPr="00546849">
        <w:rPr>
          <w:rFonts w:asciiTheme="majorBidi" w:hAnsiTheme="majorBidi" w:cstheme="majorBidi"/>
          <w:bCs/>
        </w:rPr>
        <w:t>Pakpak</w:t>
      </w:r>
      <w:proofErr w:type="spellEnd"/>
      <w:r w:rsidRPr="00546849">
        <w:rPr>
          <w:rFonts w:asciiTheme="majorBidi" w:hAnsiTheme="majorBidi" w:cstheme="majorBidi"/>
          <w:bCs/>
        </w:rPr>
        <w:t xml:space="preserve"> society is generally below that of men due to the application of the patrilineal kinship system. This system affirms the legality of men as the successors of clans and descendants, while placing men in a dominant position in the family, marriage, inheritance of property, and customary institutions. In contrast, women's positions, including </w:t>
      </w:r>
      <w:proofErr w:type="spellStart"/>
      <w:r w:rsidRPr="00546849">
        <w:rPr>
          <w:rFonts w:asciiTheme="majorBidi" w:hAnsiTheme="majorBidi" w:cstheme="majorBidi"/>
          <w:bCs/>
        </w:rPr>
        <w:t>pekka</w:t>
      </w:r>
      <w:proofErr w:type="spellEnd"/>
      <w:r w:rsidRPr="00546849">
        <w:rPr>
          <w:rFonts w:asciiTheme="majorBidi" w:hAnsiTheme="majorBidi" w:cstheme="majorBidi"/>
          <w:bCs/>
        </w:rPr>
        <w:t xml:space="preserve"> widows, are in a subordinate hierarchy, where their roles are more limited to domestic affairs and family management, while strategic decision-making and access to inheritance rights remain in the hands of men. This reinforces women's economic and social dependence, while limiting their ability to set priorities, including their children's educational rights.</w:t>
      </w:r>
      <w:r>
        <w:rPr>
          <w:rStyle w:val="FootnoteReference"/>
          <w:rFonts w:asciiTheme="majorBidi" w:hAnsiTheme="majorBidi" w:cstheme="majorBidi"/>
          <w:bCs/>
        </w:rPr>
        <w:footnoteReference w:id="37"/>
      </w:r>
    </w:p>
    <w:p w14:paraId="7F662C17" w14:textId="77777777" w:rsidR="00546849" w:rsidRPr="00546849" w:rsidRDefault="00546849" w:rsidP="002945EE">
      <w:pPr>
        <w:spacing w:after="0" w:line="240" w:lineRule="auto"/>
        <w:ind w:firstLine="709"/>
        <w:jc w:val="both"/>
        <w:rPr>
          <w:rFonts w:asciiTheme="majorBidi" w:hAnsiTheme="majorBidi" w:cstheme="majorBidi"/>
          <w:bCs/>
        </w:rPr>
      </w:pPr>
      <w:r w:rsidRPr="005A0C5B">
        <w:rPr>
          <w:rFonts w:asciiTheme="majorBidi" w:hAnsiTheme="majorBidi" w:cstheme="majorBidi"/>
          <w:bCs/>
        </w:rPr>
        <w:t xml:space="preserve">In the Batak </w:t>
      </w:r>
      <w:proofErr w:type="spellStart"/>
      <w:r w:rsidRPr="005A0C5B">
        <w:rPr>
          <w:rFonts w:asciiTheme="majorBidi" w:hAnsiTheme="majorBidi" w:cstheme="majorBidi"/>
          <w:bCs/>
        </w:rPr>
        <w:t>Pakpak</w:t>
      </w:r>
      <w:proofErr w:type="spellEnd"/>
      <w:r w:rsidRPr="005A0C5B">
        <w:rPr>
          <w:rFonts w:asciiTheme="majorBidi" w:hAnsiTheme="majorBidi" w:cstheme="majorBidi"/>
          <w:bCs/>
        </w:rPr>
        <w:t xml:space="preserve"> family, men play the role of the head of the family and the main person in charge, while women are positioned mainly in domestic work. Public roles, family strategic decision-making, and customary implementation are carried out by men, while women are more involved in housework and other supporting activities. The inheritance system also affirms the position of men as the primary heirs, especially over the estate, so that women, including </w:t>
      </w:r>
      <w:proofErr w:type="spellStart"/>
      <w:r w:rsidRPr="005A0C5B">
        <w:rPr>
          <w:rFonts w:asciiTheme="majorBidi" w:hAnsiTheme="majorBidi" w:cstheme="majorBidi"/>
          <w:bCs/>
        </w:rPr>
        <w:t>pekka</w:t>
      </w:r>
      <w:proofErr w:type="spellEnd"/>
      <w:r w:rsidRPr="005A0C5B">
        <w:rPr>
          <w:rFonts w:asciiTheme="majorBidi" w:hAnsiTheme="majorBidi" w:cstheme="majorBidi"/>
          <w:bCs/>
        </w:rPr>
        <w:t xml:space="preserve"> widows, do not have full control over family assets. This condition shows the structural subordination of women, who are limited in decision-making, access to resources, and the determination of family priorities, including the right to education of their children.</w:t>
      </w:r>
      <w:r>
        <w:rPr>
          <w:rStyle w:val="FootnoteReference"/>
          <w:rFonts w:asciiTheme="majorBidi" w:hAnsiTheme="majorBidi" w:cstheme="majorBidi"/>
          <w:bCs/>
        </w:rPr>
        <w:footnoteReference w:id="38"/>
      </w:r>
    </w:p>
    <w:p w14:paraId="3F82C2EB" w14:textId="31321F52" w:rsidR="0065286A" w:rsidRPr="00207E80" w:rsidRDefault="00546849" w:rsidP="00C3520C">
      <w:pPr>
        <w:spacing w:after="0" w:line="240" w:lineRule="auto"/>
        <w:ind w:firstLine="709"/>
        <w:jc w:val="both"/>
        <w:rPr>
          <w:rFonts w:asciiTheme="majorBidi" w:hAnsiTheme="majorBidi" w:cstheme="majorBidi"/>
          <w:bCs/>
          <w:lang w:val="sv-SE"/>
        </w:rPr>
      </w:pPr>
      <w:r w:rsidRPr="005A0C5B">
        <w:rPr>
          <w:rFonts w:asciiTheme="majorBidi" w:hAnsiTheme="majorBidi" w:cstheme="majorBidi"/>
          <w:bCs/>
        </w:rPr>
        <w:t xml:space="preserve">The traditional values </w:t>
      </w:r>
      <w:r w:rsidRPr="005A0C5B">
        <w:rPr>
          <w:rFonts w:asciiTheme="majorBidi" w:hAnsiTheme="majorBidi" w:cstheme="majorBidi"/>
        </w:rPr>
        <w:t xml:space="preserve">of Kalak </w:t>
      </w:r>
      <w:proofErr w:type="spellStart"/>
      <w:r w:rsidRPr="005A0C5B">
        <w:rPr>
          <w:rFonts w:asciiTheme="majorBidi" w:hAnsiTheme="majorBidi" w:cstheme="majorBidi"/>
        </w:rPr>
        <w:t>Pakpak</w:t>
      </w:r>
      <w:proofErr w:type="spellEnd"/>
      <w:r w:rsidRPr="005A0C5B">
        <w:rPr>
          <w:rFonts w:asciiTheme="majorBidi" w:hAnsiTheme="majorBidi" w:cstheme="majorBidi"/>
          <w:bCs/>
        </w:rPr>
        <w:t xml:space="preserve"> are the main foundation in the process of socializing gender norms that have been firmly rooted in people's lives. These values not only shape individual mindsets and behaviors, but also affect social institutional structures, including the institution of the </w:t>
      </w:r>
      <w:proofErr w:type="spellStart"/>
      <w:r w:rsidRPr="005A0C5B">
        <w:rPr>
          <w:rFonts w:asciiTheme="majorBidi" w:hAnsiTheme="majorBidi" w:cstheme="majorBidi"/>
          <w:bCs/>
        </w:rPr>
        <w:t>pekka</w:t>
      </w:r>
      <w:proofErr w:type="spellEnd"/>
      <w:r w:rsidRPr="005A0C5B">
        <w:rPr>
          <w:rFonts w:asciiTheme="majorBidi" w:hAnsiTheme="majorBidi" w:cstheme="majorBidi"/>
          <w:bCs/>
        </w:rPr>
        <w:t xml:space="preserve"> widow family, as well as determine the division of rights and obligations of family members in various aspects of life. In the context of education, customary norms that are full of gender bias reinforce women's subordinate positions and place boys as the top priority in the allocation of family resources. As a result, girls are often marginalized in access to formal education. This condition shows that patriarchal culture not only limits women's social roles, but also reproduces gender inequality across generations through the unequal distribution of educational opportunities. The following table is presented that illustrates the vulnerability of girls' educational rights in the </w:t>
      </w:r>
      <w:proofErr w:type="spellStart"/>
      <w:r w:rsidRPr="005A0C5B">
        <w:rPr>
          <w:rFonts w:asciiTheme="majorBidi" w:hAnsiTheme="majorBidi" w:cstheme="majorBidi"/>
          <w:bCs/>
        </w:rPr>
        <w:t>Pakpak</w:t>
      </w:r>
      <w:proofErr w:type="spellEnd"/>
      <w:r w:rsidRPr="005A0C5B">
        <w:rPr>
          <w:rFonts w:asciiTheme="majorBidi" w:hAnsiTheme="majorBidi" w:cstheme="majorBidi"/>
          <w:bCs/>
        </w:rPr>
        <w:t xml:space="preserve"> community.</w:t>
      </w:r>
      <w:r>
        <w:rPr>
          <w:rStyle w:val="FootnoteReference"/>
          <w:rFonts w:asciiTheme="majorBidi" w:hAnsiTheme="majorBidi" w:cstheme="majorBidi"/>
          <w:bCs/>
        </w:rPr>
        <w:footnoteReference w:id="39"/>
      </w:r>
    </w:p>
    <w:p w14:paraId="40746521" w14:textId="77777777" w:rsidR="0065286A" w:rsidRPr="00207E80" w:rsidRDefault="0065286A" w:rsidP="005E09AD">
      <w:pPr>
        <w:spacing w:after="0" w:line="240" w:lineRule="auto"/>
        <w:ind w:firstLine="709"/>
        <w:jc w:val="both"/>
        <w:rPr>
          <w:rFonts w:asciiTheme="majorBidi" w:hAnsiTheme="majorBidi" w:cstheme="majorBidi"/>
          <w:bCs/>
          <w:lang w:val="sv-SE"/>
        </w:rPr>
      </w:pPr>
    </w:p>
    <w:p w14:paraId="58A4A29C" w14:textId="28FD7BC7" w:rsidR="00546849" w:rsidRPr="001A426A" w:rsidRDefault="00546849" w:rsidP="001A426A">
      <w:pPr>
        <w:spacing w:after="0" w:line="240" w:lineRule="auto"/>
        <w:ind w:firstLine="709"/>
        <w:jc w:val="center"/>
        <w:rPr>
          <w:rFonts w:asciiTheme="majorBidi" w:hAnsiTheme="majorBidi" w:cstheme="majorBidi"/>
          <w:bCs/>
        </w:rPr>
      </w:pPr>
      <w:r w:rsidRPr="005A0C5B">
        <w:rPr>
          <w:rFonts w:asciiTheme="majorBidi" w:hAnsiTheme="majorBidi" w:cstheme="majorBidi"/>
          <w:b/>
        </w:rPr>
        <w:t xml:space="preserve">Table. 1 </w:t>
      </w:r>
      <w:r w:rsidRPr="00546849">
        <w:rPr>
          <w:rFonts w:asciiTheme="majorBidi" w:hAnsiTheme="majorBidi" w:cstheme="majorBidi"/>
          <w:bCs/>
        </w:rPr>
        <w:t>Vulnerability of Girls' Right to Education</w:t>
      </w:r>
    </w:p>
    <w:tbl>
      <w:tblPr>
        <w:tblW w:w="9214" w:type="dxa"/>
        <w:tblInd w:w="142" w:type="dxa"/>
        <w:tblBorders>
          <w:top w:val="single" w:sz="4" w:space="0" w:color="000000"/>
          <w:insideH w:val="single" w:sz="4" w:space="0" w:color="000000"/>
        </w:tblBorders>
        <w:tblLayout w:type="fixed"/>
        <w:tblLook w:val="0000" w:firstRow="0" w:lastRow="0" w:firstColumn="0" w:lastColumn="0" w:noHBand="0" w:noVBand="0"/>
      </w:tblPr>
      <w:tblGrid>
        <w:gridCol w:w="709"/>
        <w:gridCol w:w="2693"/>
        <w:gridCol w:w="2977"/>
        <w:gridCol w:w="2835"/>
      </w:tblGrid>
      <w:tr w:rsidR="0065286A" w:rsidRPr="00991113" w14:paraId="1DB15619" w14:textId="77777777" w:rsidTr="007F4CBB">
        <w:trPr>
          <w:trHeight w:val="431"/>
        </w:trPr>
        <w:tc>
          <w:tcPr>
            <w:tcW w:w="709" w:type="dxa"/>
            <w:vAlign w:val="center"/>
          </w:tcPr>
          <w:p w14:paraId="1F53F710" w14:textId="77777777" w:rsidR="0065286A" w:rsidRPr="00207E80" w:rsidRDefault="0065286A" w:rsidP="00D20395">
            <w:pPr>
              <w:spacing w:after="0" w:line="240" w:lineRule="auto"/>
              <w:jc w:val="center"/>
              <w:rPr>
                <w:rFonts w:asciiTheme="majorBidi" w:eastAsia="Times New Roman" w:hAnsiTheme="majorBidi" w:cstheme="majorBidi"/>
                <w:b/>
              </w:rPr>
            </w:pPr>
            <w:r w:rsidRPr="00207E80">
              <w:rPr>
                <w:rFonts w:asciiTheme="majorBidi" w:eastAsia="Times New Roman" w:hAnsiTheme="majorBidi" w:cstheme="majorBidi"/>
                <w:b/>
              </w:rPr>
              <w:t>No</w:t>
            </w:r>
          </w:p>
        </w:tc>
        <w:tc>
          <w:tcPr>
            <w:tcW w:w="2693" w:type="dxa"/>
            <w:vAlign w:val="center"/>
          </w:tcPr>
          <w:p w14:paraId="7339E764" w14:textId="6D0373B9" w:rsidR="0065286A" w:rsidRPr="00207E80" w:rsidRDefault="00C8019E" w:rsidP="00D20395">
            <w:pPr>
              <w:spacing w:after="0" w:line="240" w:lineRule="auto"/>
              <w:jc w:val="center"/>
              <w:rPr>
                <w:rFonts w:asciiTheme="majorBidi" w:eastAsia="Times New Roman" w:hAnsiTheme="majorBidi" w:cstheme="majorBidi"/>
                <w:b/>
              </w:rPr>
            </w:pPr>
            <w:r w:rsidRPr="000704BB">
              <w:rPr>
                <w:rFonts w:asciiTheme="majorBidi" w:hAnsiTheme="majorBidi" w:cstheme="majorBidi"/>
                <w:b/>
              </w:rPr>
              <w:t>Types of Education Rights</w:t>
            </w:r>
          </w:p>
        </w:tc>
        <w:tc>
          <w:tcPr>
            <w:tcW w:w="2977" w:type="dxa"/>
            <w:vAlign w:val="center"/>
          </w:tcPr>
          <w:p w14:paraId="0F6EEB94" w14:textId="3ECEA1B4" w:rsidR="0065286A" w:rsidRPr="00207E80" w:rsidRDefault="00C8019E" w:rsidP="00D20395">
            <w:pPr>
              <w:spacing w:after="0" w:line="240" w:lineRule="auto"/>
              <w:jc w:val="center"/>
              <w:rPr>
                <w:rFonts w:asciiTheme="majorBidi" w:eastAsia="Times New Roman" w:hAnsiTheme="majorBidi" w:cstheme="majorBidi"/>
                <w:b/>
              </w:rPr>
            </w:pPr>
            <w:r w:rsidRPr="000704BB">
              <w:rPr>
                <w:rFonts w:asciiTheme="majorBidi" w:hAnsiTheme="majorBidi" w:cstheme="majorBidi"/>
                <w:b/>
              </w:rPr>
              <w:t>Threats/Restrictions</w:t>
            </w:r>
          </w:p>
        </w:tc>
        <w:tc>
          <w:tcPr>
            <w:tcW w:w="2835" w:type="dxa"/>
            <w:vAlign w:val="center"/>
          </w:tcPr>
          <w:p w14:paraId="2D50572C" w14:textId="38E802E6" w:rsidR="0065286A" w:rsidRPr="00207E80" w:rsidRDefault="00C8019E" w:rsidP="00D20395">
            <w:pPr>
              <w:spacing w:after="0" w:line="240" w:lineRule="auto"/>
              <w:jc w:val="center"/>
              <w:rPr>
                <w:rFonts w:asciiTheme="majorBidi" w:eastAsia="Times New Roman" w:hAnsiTheme="majorBidi" w:cstheme="majorBidi"/>
                <w:b/>
              </w:rPr>
            </w:pPr>
            <w:r w:rsidRPr="000704BB">
              <w:rPr>
                <w:rFonts w:asciiTheme="majorBidi" w:hAnsiTheme="majorBidi" w:cstheme="majorBidi"/>
                <w:b/>
              </w:rPr>
              <w:t>Causal Factors</w:t>
            </w:r>
          </w:p>
        </w:tc>
      </w:tr>
      <w:tr w:rsidR="0065286A" w:rsidRPr="00C8019E" w14:paraId="62B66C75" w14:textId="77777777" w:rsidTr="007F4CBB">
        <w:trPr>
          <w:trHeight w:val="203"/>
        </w:trPr>
        <w:tc>
          <w:tcPr>
            <w:tcW w:w="709" w:type="dxa"/>
            <w:vAlign w:val="center"/>
          </w:tcPr>
          <w:p w14:paraId="3740CAEF" w14:textId="77777777" w:rsidR="0065286A" w:rsidRPr="00991113" w:rsidRDefault="0065286A" w:rsidP="00D2039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1</w:t>
            </w:r>
          </w:p>
        </w:tc>
        <w:tc>
          <w:tcPr>
            <w:tcW w:w="2693" w:type="dxa"/>
            <w:vAlign w:val="center"/>
          </w:tcPr>
          <w:p w14:paraId="4BB60219" w14:textId="1F98098B" w:rsidR="0065286A" w:rsidRPr="00991113" w:rsidRDefault="00C8019E" w:rsidP="00F22625">
            <w:pPr>
              <w:spacing w:after="0" w:line="240" w:lineRule="auto"/>
              <w:jc w:val="both"/>
              <w:rPr>
                <w:rFonts w:asciiTheme="majorBidi" w:eastAsia="Times New Roman" w:hAnsiTheme="majorBidi" w:cstheme="majorBidi"/>
                <w:bCs/>
              </w:rPr>
            </w:pPr>
            <w:r w:rsidRPr="000704BB">
              <w:rPr>
                <w:rFonts w:asciiTheme="majorBidi" w:hAnsiTheme="majorBidi" w:cstheme="majorBidi"/>
                <w:bCs/>
              </w:rPr>
              <w:t>Access to formal schools</w:t>
            </w:r>
          </w:p>
        </w:tc>
        <w:tc>
          <w:tcPr>
            <w:tcW w:w="2977" w:type="dxa"/>
            <w:vAlign w:val="center"/>
          </w:tcPr>
          <w:p w14:paraId="207B59AB" w14:textId="36149721" w:rsidR="0065286A" w:rsidRPr="00991113" w:rsidRDefault="00C8019E" w:rsidP="00F22625">
            <w:pPr>
              <w:spacing w:after="0" w:line="240" w:lineRule="auto"/>
              <w:jc w:val="both"/>
              <w:rPr>
                <w:rFonts w:asciiTheme="majorBidi" w:eastAsia="Times New Roman" w:hAnsiTheme="majorBidi" w:cstheme="majorBidi"/>
                <w:bCs/>
              </w:rPr>
            </w:pPr>
            <w:r w:rsidRPr="000704BB">
              <w:rPr>
                <w:rFonts w:asciiTheme="majorBidi" w:hAnsiTheme="majorBidi" w:cstheme="majorBidi"/>
                <w:bCs/>
              </w:rPr>
              <w:t>Forced to drop out of school</w:t>
            </w:r>
          </w:p>
        </w:tc>
        <w:tc>
          <w:tcPr>
            <w:tcW w:w="2835" w:type="dxa"/>
            <w:vAlign w:val="center"/>
          </w:tcPr>
          <w:p w14:paraId="372BADC5" w14:textId="3042F6DA" w:rsidR="0065286A" w:rsidRPr="00C8019E" w:rsidRDefault="00C8019E" w:rsidP="00F22625">
            <w:pPr>
              <w:spacing w:after="0" w:line="240" w:lineRule="auto"/>
              <w:jc w:val="both"/>
              <w:rPr>
                <w:rFonts w:asciiTheme="majorBidi" w:eastAsia="Times New Roman" w:hAnsiTheme="majorBidi" w:cstheme="majorBidi"/>
                <w:bCs/>
              </w:rPr>
            </w:pPr>
            <w:r w:rsidRPr="000704BB">
              <w:rPr>
                <w:rFonts w:asciiTheme="majorBidi" w:hAnsiTheme="majorBidi" w:cstheme="majorBidi"/>
                <w:bCs/>
              </w:rPr>
              <w:t>Patriarchy (boys' priority), family poverty</w:t>
            </w:r>
          </w:p>
        </w:tc>
      </w:tr>
      <w:tr w:rsidR="0065286A" w:rsidRPr="00C8019E" w14:paraId="2C019471" w14:textId="77777777" w:rsidTr="007F4CBB">
        <w:trPr>
          <w:trHeight w:val="403"/>
        </w:trPr>
        <w:tc>
          <w:tcPr>
            <w:tcW w:w="709" w:type="dxa"/>
            <w:vAlign w:val="center"/>
          </w:tcPr>
          <w:p w14:paraId="0B6BAC95" w14:textId="77777777" w:rsidR="0065286A" w:rsidRPr="00991113" w:rsidRDefault="0065286A" w:rsidP="00D2039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2</w:t>
            </w:r>
          </w:p>
        </w:tc>
        <w:tc>
          <w:tcPr>
            <w:tcW w:w="2693" w:type="dxa"/>
            <w:vAlign w:val="center"/>
          </w:tcPr>
          <w:p w14:paraId="3CC88F12" w14:textId="45028F3E" w:rsidR="0065286A" w:rsidRPr="00991113" w:rsidRDefault="00C8019E" w:rsidP="00F22625">
            <w:pPr>
              <w:spacing w:after="0" w:line="240" w:lineRule="auto"/>
              <w:jc w:val="both"/>
              <w:rPr>
                <w:rFonts w:asciiTheme="majorBidi" w:eastAsia="Times New Roman" w:hAnsiTheme="majorBidi" w:cstheme="majorBidi"/>
                <w:bCs/>
              </w:rPr>
            </w:pPr>
            <w:r w:rsidRPr="000704BB">
              <w:rPr>
                <w:rFonts w:asciiTheme="majorBidi" w:hAnsiTheme="majorBidi" w:cstheme="majorBidi"/>
                <w:bCs/>
              </w:rPr>
              <w:t>Quality of education</w:t>
            </w:r>
          </w:p>
        </w:tc>
        <w:tc>
          <w:tcPr>
            <w:tcW w:w="2977" w:type="dxa"/>
            <w:vAlign w:val="center"/>
          </w:tcPr>
          <w:p w14:paraId="75256F31" w14:textId="10AA4B57" w:rsidR="0065286A" w:rsidRPr="00991113" w:rsidRDefault="00C8019E" w:rsidP="00F22625">
            <w:pPr>
              <w:spacing w:after="0" w:line="240" w:lineRule="auto"/>
              <w:jc w:val="both"/>
              <w:rPr>
                <w:rFonts w:asciiTheme="majorBidi" w:eastAsia="Times New Roman" w:hAnsiTheme="majorBidi" w:cstheme="majorBidi"/>
                <w:bCs/>
                <w:lang w:val="sv-SE"/>
              </w:rPr>
            </w:pPr>
            <w:r w:rsidRPr="000704BB">
              <w:rPr>
                <w:rFonts w:asciiTheme="majorBidi" w:hAnsiTheme="majorBidi" w:cstheme="majorBidi"/>
                <w:bCs/>
              </w:rPr>
              <w:t>Lack of moral, economic, and social support</w:t>
            </w:r>
          </w:p>
        </w:tc>
        <w:tc>
          <w:tcPr>
            <w:tcW w:w="2835" w:type="dxa"/>
            <w:vAlign w:val="center"/>
          </w:tcPr>
          <w:p w14:paraId="382799D8" w14:textId="20E145A0" w:rsidR="0065286A" w:rsidRPr="00991113" w:rsidRDefault="00C8019E" w:rsidP="00F22625">
            <w:pPr>
              <w:spacing w:after="0" w:line="240" w:lineRule="auto"/>
              <w:jc w:val="both"/>
              <w:rPr>
                <w:rFonts w:asciiTheme="majorBidi" w:eastAsia="Times New Roman" w:hAnsiTheme="majorBidi" w:cstheme="majorBidi"/>
                <w:bCs/>
                <w:lang w:val="sv-SE"/>
              </w:rPr>
            </w:pPr>
            <w:r w:rsidRPr="000704BB">
              <w:rPr>
                <w:rFonts w:asciiTheme="majorBidi" w:hAnsiTheme="majorBidi" w:cstheme="majorBidi"/>
                <w:bCs/>
              </w:rPr>
              <w:t>Internalization of subordination norms; Limitations of facilities and costs</w:t>
            </w:r>
          </w:p>
        </w:tc>
      </w:tr>
      <w:tr w:rsidR="0065286A" w:rsidRPr="00991113" w14:paraId="02EB5C3E" w14:textId="77777777" w:rsidTr="007F4CBB">
        <w:trPr>
          <w:trHeight w:val="394"/>
        </w:trPr>
        <w:tc>
          <w:tcPr>
            <w:tcW w:w="709" w:type="dxa"/>
            <w:tcBorders>
              <w:bottom w:val="single" w:sz="4" w:space="0" w:color="000000"/>
            </w:tcBorders>
            <w:vAlign w:val="center"/>
          </w:tcPr>
          <w:p w14:paraId="53A86FF7" w14:textId="77777777" w:rsidR="0065286A" w:rsidRPr="00991113" w:rsidRDefault="0065286A" w:rsidP="00D2039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3</w:t>
            </w:r>
          </w:p>
        </w:tc>
        <w:tc>
          <w:tcPr>
            <w:tcW w:w="2693" w:type="dxa"/>
            <w:tcBorders>
              <w:bottom w:val="single" w:sz="4" w:space="0" w:color="000000"/>
            </w:tcBorders>
            <w:vAlign w:val="center"/>
          </w:tcPr>
          <w:p w14:paraId="7FDC4A6B" w14:textId="1A389F0C" w:rsidR="0065286A" w:rsidRPr="00991113" w:rsidRDefault="00C8019E" w:rsidP="00F22625">
            <w:pPr>
              <w:spacing w:after="0" w:line="240" w:lineRule="auto"/>
              <w:jc w:val="both"/>
              <w:rPr>
                <w:rFonts w:asciiTheme="majorBidi" w:eastAsia="Times New Roman" w:hAnsiTheme="majorBidi" w:cstheme="majorBidi"/>
                <w:bCs/>
              </w:rPr>
            </w:pPr>
            <w:r w:rsidRPr="000704BB">
              <w:rPr>
                <w:rFonts w:asciiTheme="majorBidi" w:hAnsiTheme="majorBidi" w:cstheme="majorBidi"/>
                <w:bCs/>
              </w:rPr>
              <w:t>Fulfillment of potential</w:t>
            </w:r>
          </w:p>
        </w:tc>
        <w:tc>
          <w:tcPr>
            <w:tcW w:w="2977" w:type="dxa"/>
            <w:tcBorders>
              <w:bottom w:val="single" w:sz="4" w:space="0" w:color="000000"/>
            </w:tcBorders>
            <w:vAlign w:val="center"/>
          </w:tcPr>
          <w:p w14:paraId="411FD618" w14:textId="6148D298" w:rsidR="0065286A" w:rsidRPr="00C8019E" w:rsidRDefault="00C8019E" w:rsidP="00F22625">
            <w:pPr>
              <w:spacing w:after="0" w:line="240" w:lineRule="auto"/>
              <w:jc w:val="both"/>
              <w:rPr>
                <w:rFonts w:asciiTheme="majorBidi" w:eastAsia="Times New Roman" w:hAnsiTheme="majorBidi" w:cstheme="majorBidi"/>
                <w:bCs/>
              </w:rPr>
            </w:pPr>
            <w:r w:rsidRPr="005A0C5B">
              <w:rPr>
                <w:rFonts w:asciiTheme="majorBidi" w:hAnsiTheme="majorBidi" w:cstheme="majorBidi"/>
                <w:bCs/>
              </w:rPr>
              <w:t>Unable to develop academic or social skills</w:t>
            </w:r>
          </w:p>
        </w:tc>
        <w:tc>
          <w:tcPr>
            <w:tcW w:w="2835" w:type="dxa"/>
            <w:tcBorders>
              <w:bottom w:val="single" w:sz="4" w:space="0" w:color="000000"/>
            </w:tcBorders>
            <w:vAlign w:val="center"/>
          </w:tcPr>
          <w:p w14:paraId="7D652DDB" w14:textId="2FA6F9D7" w:rsidR="0065286A" w:rsidRPr="00991113" w:rsidRDefault="00C8019E" w:rsidP="00F22625">
            <w:pPr>
              <w:spacing w:after="0" w:line="240" w:lineRule="auto"/>
              <w:jc w:val="both"/>
              <w:rPr>
                <w:rFonts w:asciiTheme="majorBidi" w:eastAsia="Times New Roman" w:hAnsiTheme="majorBidi" w:cstheme="majorBidi"/>
                <w:bCs/>
                <w:lang w:val="sv-SE"/>
              </w:rPr>
            </w:pPr>
            <w:r w:rsidRPr="000704BB">
              <w:rPr>
                <w:rFonts w:asciiTheme="majorBidi" w:hAnsiTheme="majorBidi" w:cstheme="majorBidi"/>
                <w:bCs/>
              </w:rPr>
              <w:t>Double load: studying and working for the family</w:t>
            </w:r>
          </w:p>
        </w:tc>
      </w:tr>
    </w:tbl>
    <w:p w14:paraId="087C4908" w14:textId="77777777" w:rsidR="00546849" w:rsidRPr="00546849" w:rsidRDefault="00546849" w:rsidP="00303395">
      <w:pPr>
        <w:spacing w:after="0" w:line="240" w:lineRule="auto"/>
        <w:ind w:firstLine="709"/>
        <w:jc w:val="center"/>
        <w:rPr>
          <w:rFonts w:asciiTheme="majorBidi" w:hAnsiTheme="majorBidi" w:cstheme="majorBidi"/>
          <w:bCs/>
          <w:lang w:val="en-ID"/>
        </w:rPr>
      </w:pPr>
      <w:r w:rsidRPr="00546849">
        <w:rPr>
          <w:rFonts w:asciiTheme="majorBidi" w:hAnsiTheme="majorBidi" w:cstheme="majorBidi"/>
          <w:bCs/>
        </w:rPr>
        <w:t>Data source: Results of interviews with the public</w:t>
      </w:r>
    </w:p>
    <w:p w14:paraId="0C07D9E4" w14:textId="77777777" w:rsidR="00546849" w:rsidRPr="005A0C5B" w:rsidRDefault="00546849" w:rsidP="00E24C5E">
      <w:pPr>
        <w:spacing w:after="0" w:line="240" w:lineRule="auto"/>
        <w:ind w:firstLine="709"/>
        <w:jc w:val="both"/>
        <w:rPr>
          <w:rFonts w:asciiTheme="majorBidi" w:hAnsiTheme="majorBidi" w:cstheme="majorBidi"/>
          <w:bCs/>
          <w:lang w:val="sv-SE"/>
        </w:rPr>
      </w:pPr>
      <w:r w:rsidRPr="00991113">
        <w:rPr>
          <w:rFonts w:asciiTheme="majorBidi" w:hAnsiTheme="majorBidi" w:cstheme="majorBidi"/>
          <w:bCs/>
        </w:rPr>
        <w:t xml:space="preserve">In </w:t>
      </w:r>
      <w:proofErr w:type="spellStart"/>
      <w:r w:rsidRPr="00991113">
        <w:rPr>
          <w:rFonts w:asciiTheme="majorBidi" w:hAnsiTheme="majorBidi" w:cstheme="majorBidi"/>
          <w:bCs/>
        </w:rPr>
        <w:t>pekka</w:t>
      </w:r>
      <w:proofErr w:type="spellEnd"/>
      <w:r w:rsidRPr="00991113">
        <w:rPr>
          <w:rFonts w:asciiTheme="majorBidi" w:hAnsiTheme="majorBidi" w:cstheme="majorBidi"/>
          <w:bCs/>
        </w:rPr>
        <w:t xml:space="preserve"> families, a clear trend can be seen that boys are prioritized in accessing higher formal education than girls. Social, customary, and patriarchal structures embedded in the family limit girls' opportunities to continue their education, so they are often marginalized in decision-making regarding the allocation of educational resources. This condition reinforces the cycle of gender inequality across generations, where women's subordination not only occurs in the current generation but is also passed on to the next generation through unequal access to education.</w:t>
      </w:r>
      <w:r>
        <w:rPr>
          <w:rStyle w:val="FootnoteReference"/>
          <w:rFonts w:asciiTheme="majorBidi" w:hAnsiTheme="majorBidi" w:cstheme="majorBidi"/>
          <w:bCs/>
        </w:rPr>
        <w:footnoteReference w:id="40"/>
      </w:r>
    </w:p>
    <w:p w14:paraId="08CFA689" w14:textId="77777777" w:rsidR="00546849" w:rsidRPr="00546849" w:rsidRDefault="00546849" w:rsidP="00D127B2">
      <w:pPr>
        <w:spacing w:after="0" w:line="240" w:lineRule="auto"/>
        <w:ind w:firstLine="709"/>
        <w:jc w:val="both"/>
        <w:rPr>
          <w:rFonts w:asciiTheme="majorBidi" w:hAnsiTheme="majorBidi" w:cstheme="majorBidi"/>
          <w:bCs/>
        </w:rPr>
      </w:pPr>
      <w:r w:rsidRPr="005A0C5B">
        <w:rPr>
          <w:rFonts w:asciiTheme="majorBidi" w:hAnsiTheme="majorBidi" w:cstheme="majorBidi"/>
          <w:bCs/>
        </w:rPr>
        <w:t xml:space="preserve">The vulnerability of girls' educational rights in </w:t>
      </w:r>
      <w:proofErr w:type="spellStart"/>
      <w:r w:rsidRPr="005A0C5B">
        <w:rPr>
          <w:rFonts w:asciiTheme="majorBidi" w:hAnsiTheme="majorBidi" w:cstheme="majorBidi"/>
          <w:bCs/>
        </w:rPr>
        <w:t>pekka</w:t>
      </w:r>
      <w:proofErr w:type="spellEnd"/>
      <w:r w:rsidRPr="005A0C5B">
        <w:rPr>
          <w:rFonts w:asciiTheme="majorBidi" w:hAnsiTheme="majorBidi" w:cstheme="majorBidi"/>
          <w:bCs/>
        </w:rPr>
        <w:t xml:space="preserve"> families is the result of a complex interaction between patriarchy, poverty, and cultural norms. The economic limitations faced by </w:t>
      </w:r>
      <w:proofErr w:type="spellStart"/>
      <w:r w:rsidRPr="005A0C5B">
        <w:rPr>
          <w:rFonts w:asciiTheme="majorBidi" w:hAnsiTheme="majorBidi" w:cstheme="majorBidi"/>
          <w:bCs/>
        </w:rPr>
        <w:t>pekka</w:t>
      </w:r>
      <w:proofErr w:type="spellEnd"/>
      <w:r w:rsidRPr="005A0C5B">
        <w:rPr>
          <w:rFonts w:asciiTheme="majorBidi" w:hAnsiTheme="majorBidi" w:cstheme="majorBidi"/>
          <w:bCs/>
        </w:rPr>
        <w:t xml:space="preserve"> widows forced them to make priority decisions that were more favorable to boys, as they were considered more strategic or socially and economically productive.</w:t>
      </w:r>
      <w:r>
        <w:rPr>
          <w:rStyle w:val="FootnoteReference"/>
          <w:rFonts w:asciiTheme="majorBidi" w:hAnsiTheme="majorBidi" w:cstheme="majorBidi"/>
          <w:bCs/>
        </w:rPr>
        <w:footnoteReference w:id="41"/>
      </w:r>
      <w:r w:rsidRPr="005A0C5B">
        <w:rPr>
          <w:rFonts w:asciiTheme="majorBidi" w:hAnsiTheme="majorBidi" w:cstheme="majorBidi"/>
          <w:bCs/>
        </w:rPr>
        <w:t xml:space="preserve"> Meanwhile, girls often face the risk of dropping out of school or being limited to only low levels of education, so their opportunities to develop their potential optimally are very limited. This condition reinforces the cycle of subordination and gender inequality across generations, as unequal access to education puts women in a more vulnerable position in various aspects of social and economic life.</w:t>
      </w:r>
      <w:r>
        <w:rPr>
          <w:rStyle w:val="FootnoteReference"/>
          <w:rFonts w:asciiTheme="majorBidi" w:hAnsiTheme="majorBidi" w:cstheme="majorBidi"/>
          <w:bCs/>
        </w:rPr>
        <w:footnoteReference w:id="42"/>
      </w:r>
    </w:p>
    <w:p w14:paraId="76778439" w14:textId="77777777" w:rsidR="00546849" w:rsidRPr="00546849" w:rsidRDefault="00546849" w:rsidP="00214908">
      <w:pPr>
        <w:spacing w:after="0" w:line="240" w:lineRule="auto"/>
        <w:ind w:firstLine="709"/>
        <w:jc w:val="both"/>
        <w:rPr>
          <w:rFonts w:asciiTheme="majorBidi" w:hAnsiTheme="majorBidi" w:cstheme="majorBidi"/>
          <w:bCs/>
        </w:rPr>
      </w:pPr>
      <w:r w:rsidRPr="005A0C5B">
        <w:rPr>
          <w:rFonts w:asciiTheme="majorBidi" w:hAnsiTheme="majorBidi" w:cstheme="majorBidi"/>
          <w:bCs/>
        </w:rPr>
        <w:t xml:space="preserve">To understand the process of vulnerability to girls' educational rights, this study uses a life story approach to seven Kalak </w:t>
      </w:r>
      <w:proofErr w:type="spellStart"/>
      <w:r w:rsidRPr="005A0C5B">
        <w:rPr>
          <w:rFonts w:asciiTheme="majorBidi" w:hAnsiTheme="majorBidi" w:cstheme="majorBidi"/>
          <w:bCs/>
        </w:rPr>
        <w:t>Pakpak</w:t>
      </w:r>
      <w:proofErr w:type="spellEnd"/>
      <w:r w:rsidRPr="005A0C5B">
        <w:rPr>
          <w:rFonts w:asciiTheme="majorBidi" w:hAnsiTheme="majorBidi" w:cstheme="majorBidi"/>
          <w:bCs/>
        </w:rPr>
        <w:t xml:space="preserve"> girls. The life stories of these seven girls concretely show how they experienced the disenfranchisement of the right to access formal education, influenced by gender-biased family decisions and the economic limitations of </w:t>
      </w:r>
      <w:proofErr w:type="spellStart"/>
      <w:r w:rsidRPr="005A0C5B">
        <w:rPr>
          <w:rFonts w:asciiTheme="majorBidi" w:hAnsiTheme="majorBidi" w:cstheme="majorBidi"/>
          <w:bCs/>
        </w:rPr>
        <w:t>pekka</w:t>
      </w:r>
      <w:proofErr w:type="spellEnd"/>
      <w:r w:rsidRPr="005A0C5B">
        <w:rPr>
          <w:rFonts w:asciiTheme="majorBidi" w:hAnsiTheme="majorBidi" w:cstheme="majorBidi"/>
          <w:bCs/>
        </w:rPr>
        <w:t xml:space="preserve"> families.</w:t>
      </w:r>
      <w:r>
        <w:rPr>
          <w:rStyle w:val="FootnoteReference"/>
          <w:rFonts w:asciiTheme="majorBidi" w:hAnsiTheme="majorBidi" w:cstheme="majorBidi"/>
          <w:bCs/>
        </w:rPr>
        <w:footnoteReference w:id="43"/>
      </w:r>
      <w:r w:rsidRPr="005A0C5B">
        <w:rPr>
          <w:rFonts w:asciiTheme="majorBidi" w:hAnsiTheme="majorBidi" w:cstheme="majorBidi"/>
          <w:bCs/>
        </w:rPr>
        <w:t xml:space="preserve"> Through a life story approach, this study emphasizes girls' subjective experiences as part of a social reality that combines patriarchal factors, poverty, and cultural norms. This approach not only features quantitative data, but also elevates girls' voices and perspectives, thus enriching understanding of </w:t>
      </w:r>
      <w:r w:rsidRPr="005A0C5B">
        <w:rPr>
          <w:rFonts w:asciiTheme="majorBidi" w:hAnsiTheme="majorBidi" w:cstheme="majorBidi"/>
          <w:bCs/>
        </w:rPr>
        <w:lastRenderedPageBreak/>
        <w:t xml:space="preserve">how gender inequality at the family level directly impacts their educational rights. The results of data collection through this life story provide a humanist and academic picture of the vulnerability of girls' rights, while emphasizing the need for gender-sensitive and contextual interventions for </w:t>
      </w:r>
      <w:proofErr w:type="spellStart"/>
      <w:r w:rsidRPr="005A0C5B">
        <w:rPr>
          <w:rFonts w:asciiTheme="majorBidi" w:hAnsiTheme="majorBidi" w:cstheme="majorBidi"/>
          <w:bCs/>
        </w:rPr>
        <w:t>pekka</w:t>
      </w:r>
      <w:proofErr w:type="spellEnd"/>
      <w:r w:rsidRPr="005A0C5B">
        <w:rPr>
          <w:rFonts w:asciiTheme="majorBidi" w:hAnsiTheme="majorBidi" w:cstheme="majorBidi"/>
          <w:bCs/>
        </w:rPr>
        <w:t xml:space="preserve"> families in the Batak Papak community.</w:t>
      </w:r>
      <w:r>
        <w:rPr>
          <w:rStyle w:val="FootnoteReference"/>
          <w:rFonts w:asciiTheme="majorBidi" w:hAnsiTheme="majorBidi" w:cstheme="majorBidi"/>
          <w:bCs/>
        </w:rPr>
        <w:footnoteReference w:id="44"/>
      </w:r>
    </w:p>
    <w:p w14:paraId="4D31FCC4" w14:textId="77777777" w:rsidR="00546849" w:rsidRPr="00991113" w:rsidRDefault="00546849" w:rsidP="008E54BA">
      <w:pPr>
        <w:spacing w:after="0" w:line="240" w:lineRule="auto"/>
        <w:ind w:firstLine="709"/>
        <w:jc w:val="both"/>
        <w:rPr>
          <w:rFonts w:asciiTheme="majorBidi" w:hAnsiTheme="majorBidi" w:cstheme="majorBidi"/>
          <w:bCs/>
          <w:lang w:val="sv-SE"/>
        </w:rPr>
      </w:pPr>
      <w:r w:rsidRPr="005A0C5B">
        <w:rPr>
          <w:rFonts w:asciiTheme="majorBidi" w:hAnsiTheme="majorBidi" w:cstheme="majorBidi"/>
          <w:bCs/>
        </w:rPr>
        <w:t xml:space="preserve">In general, the portrait of the life of the widow of Pekka Kalak </w:t>
      </w:r>
      <w:proofErr w:type="spellStart"/>
      <w:r w:rsidRPr="005A0C5B">
        <w:rPr>
          <w:rFonts w:asciiTheme="majorBidi" w:hAnsiTheme="majorBidi" w:cstheme="majorBidi"/>
          <w:bCs/>
        </w:rPr>
        <w:t>Pakpak</w:t>
      </w:r>
      <w:proofErr w:type="spellEnd"/>
      <w:r w:rsidRPr="005A0C5B">
        <w:rPr>
          <w:rFonts w:asciiTheme="majorBidi" w:hAnsiTheme="majorBidi" w:cstheme="majorBidi"/>
          <w:bCs/>
        </w:rPr>
        <w:t xml:space="preserve"> shows that patriarchy and poverty interact with each other in a complex way, thus creating a vulnerability to girls' educational rights. In families, girls are often marginalized, as customary norms, social structures, and economic limitations simultaneously reinforce cycles of subordination across generations. This phenomenon confirms that gender inequality cannot be partially understood, but rather requires a multidisciplinary approach that integrates social, legal, and Islamic feminist perspectives. By understanding the interaction between patriarchy, poverty, and culture, this study aims to provide a comprehensive picture of the factors that limit girls' rights, as well as the basis for formulating gender-sensitive and contextual intervention strategies for </w:t>
      </w:r>
      <w:proofErr w:type="spellStart"/>
      <w:r w:rsidRPr="005A0C5B">
        <w:rPr>
          <w:rFonts w:asciiTheme="majorBidi" w:hAnsiTheme="majorBidi" w:cstheme="majorBidi"/>
          <w:bCs/>
        </w:rPr>
        <w:t>pekka</w:t>
      </w:r>
      <w:proofErr w:type="spellEnd"/>
      <w:r w:rsidRPr="005A0C5B">
        <w:rPr>
          <w:rFonts w:asciiTheme="majorBidi" w:hAnsiTheme="majorBidi" w:cstheme="majorBidi"/>
          <w:bCs/>
        </w:rPr>
        <w:t xml:space="preserve"> families in the </w:t>
      </w:r>
      <w:proofErr w:type="spellStart"/>
      <w:r w:rsidRPr="005A0C5B">
        <w:rPr>
          <w:rFonts w:asciiTheme="majorBidi" w:hAnsiTheme="majorBidi" w:cstheme="majorBidi"/>
          <w:bCs/>
        </w:rPr>
        <w:t>Pakpak</w:t>
      </w:r>
      <w:proofErr w:type="spellEnd"/>
      <w:r w:rsidRPr="005A0C5B">
        <w:rPr>
          <w:rFonts w:asciiTheme="majorBidi" w:hAnsiTheme="majorBidi" w:cstheme="majorBidi"/>
          <w:bCs/>
        </w:rPr>
        <w:t xml:space="preserve"> community.</w:t>
      </w:r>
      <w:r>
        <w:rPr>
          <w:rStyle w:val="FootnoteReference"/>
          <w:rFonts w:asciiTheme="majorBidi" w:hAnsiTheme="majorBidi" w:cstheme="majorBidi"/>
          <w:bCs/>
        </w:rPr>
        <w:footnoteReference w:id="45"/>
      </w:r>
    </w:p>
    <w:p w14:paraId="7946FA10" w14:textId="77777777" w:rsidR="00546849" w:rsidRPr="00581296" w:rsidRDefault="00546849" w:rsidP="008B3C18">
      <w:pPr>
        <w:spacing w:after="0" w:line="240" w:lineRule="auto"/>
        <w:jc w:val="both"/>
        <w:rPr>
          <w:rFonts w:asciiTheme="majorBidi" w:hAnsiTheme="majorBidi" w:cstheme="majorBidi"/>
          <w:b/>
          <w:lang w:val="sv-SE"/>
        </w:rPr>
      </w:pPr>
      <w:r w:rsidRPr="00581296">
        <w:rPr>
          <w:rFonts w:asciiTheme="majorBidi" w:hAnsiTheme="majorBidi" w:cstheme="majorBidi"/>
          <w:b/>
        </w:rPr>
        <w:t xml:space="preserve">Between School and Economic Life: The Life Story of Kalak </w:t>
      </w:r>
      <w:proofErr w:type="spellStart"/>
      <w:r w:rsidRPr="00581296">
        <w:rPr>
          <w:rFonts w:asciiTheme="majorBidi" w:hAnsiTheme="majorBidi" w:cstheme="majorBidi"/>
          <w:b/>
        </w:rPr>
        <w:t>Pakpak's</w:t>
      </w:r>
      <w:proofErr w:type="spellEnd"/>
      <w:r w:rsidRPr="00581296">
        <w:rPr>
          <w:rFonts w:asciiTheme="majorBidi" w:hAnsiTheme="majorBidi" w:cstheme="majorBidi"/>
          <w:b/>
        </w:rPr>
        <w:t xml:space="preserve"> Seven Daughters</w:t>
      </w:r>
    </w:p>
    <w:p w14:paraId="0F87D496" w14:textId="77777777" w:rsidR="00546849" w:rsidRPr="00991113" w:rsidRDefault="00791B8D" w:rsidP="00755B5C">
      <w:pPr>
        <w:spacing w:after="0" w:line="240" w:lineRule="auto"/>
        <w:jc w:val="both"/>
        <w:rPr>
          <w:rFonts w:asciiTheme="majorBidi" w:hAnsiTheme="majorBidi" w:cstheme="majorBidi"/>
          <w:bCs/>
          <w:lang w:val="sv-SE"/>
        </w:rPr>
      </w:pPr>
      <w:r w:rsidRPr="00991113">
        <w:rPr>
          <w:rFonts w:asciiTheme="majorBidi" w:hAnsiTheme="majorBidi" w:cstheme="majorBidi"/>
          <w:bCs/>
          <w:lang w:val="sv-SE"/>
        </w:rPr>
        <w:tab/>
      </w:r>
      <w:r w:rsidR="00546849" w:rsidRPr="00991113">
        <w:rPr>
          <w:rFonts w:asciiTheme="majorBidi" w:hAnsiTheme="majorBidi" w:cstheme="majorBidi"/>
          <w:bCs/>
        </w:rPr>
        <w:t xml:space="preserve">The lives of girls in poor families are often at the crossroads between their right to formal education and the economic needs of the family. In </w:t>
      </w:r>
      <w:proofErr w:type="spellStart"/>
      <w:r w:rsidR="00546849" w:rsidRPr="00991113">
        <w:rPr>
          <w:rFonts w:asciiTheme="majorBidi" w:hAnsiTheme="majorBidi" w:cstheme="majorBidi"/>
          <w:bCs/>
        </w:rPr>
        <w:t>Pegagan</w:t>
      </w:r>
      <w:proofErr w:type="spellEnd"/>
      <w:r w:rsidR="00546849" w:rsidRPr="00991113">
        <w:rPr>
          <w:rFonts w:asciiTheme="majorBidi" w:hAnsiTheme="majorBidi" w:cstheme="majorBidi"/>
          <w:bCs/>
        </w:rPr>
        <w:t xml:space="preserve"> Julu VIII Village, the Kalak </w:t>
      </w:r>
      <w:proofErr w:type="spellStart"/>
      <w:r w:rsidR="00546849" w:rsidRPr="00991113">
        <w:rPr>
          <w:rFonts w:asciiTheme="majorBidi" w:hAnsiTheme="majorBidi" w:cstheme="majorBidi"/>
          <w:bCs/>
        </w:rPr>
        <w:t>Pakpak</w:t>
      </w:r>
      <w:proofErr w:type="spellEnd"/>
      <w:r w:rsidR="00546849" w:rsidRPr="00991113">
        <w:rPr>
          <w:rFonts w:asciiTheme="majorBidi" w:hAnsiTheme="majorBidi" w:cstheme="majorBidi"/>
          <w:bCs/>
        </w:rPr>
        <w:t xml:space="preserve"> community still maintains patriarchal values that influence family decisions, especially in terms of girls' access to education. The life stories of seven girls from a </w:t>
      </w:r>
      <w:proofErr w:type="spellStart"/>
      <w:r w:rsidR="00546849" w:rsidRPr="00991113">
        <w:rPr>
          <w:rFonts w:asciiTheme="majorBidi" w:hAnsiTheme="majorBidi" w:cstheme="majorBidi"/>
          <w:bCs/>
        </w:rPr>
        <w:t>pekka</w:t>
      </w:r>
      <w:proofErr w:type="spellEnd"/>
      <w:r w:rsidR="00546849" w:rsidRPr="00991113">
        <w:rPr>
          <w:rFonts w:asciiTheme="majorBidi" w:hAnsiTheme="majorBidi" w:cstheme="majorBidi"/>
          <w:bCs/>
        </w:rPr>
        <w:t xml:space="preserve"> widow family in this village show how economic limitations and patriarchal social structures interact with each other, so that their right to continue their education is often neglected, forcing some of them to work at a young age to support the survival of the family.</w:t>
      </w:r>
      <w:r w:rsidR="00546849">
        <w:rPr>
          <w:rStyle w:val="FootnoteReference"/>
          <w:rFonts w:asciiTheme="majorBidi" w:hAnsiTheme="majorBidi" w:cstheme="majorBidi"/>
          <w:bCs/>
        </w:rPr>
        <w:footnoteReference w:id="46"/>
      </w:r>
    </w:p>
    <w:p w14:paraId="7EBD430C" w14:textId="77777777" w:rsidR="00546849" w:rsidRPr="00991113" w:rsidRDefault="00546849" w:rsidP="00856E2E">
      <w:pPr>
        <w:spacing w:after="0" w:line="240" w:lineRule="auto"/>
        <w:ind w:firstLine="709"/>
        <w:jc w:val="both"/>
        <w:rPr>
          <w:rFonts w:asciiTheme="majorBidi" w:hAnsiTheme="majorBidi" w:cstheme="majorBidi"/>
          <w:bCs/>
          <w:lang w:val="sv-SE"/>
        </w:rPr>
      </w:pPr>
      <w:r w:rsidRPr="00D8451F">
        <w:rPr>
          <w:rFonts w:asciiTheme="majorBidi" w:hAnsiTheme="majorBidi" w:cstheme="majorBidi"/>
          <w:bCs/>
        </w:rPr>
        <w:t xml:space="preserve">The following is a brief description of seven daughters from the Pekka family who were forced, or forced by circumstances, especially poverty, to drop out of school. The seven girls left their village for the city of Medan and started working at a young age to support the family economy and finance their brother's education. The life story of </w:t>
      </w:r>
      <w:proofErr w:type="spellStart"/>
      <w:r w:rsidRPr="00D8451F">
        <w:rPr>
          <w:rFonts w:asciiTheme="majorBidi" w:hAnsiTheme="majorBidi" w:cstheme="majorBidi"/>
          <w:bCs/>
        </w:rPr>
        <w:t>Tiur</w:t>
      </w:r>
      <w:proofErr w:type="spellEnd"/>
      <w:r w:rsidRPr="00D8451F">
        <w:rPr>
          <w:rFonts w:asciiTheme="majorBidi" w:hAnsiTheme="majorBidi" w:cstheme="majorBidi"/>
          <w:bCs/>
        </w:rPr>
        <w:t xml:space="preserve"> Berru </w:t>
      </w:r>
      <w:proofErr w:type="spellStart"/>
      <w:r w:rsidRPr="00D8451F">
        <w:rPr>
          <w:rFonts w:asciiTheme="majorBidi" w:hAnsiTheme="majorBidi" w:cstheme="majorBidi"/>
          <w:bCs/>
        </w:rPr>
        <w:t>Sinamo</w:t>
      </w:r>
      <w:proofErr w:type="spellEnd"/>
      <w:r w:rsidRPr="00D8451F">
        <w:rPr>
          <w:rFonts w:asciiTheme="majorBidi" w:hAnsiTheme="majorBidi" w:cstheme="majorBidi"/>
          <w:bCs/>
        </w:rPr>
        <w:t xml:space="preserve"> (18 years old) describes the journey of a girl from a poor family. </w:t>
      </w:r>
      <w:proofErr w:type="spellStart"/>
      <w:r w:rsidRPr="00D8451F">
        <w:rPr>
          <w:rFonts w:asciiTheme="majorBidi" w:hAnsiTheme="majorBidi" w:cstheme="majorBidi"/>
          <w:bCs/>
        </w:rPr>
        <w:t>Tiur</w:t>
      </w:r>
      <w:proofErr w:type="spellEnd"/>
      <w:r w:rsidRPr="00D8451F">
        <w:rPr>
          <w:rFonts w:asciiTheme="majorBidi" w:hAnsiTheme="majorBidi" w:cstheme="majorBidi"/>
          <w:bCs/>
        </w:rPr>
        <w:t xml:space="preserve"> was the third of eight children, consisting of three boys and five girls. He only completed his education until junior high school (SMP), even though he aspired to continue to the high school level and even become a bachelor of education. Considering that his mother was a widow who lived in poverty, </w:t>
      </w:r>
      <w:proofErr w:type="spellStart"/>
      <w:r w:rsidRPr="00D8451F">
        <w:rPr>
          <w:rFonts w:asciiTheme="majorBidi" w:hAnsiTheme="majorBidi" w:cstheme="majorBidi"/>
          <w:bCs/>
        </w:rPr>
        <w:t>Tiur</w:t>
      </w:r>
      <w:proofErr w:type="spellEnd"/>
      <w:r w:rsidRPr="00D8451F">
        <w:rPr>
          <w:rFonts w:asciiTheme="majorBidi" w:hAnsiTheme="majorBidi" w:cstheme="majorBidi"/>
          <w:bCs/>
        </w:rPr>
        <w:t xml:space="preserve"> was willing to drop out of school. His mother then decided to send </w:t>
      </w:r>
      <w:proofErr w:type="spellStart"/>
      <w:r w:rsidRPr="00D8451F">
        <w:rPr>
          <w:rFonts w:asciiTheme="majorBidi" w:hAnsiTheme="majorBidi" w:cstheme="majorBidi"/>
          <w:bCs/>
        </w:rPr>
        <w:t>Tiur</w:t>
      </w:r>
      <w:proofErr w:type="spellEnd"/>
      <w:r w:rsidRPr="00D8451F">
        <w:rPr>
          <w:rFonts w:asciiTheme="majorBidi" w:hAnsiTheme="majorBidi" w:cstheme="majorBidi"/>
          <w:bCs/>
        </w:rPr>
        <w:t xml:space="preserve"> to distant relatives in Medan to find a job according to his education and skills. It is hoped that </w:t>
      </w:r>
      <w:proofErr w:type="spellStart"/>
      <w:r w:rsidRPr="00D8451F">
        <w:rPr>
          <w:rFonts w:asciiTheme="majorBidi" w:hAnsiTheme="majorBidi" w:cstheme="majorBidi"/>
          <w:bCs/>
        </w:rPr>
        <w:t>Tiur's</w:t>
      </w:r>
      <w:proofErr w:type="spellEnd"/>
      <w:r w:rsidRPr="00D8451F">
        <w:rPr>
          <w:rFonts w:asciiTheme="majorBidi" w:hAnsiTheme="majorBidi" w:cstheme="majorBidi"/>
          <w:bCs/>
        </w:rPr>
        <w:t xml:space="preserve"> income can help overcome the economic burden on the family. Thanks to the services of relatives, </w:t>
      </w:r>
      <w:proofErr w:type="spellStart"/>
      <w:r w:rsidRPr="00D8451F">
        <w:rPr>
          <w:rFonts w:asciiTheme="majorBidi" w:hAnsiTheme="majorBidi" w:cstheme="majorBidi"/>
          <w:bCs/>
        </w:rPr>
        <w:t>Tiur</w:t>
      </w:r>
      <w:proofErr w:type="spellEnd"/>
      <w:r w:rsidRPr="00D8451F">
        <w:rPr>
          <w:rFonts w:asciiTheme="majorBidi" w:hAnsiTheme="majorBidi" w:cstheme="majorBidi"/>
          <w:bCs/>
        </w:rPr>
        <w:t xml:space="preserve"> was hired as an internet café guard. Currently, he has been working for three years and part of his income is sent to his mother, including to finance his brother's education.</w:t>
      </w:r>
    </w:p>
    <w:p w14:paraId="64A94882" w14:textId="77777777" w:rsidR="00546849" w:rsidRPr="00991113" w:rsidRDefault="00546849" w:rsidP="00F7532A">
      <w:pPr>
        <w:spacing w:after="0" w:line="240" w:lineRule="auto"/>
        <w:ind w:firstLine="709"/>
        <w:jc w:val="both"/>
        <w:rPr>
          <w:rFonts w:asciiTheme="majorBidi" w:hAnsiTheme="majorBidi" w:cstheme="majorBidi"/>
          <w:bCs/>
          <w:lang w:val="sv-SE"/>
        </w:rPr>
      </w:pPr>
      <w:proofErr w:type="spellStart"/>
      <w:r w:rsidRPr="00D8451F">
        <w:rPr>
          <w:rFonts w:asciiTheme="majorBidi" w:hAnsiTheme="majorBidi" w:cstheme="majorBidi"/>
          <w:bCs/>
        </w:rPr>
        <w:t>Lbrn</w:t>
      </w:r>
      <w:proofErr w:type="spellEnd"/>
      <w:r w:rsidRPr="00D8451F">
        <w:rPr>
          <w:rFonts w:asciiTheme="majorBidi" w:hAnsiTheme="majorBidi" w:cstheme="majorBidi"/>
          <w:bCs/>
        </w:rPr>
        <w:t xml:space="preserve"> (19 years old) suffered a similar fate. He only finished the 2nd grade of junior high school because his widowed mother could not afford it. </w:t>
      </w:r>
      <w:proofErr w:type="spellStart"/>
      <w:r w:rsidRPr="00D8451F">
        <w:rPr>
          <w:rFonts w:asciiTheme="majorBidi" w:hAnsiTheme="majorBidi" w:cstheme="majorBidi"/>
          <w:bCs/>
        </w:rPr>
        <w:t>Lbrn</w:t>
      </w:r>
      <w:proofErr w:type="spellEnd"/>
      <w:r w:rsidRPr="00D8451F">
        <w:rPr>
          <w:rFonts w:asciiTheme="majorBidi" w:hAnsiTheme="majorBidi" w:cstheme="majorBidi"/>
          <w:bCs/>
        </w:rPr>
        <w:t xml:space="preserve"> is the fourth of nine children. His mother sent him to follow his female cousin who had a family in Medan in the hope that he could </w:t>
      </w:r>
      <w:r w:rsidRPr="00D8451F">
        <w:rPr>
          <w:rFonts w:asciiTheme="majorBidi" w:hAnsiTheme="majorBidi" w:cstheme="majorBidi"/>
          <w:bCs/>
        </w:rPr>
        <w:lastRenderedPageBreak/>
        <w:t xml:space="preserve">go to school or find a job. However, </w:t>
      </w:r>
      <w:proofErr w:type="spellStart"/>
      <w:r w:rsidRPr="00D8451F">
        <w:rPr>
          <w:rFonts w:asciiTheme="majorBidi" w:hAnsiTheme="majorBidi" w:cstheme="majorBidi"/>
          <w:bCs/>
        </w:rPr>
        <w:t>Lbrn</w:t>
      </w:r>
      <w:proofErr w:type="spellEnd"/>
      <w:r w:rsidRPr="00D8451F">
        <w:rPr>
          <w:rFonts w:asciiTheme="majorBidi" w:hAnsiTheme="majorBidi" w:cstheme="majorBidi"/>
          <w:bCs/>
        </w:rPr>
        <w:t xml:space="preserve"> was instead exploited, being employed as a housekeeper and childminder without pay. He must be patient and accept the situation in order to maintain family relationships, as well as understand the burden of his mother's life. After a year, her fate changed when a cousin's neighbor offered her a job as an elderly nurse in a nursing home. After attending the training, </w:t>
      </w:r>
      <w:proofErr w:type="spellStart"/>
      <w:r w:rsidRPr="00D8451F">
        <w:rPr>
          <w:rFonts w:asciiTheme="majorBidi" w:hAnsiTheme="majorBidi" w:cstheme="majorBidi"/>
          <w:bCs/>
        </w:rPr>
        <w:t>Lbrn</w:t>
      </w:r>
      <w:proofErr w:type="spellEnd"/>
      <w:r w:rsidRPr="00D8451F">
        <w:rPr>
          <w:rFonts w:asciiTheme="majorBidi" w:hAnsiTheme="majorBidi" w:cstheme="majorBidi"/>
          <w:bCs/>
        </w:rPr>
        <w:t xml:space="preserve"> was accepted to work and his income was allocated to help the family economy and finance his brother's education.</w:t>
      </w:r>
    </w:p>
    <w:p w14:paraId="7C7C1610" w14:textId="39B898DB" w:rsidR="00350746" w:rsidRPr="00991113" w:rsidRDefault="00546849" w:rsidP="00350746">
      <w:pPr>
        <w:spacing w:after="0" w:line="240" w:lineRule="auto"/>
        <w:ind w:firstLine="709"/>
        <w:jc w:val="both"/>
        <w:rPr>
          <w:rFonts w:asciiTheme="majorBidi" w:hAnsiTheme="majorBidi" w:cstheme="majorBidi"/>
          <w:bCs/>
          <w:lang w:val="sv-SE"/>
        </w:rPr>
      </w:pPr>
      <w:r w:rsidRPr="00D8451F">
        <w:rPr>
          <w:rFonts w:asciiTheme="majorBidi" w:hAnsiTheme="majorBidi" w:cstheme="majorBidi"/>
          <w:bCs/>
        </w:rPr>
        <w:t>The story of 20-year-old As, the eldest with three brothers, also shows the struggles of life. He has been living with his widowed mother since the 5th grade of elementary school. Since the family did not own land, they relied on work as farm laborers. Astuti dropped out of school in the 5th grade of elementary school to help her mother. He was willing to work hard in the fields and at home, while his brother was directed to go to school and play. Young age did not prevent Astuti from bearing a double burden, until at the age of 16 she was taken to Medan by her mother's neighbors and tried various jobs, ranging from restaurant clerks to housekeepers. His income was left to his mother for the needs of his family and the education of his younger siblings</w:t>
      </w:r>
      <w:r w:rsidR="00350746" w:rsidRPr="00D8451F">
        <w:rPr>
          <w:rFonts w:asciiTheme="majorBidi" w:hAnsiTheme="majorBidi" w:cstheme="majorBidi"/>
          <w:bCs/>
          <w:lang w:val="sv-SE"/>
        </w:rPr>
        <w:t>.</w:t>
      </w:r>
    </w:p>
    <w:p w14:paraId="2FA2BC9B" w14:textId="77777777" w:rsidR="00546849" w:rsidRPr="00991113" w:rsidRDefault="00546849" w:rsidP="00466A4C">
      <w:pPr>
        <w:spacing w:after="0" w:line="240" w:lineRule="auto"/>
        <w:ind w:firstLine="709"/>
        <w:jc w:val="both"/>
        <w:rPr>
          <w:rFonts w:asciiTheme="majorBidi" w:hAnsiTheme="majorBidi" w:cstheme="majorBidi"/>
          <w:bCs/>
          <w:lang w:val="sv-SE"/>
        </w:rPr>
      </w:pPr>
      <w:r w:rsidRPr="00D8451F">
        <w:rPr>
          <w:rFonts w:asciiTheme="majorBidi" w:hAnsiTheme="majorBidi" w:cstheme="majorBidi"/>
          <w:bCs/>
        </w:rPr>
        <w:t>Mide, the eldest of six children, has four brothers. Since losing his father at the age of 10, he has helped his mother work in the house and rice fields. He only had time to go to school until the 2nd grade of junior high school before joining relatives in the city to work. Thanks to the help of relatives who owned a private school foundation, Mide was employed as a school canteen waitress for four years, and part of her income was always sent to her mother to support the family.</w:t>
      </w:r>
    </w:p>
    <w:p w14:paraId="1FE32F15" w14:textId="77777777" w:rsidR="00546849" w:rsidRPr="00991113" w:rsidRDefault="00546849" w:rsidP="00FE2F1F">
      <w:pPr>
        <w:spacing w:after="0" w:line="240" w:lineRule="auto"/>
        <w:ind w:firstLine="709"/>
        <w:jc w:val="both"/>
        <w:rPr>
          <w:rFonts w:asciiTheme="majorBidi" w:hAnsiTheme="majorBidi" w:cstheme="majorBidi"/>
          <w:bCs/>
          <w:lang w:val="sv-SE"/>
        </w:rPr>
      </w:pPr>
      <w:r w:rsidRPr="00D8451F">
        <w:rPr>
          <w:rFonts w:asciiTheme="majorBidi" w:hAnsiTheme="majorBidi" w:cstheme="majorBidi"/>
          <w:bCs/>
        </w:rPr>
        <w:t>Emmy, the eldest of four children, originally aspired to be an economics bachelor. However, his father left the family when he was 11 years old, so his mother lived as a widow. Her limited economic background made Emmy unable to continue her education to high school. He followed his mother's orders to work in the city. Initially working as a cleaning clerk, Emmy was later promoted to cashier because she was smart and honest. During his three years of work, he routinely sent part of his salary to support his younger siblings' education.</w:t>
      </w:r>
    </w:p>
    <w:p w14:paraId="1B2B403D" w14:textId="77777777" w:rsidR="00546849" w:rsidRPr="00991113" w:rsidRDefault="00546849" w:rsidP="004F3B32">
      <w:pPr>
        <w:spacing w:after="0" w:line="240" w:lineRule="auto"/>
        <w:ind w:firstLine="709"/>
        <w:jc w:val="both"/>
        <w:rPr>
          <w:rFonts w:asciiTheme="majorBidi" w:hAnsiTheme="majorBidi" w:cstheme="majorBidi"/>
          <w:bCs/>
          <w:lang w:val="sv-SE"/>
        </w:rPr>
      </w:pPr>
      <w:r w:rsidRPr="00D8451F">
        <w:rPr>
          <w:rFonts w:asciiTheme="majorBidi" w:hAnsiTheme="majorBidi" w:cstheme="majorBidi"/>
          <w:bCs/>
        </w:rPr>
        <w:t xml:space="preserve">Marni's story is more heartbreaking. At the age of 13, she was sexually abused by her own father. After the incident, her mother separated from her husband. Marni and her three younger brothers live with her mother who lives in poverty. Their originally large land was withdrawn by her father's family, so Marni only finished elementary school before being sent to Medan by her mother. He was entrusted to relatives and employed as a cleaning service worker in a large church, part of his income was sent to the family's needs. </w:t>
      </w:r>
    </w:p>
    <w:p w14:paraId="5B7D77F5" w14:textId="77777777" w:rsidR="00546849" w:rsidRPr="00546849" w:rsidRDefault="00546849" w:rsidP="00357FAE">
      <w:pPr>
        <w:spacing w:after="0" w:line="240" w:lineRule="auto"/>
        <w:ind w:firstLine="709"/>
        <w:jc w:val="both"/>
        <w:rPr>
          <w:rFonts w:asciiTheme="majorBidi" w:hAnsiTheme="majorBidi" w:cstheme="majorBidi"/>
          <w:bCs/>
        </w:rPr>
      </w:pPr>
      <w:r w:rsidRPr="00D8451F">
        <w:rPr>
          <w:rFonts w:asciiTheme="majorBidi" w:hAnsiTheme="majorBidi" w:cstheme="majorBidi"/>
          <w:bCs/>
        </w:rPr>
        <w:t>Mende, the third of four children, lived with his widowed mother since the age of 8 because his father died of liver disease. He only finished elementary school and followed his father's relatives to Medan. Before getting a permanent job, she helped take care of the relatives' children. Later, she worked as a cook's assistant in the church canteen, a job she took for five years. Mende left his entire salary to his mother to provide for the family's living needs and a portion for his brother's education.</w:t>
      </w:r>
    </w:p>
    <w:p w14:paraId="60470EC9" w14:textId="77777777" w:rsidR="00546849" w:rsidRPr="00546849" w:rsidRDefault="00546849" w:rsidP="000C3206">
      <w:pPr>
        <w:spacing w:after="0" w:line="240" w:lineRule="auto"/>
        <w:ind w:firstLine="709"/>
        <w:jc w:val="both"/>
        <w:rPr>
          <w:rFonts w:asciiTheme="majorBidi" w:hAnsiTheme="majorBidi" w:cstheme="majorBidi"/>
          <w:bCs/>
        </w:rPr>
      </w:pPr>
      <w:r w:rsidRPr="00546849">
        <w:rPr>
          <w:rFonts w:asciiTheme="majorBidi" w:hAnsiTheme="majorBidi" w:cstheme="majorBidi"/>
          <w:bCs/>
        </w:rPr>
        <w:t xml:space="preserve">The description of the life history of the seven widowed daughters of Pekka presents a touching story while showing their generosity. They are devoted and sacrifice for the sake of their families, willing to drop out of school to ensure their brothers get an education, while working hard to support the family's economy. Their presence in the city is only to earn a modest income, but their role in supporting the education of their younger siblings is huge. Ironically, in the midst </w:t>
      </w:r>
      <w:r w:rsidRPr="00546849">
        <w:rPr>
          <w:rFonts w:asciiTheme="majorBidi" w:hAnsiTheme="majorBidi" w:cstheme="majorBidi"/>
          <w:bCs/>
        </w:rPr>
        <w:lastRenderedPageBreak/>
        <w:t>of the government's enthusiasm for educational equality, the reality is that these girls are prevented from obtaining higher formal education due to poverty and patriarchal structures.</w:t>
      </w:r>
      <w:r>
        <w:rPr>
          <w:rStyle w:val="FootnoteReference"/>
          <w:rFonts w:asciiTheme="majorBidi" w:hAnsiTheme="majorBidi" w:cstheme="majorBidi"/>
          <w:bCs/>
        </w:rPr>
        <w:footnoteReference w:id="47"/>
      </w:r>
    </w:p>
    <w:p w14:paraId="2DCC27BA" w14:textId="77777777" w:rsidR="00546849" w:rsidRPr="00E05C39" w:rsidRDefault="00546849" w:rsidP="00144A08">
      <w:pPr>
        <w:spacing w:after="0" w:line="240" w:lineRule="auto"/>
        <w:jc w:val="both"/>
        <w:rPr>
          <w:rFonts w:asciiTheme="majorBidi" w:hAnsiTheme="majorBidi" w:cstheme="majorBidi"/>
          <w:b/>
          <w:lang w:val="sv-SE"/>
        </w:rPr>
      </w:pPr>
      <w:r w:rsidRPr="00E05C39">
        <w:rPr>
          <w:rFonts w:asciiTheme="majorBidi" w:hAnsiTheme="majorBidi" w:cstheme="majorBidi"/>
          <w:b/>
          <w:i/>
          <w:iCs/>
        </w:rPr>
        <w:t>Double Oppression</w:t>
      </w:r>
      <w:r w:rsidRPr="00E05C39">
        <w:rPr>
          <w:rFonts w:asciiTheme="majorBidi" w:hAnsiTheme="majorBidi" w:cstheme="majorBidi"/>
          <w:b/>
        </w:rPr>
        <w:t xml:space="preserve">: Patriarchy and Poverty in Hindering Girls' Education in Kalak </w:t>
      </w:r>
      <w:proofErr w:type="spellStart"/>
      <w:r w:rsidRPr="00E05C39">
        <w:rPr>
          <w:rFonts w:asciiTheme="majorBidi" w:hAnsiTheme="majorBidi" w:cstheme="majorBidi"/>
          <w:b/>
        </w:rPr>
        <w:t>Pakpak</w:t>
      </w:r>
      <w:proofErr w:type="spellEnd"/>
    </w:p>
    <w:p w14:paraId="6164A3BE" w14:textId="77777777" w:rsidR="00546849" w:rsidRPr="00991113" w:rsidRDefault="00791B8D" w:rsidP="00A20175">
      <w:pPr>
        <w:spacing w:after="0" w:line="240" w:lineRule="auto"/>
        <w:jc w:val="both"/>
        <w:rPr>
          <w:rFonts w:asciiTheme="majorBidi" w:hAnsiTheme="majorBidi" w:cstheme="majorBidi"/>
          <w:bCs/>
          <w:lang w:val="sv-SE"/>
        </w:rPr>
      </w:pPr>
      <w:r w:rsidRPr="00991113">
        <w:rPr>
          <w:rFonts w:asciiTheme="majorBidi" w:hAnsiTheme="majorBidi" w:cstheme="majorBidi"/>
          <w:bCs/>
          <w:lang w:val="sv-SE"/>
        </w:rPr>
        <w:t xml:space="preserve"> </w:t>
      </w:r>
      <w:r w:rsidRPr="00991113">
        <w:rPr>
          <w:rFonts w:asciiTheme="majorBidi" w:hAnsiTheme="majorBidi" w:cstheme="majorBidi"/>
          <w:bCs/>
          <w:lang w:val="sv-SE"/>
        </w:rPr>
        <w:tab/>
      </w:r>
      <w:r w:rsidR="00546849" w:rsidRPr="00991113">
        <w:rPr>
          <w:rFonts w:asciiTheme="majorBidi" w:hAnsiTheme="majorBidi" w:cstheme="majorBidi"/>
          <w:bCs/>
        </w:rPr>
        <w:t>Patriarchy is a big concept, a central study and as the main feminist framework to explain the root causes of gender inequality in various societies and cultures</w:t>
      </w:r>
      <w:r w:rsidR="00546849">
        <w:rPr>
          <w:rStyle w:val="FootnoteReference"/>
        </w:rPr>
        <w:footnoteReference w:id="48"/>
      </w:r>
      <w:r w:rsidR="00546849" w:rsidRPr="00991113">
        <w:rPr>
          <w:rFonts w:asciiTheme="majorBidi" w:hAnsiTheme="majorBidi" w:cstheme="majorBidi"/>
          <w:bCs/>
        </w:rPr>
        <w:t>. The social system that oppresses women through the social structure is patriarchal. More specifically, she defines patriarchy as a system of structures and practices in which men dominate, oppress and suck women</w:t>
      </w:r>
      <w:r w:rsidR="00546849">
        <w:rPr>
          <w:rStyle w:val="FootnoteReference"/>
        </w:rPr>
        <w:footnoteReference w:id="49"/>
      </w:r>
      <w:r w:rsidR="00546849" w:rsidRPr="00991113">
        <w:rPr>
          <w:rFonts w:asciiTheme="majorBidi" w:hAnsiTheme="majorBidi" w:cstheme="majorBidi"/>
          <w:bCs/>
        </w:rPr>
        <w:t>. Patriarchy is a system of male authority that oppresses women through social, political and economic institutions. According to Walby, there are actually two patriarchies, namely "private patriarchy" and public patriarchy</w:t>
      </w:r>
      <w:r w:rsidR="00546849" w:rsidRPr="00991113">
        <w:rPr>
          <w:rFonts w:asciiTheme="majorBidi" w:hAnsiTheme="majorBidi" w:cstheme="majorBidi"/>
          <w:bCs/>
          <w:i/>
        </w:rPr>
        <w:t xml:space="preserve">. </w:t>
      </w:r>
      <w:r w:rsidR="00546849" w:rsidRPr="00991113">
        <w:rPr>
          <w:rFonts w:asciiTheme="majorBidi" w:hAnsiTheme="majorBidi" w:cstheme="majorBidi"/>
          <w:bCs/>
        </w:rPr>
        <w:t>The essence of his theory has been the expansion of patriarchy, from private and private spaces such as the family and religion to a wider area, namely the state. This expansion has led to patriarchy constantly succeeding in gripping and dominating the lives of both men and women</w:t>
      </w:r>
      <w:r w:rsidR="00546849">
        <w:rPr>
          <w:rStyle w:val="FootnoteReference"/>
        </w:rPr>
        <w:footnoteReference w:id="50"/>
      </w:r>
      <w:r w:rsidR="00546849" w:rsidRPr="00991113">
        <w:rPr>
          <w:rFonts w:asciiTheme="majorBidi" w:hAnsiTheme="majorBidi" w:cstheme="majorBidi"/>
          <w:bCs/>
        </w:rPr>
        <w:t>. Furthermore, in patriarchal culture (</w:t>
      </w:r>
      <w:r w:rsidR="00546849" w:rsidRPr="00991113">
        <w:rPr>
          <w:rFonts w:asciiTheme="majorBidi" w:hAnsiTheme="majorBidi" w:cstheme="majorBidi"/>
          <w:bCs/>
          <w:i/>
        </w:rPr>
        <w:t>a phallocentric</w:t>
      </w:r>
      <w:r w:rsidR="00546849" w:rsidRPr="00991113">
        <w:rPr>
          <w:rFonts w:asciiTheme="majorBidi" w:hAnsiTheme="majorBidi" w:cstheme="majorBidi"/>
          <w:bCs/>
        </w:rPr>
        <w:t xml:space="preserve"> culture), masculinity plays a central norm as well as a sign of the symbolic order of society.</w:t>
      </w:r>
      <w:r w:rsidR="00546849">
        <w:rPr>
          <w:rStyle w:val="FootnoteReference"/>
          <w:rFonts w:asciiTheme="majorBidi" w:hAnsiTheme="majorBidi" w:cstheme="majorBidi"/>
          <w:bCs/>
        </w:rPr>
        <w:footnoteReference w:id="51"/>
      </w:r>
      <w:r w:rsidR="00546849" w:rsidRPr="00991113">
        <w:rPr>
          <w:rFonts w:asciiTheme="majorBidi" w:hAnsiTheme="majorBidi" w:cstheme="majorBidi"/>
          <w:bCs/>
        </w:rPr>
        <w:t xml:space="preserve"> Patriarchal culture is to give privileges to the male gender to access </w:t>
      </w:r>
      <w:r w:rsidR="00546849" w:rsidRPr="00991113">
        <w:rPr>
          <w:rFonts w:asciiTheme="majorBidi" w:hAnsiTheme="majorBidi" w:cstheme="majorBidi"/>
          <w:bCs/>
          <w:i/>
        </w:rPr>
        <w:t>basic materials of power</w:t>
      </w:r>
      <w:r w:rsidR="00546849" w:rsidRPr="00991113">
        <w:rPr>
          <w:rFonts w:asciiTheme="majorBidi" w:hAnsiTheme="majorBidi" w:cstheme="majorBidi"/>
          <w:bCs/>
        </w:rPr>
        <w:t xml:space="preserve"> than those who are female. This access begins from an early age, before an individual can even choose which form of socialization is adequate enough for him. This process of conditioning is continuous so that it forms </w:t>
      </w:r>
      <w:r w:rsidR="00546849" w:rsidRPr="00991113">
        <w:rPr>
          <w:rFonts w:asciiTheme="majorBidi" w:hAnsiTheme="majorBidi" w:cstheme="majorBidi"/>
          <w:bCs/>
          <w:i/>
        </w:rPr>
        <w:t>a common-sense</w:t>
      </w:r>
      <w:r w:rsidR="00546849" w:rsidRPr="00991113">
        <w:rPr>
          <w:rFonts w:asciiTheme="majorBidi" w:hAnsiTheme="majorBidi" w:cstheme="majorBidi"/>
          <w:bCs/>
        </w:rPr>
        <w:t xml:space="preserve"> of truth as a man and a woman. This includes the truth of social space, how to dress and behave. Anyone who ignores the truth will be socially sanctioned.</w:t>
      </w:r>
      <w:r w:rsidR="00546849">
        <w:rPr>
          <w:rStyle w:val="FootnoteReference"/>
        </w:rPr>
        <w:footnoteReference w:id="52"/>
      </w:r>
    </w:p>
    <w:p w14:paraId="7DA39160" w14:textId="77777777" w:rsidR="00546849" w:rsidRPr="00991113" w:rsidRDefault="00546849" w:rsidP="009A09EF">
      <w:pPr>
        <w:spacing w:after="0" w:line="240" w:lineRule="auto"/>
        <w:ind w:firstLine="720"/>
        <w:jc w:val="both"/>
        <w:rPr>
          <w:rFonts w:asciiTheme="majorBidi" w:hAnsiTheme="majorBidi" w:cstheme="majorBidi"/>
          <w:bCs/>
          <w:lang w:val="sv-SE"/>
        </w:rPr>
      </w:pPr>
      <w:r w:rsidRPr="00991113">
        <w:rPr>
          <w:rFonts w:asciiTheme="majorBidi" w:hAnsiTheme="majorBidi" w:cstheme="majorBidi"/>
          <w:bCs/>
        </w:rPr>
        <w:t xml:space="preserve">Referring to the terminology of patriarchy as a social system that oppresses women in the social structure is also a basic framework to explain the reality of the vulnerability of girls' rights to access formal education in their families. The description </w:t>
      </w:r>
      <w:r w:rsidRPr="00991113">
        <w:rPr>
          <w:rFonts w:asciiTheme="majorBidi" w:hAnsiTheme="majorBidi" w:cstheme="majorBidi"/>
          <w:bCs/>
          <w:i/>
        </w:rPr>
        <w:t xml:space="preserve"> of the life story</w:t>
      </w:r>
      <w:r w:rsidRPr="00991113">
        <w:rPr>
          <w:rFonts w:asciiTheme="majorBidi" w:hAnsiTheme="majorBidi" w:cstheme="majorBidi"/>
          <w:bCs/>
        </w:rPr>
        <w:t xml:space="preserve"> of  a girl who dropped out of school confirms how patriarchy is a norm or guideline for </w:t>
      </w:r>
      <w:proofErr w:type="spellStart"/>
      <w:r w:rsidRPr="00991113">
        <w:rPr>
          <w:rFonts w:asciiTheme="majorBidi" w:hAnsiTheme="majorBidi" w:cstheme="majorBidi"/>
          <w:bCs/>
        </w:rPr>
        <w:t>pekka's</w:t>
      </w:r>
      <w:proofErr w:type="spellEnd"/>
      <w:r w:rsidRPr="00991113">
        <w:rPr>
          <w:rFonts w:asciiTheme="majorBidi" w:hAnsiTheme="majorBidi" w:cstheme="majorBidi"/>
          <w:bCs/>
        </w:rPr>
        <w:t xml:space="preserve"> widowed mother to make decisions in her family. It is clear that every decision is always in favor of the boy. Pekka widows prioritize the right of their sons to access formal education. In this case, patriarchy is expressed in the form of a gender ideology that places boys in a central position and vice versa, girls are in a marginal position. The practice of patriarchal gender ideology is shown in the form of priority rights for boys to access the social and economic resources available in the families of poor </w:t>
      </w:r>
      <w:proofErr w:type="spellStart"/>
      <w:r w:rsidRPr="00991113">
        <w:rPr>
          <w:rFonts w:asciiTheme="majorBidi" w:hAnsiTheme="majorBidi" w:cstheme="majorBidi"/>
          <w:bCs/>
        </w:rPr>
        <w:t>pekka</w:t>
      </w:r>
      <w:proofErr w:type="spellEnd"/>
      <w:r w:rsidRPr="00991113">
        <w:rPr>
          <w:rFonts w:asciiTheme="majorBidi" w:hAnsiTheme="majorBidi" w:cstheme="majorBidi"/>
          <w:bCs/>
        </w:rPr>
        <w:t xml:space="preserve"> widows in the village of </w:t>
      </w:r>
      <w:proofErr w:type="spellStart"/>
      <w:r w:rsidRPr="00991113">
        <w:rPr>
          <w:rFonts w:asciiTheme="majorBidi" w:hAnsiTheme="majorBidi" w:cstheme="majorBidi"/>
          <w:bCs/>
        </w:rPr>
        <w:t>Pegagan</w:t>
      </w:r>
      <w:proofErr w:type="spellEnd"/>
      <w:r w:rsidRPr="00991113">
        <w:rPr>
          <w:rFonts w:asciiTheme="majorBidi" w:hAnsiTheme="majorBidi" w:cstheme="majorBidi"/>
          <w:bCs/>
        </w:rPr>
        <w:t xml:space="preserve"> Julu VIII. Therefore, it is a rational choice for </w:t>
      </w:r>
      <w:proofErr w:type="spellStart"/>
      <w:r w:rsidRPr="00991113">
        <w:rPr>
          <w:rFonts w:asciiTheme="majorBidi" w:hAnsiTheme="majorBidi" w:cstheme="majorBidi"/>
          <w:bCs/>
        </w:rPr>
        <w:t>pekka</w:t>
      </w:r>
      <w:proofErr w:type="spellEnd"/>
      <w:r w:rsidRPr="00991113">
        <w:rPr>
          <w:rFonts w:asciiTheme="majorBidi" w:hAnsiTheme="majorBidi" w:cstheme="majorBidi"/>
          <w:bCs/>
        </w:rPr>
        <w:t xml:space="preserve"> widows to prioritize the right of their sons to attend higher education than their daughters. This means that girls must be willing to accept their mother's decision to prioritize their brothers in school as high as possible while girls go to makeshift schools. The decision of the widow </w:t>
      </w:r>
      <w:proofErr w:type="spellStart"/>
      <w:r w:rsidRPr="00991113">
        <w:rPr>
          <w:rFonts w:asciiTheme="majorBidi" w:hAnsiTheme="majorBidi" w:cstheme="majorBidi"/>
          <w:bCs/>
        </w:rPr>
        <w:t>pekka</w:t>
      </w:r>
      <w:proofErr w:type="spellEnd"/>
      <w:r w:rsidRPr="00991113">
        <w:rPr>
          <w:rFonts w:asciiTheme="majorBidi" w:hAnsiTheme="majorBidi" w:cstheme="majorBidi"/>
          <w:bCs/>
        </w:rPr>
        <w:t xml:space="preserve"> to give boys the main right to access formal education and prioritize girls' rights is a form of policy that is very </w:t>
      </w:r>
      <w:r w:rsidRPr="00991113">
        <w:rPr>
          <w:rFonts w:asciiTheme="majorBidi" w:hAnsiTheme="majorBidi" w:cstheme="majorBidi"/>
          <w:bCs/>
        </w:rPr>
        <w:lastRenderedPageBreak/>
        <w:t xml:space="preserve">biased towards girls. This decision is felt to be unfair but girls must learn to be accepting, sincere and resigned. </w:t>
      </w:r>
    </w:p>
    <w:p w14:paraId="76FC0F95" w14:textId="77777777" w:rsidR="00546849" w:rsidRPr="00991113" w:rsidRDefault="00546849" w:rsidP="00436B3A">
      <w:pPr>
        <w:spacing w:after="0" w:line="240" w:lineRule="auto"/>
        <w:ind w:firstLine="720"/>
        <w:jc w:val="both"/>
        <w:rPr>
          <w:rFonts w:asciiTheme="majorBidi" w:hAnsiTheme="majorBidi" w:cstheme="majorBidi"/>
          <w:bCs/>
          <w:lang w:val="sv-SE"/>
        </w:rPr>
      </w:pPr>
      <w:r w:rsidRPr="00991113">
        <w:rPr>
          <w:rFonts w:asciiTheme="majorBidi" w:hAnsiTheme="majorBidi" w:cstheme="majorBidi"/>
          <w:bCs/>
        </w:rPr>
        <w:t xml:space="preserve">As reflected in the excerpt of the interview with informant Lubrin </w:t>
      </w:r>
      <w:proofErr w:type="spellStart"/>
      <w:r w:rsidRPr="00991113">
        <w:rPr>
          <w:rFonts w:asciiTheme="majorBidi" w:hAnsiTheme="majorBidi" w:cstheme="majorBidi"/>
          <w:bCs/>
          <w:i/>
        </w:rPr>
        <w:t>berru</w:t>
      </w:r>
      <w:proofErr w:type="spellEnd"/>
      <w:r w:rsidRPr="00991113">
        <w:rPr>
          <w:rFonts w:asciiTheme="majorBidi" w:hAnsiTheme="majorBidi" w:cstheme="majorBidi"/>
          <w:bCs/>
        </w:rPr>
        <w:t xml:space="preserve"> </w:t>
      </w:r>
      <w:proofErr w:type="spellStart"/>
      <w:r w:rsidRPr="00991113">
        <w:rPr>
          <w:rFonts w:asciiTheme="majorBidi" w:hAnsiTheme="majorBidi" w:cstheme="majorBidi"/>
          <w:bCs/>
        </w:rPr>
        <w:t>Lingga</w:t>
      </w:r>
      <w:proofErr w:type="spellEnd"/>
      <w:r w:rsidRPr="00991113">
        <w:rPr>
          <w:rFonts w:asciiTheme="majorBidi" w:hAnsiTheme="majorBidi" w:cstheme="majorBidi"/>
          <w:bCs/>
        </w:rPr>
        <w:t xml:space="preserve"> (Informant 2):</w:t>
      </w:r>
    </w:p>
    <w:p w14:paraId="0A587B4A" w14:textId="77777777" w:rsidR="00546849" w:rsidRPr="00991113" w:rsidRDefault="00546849" w:rsidP="00C26F79">
      <w:pPr>
        <w:spacing w:after="0" w:line="240" w:lineRule="auto"/>
        <w:ind w:left="720"/>
        <w:jc w:val="both"/>
        <w:rPr>
          <w:rFonts w:asciiTheme="majorBidi" w:hAnsiTheme="majorBidi" w:cstheme="majorBidi"/>
          <w:bCs/>
          <w:lang w:val="sv-SE"/>
        </w:rPr>
      </w:pPr>
      <w:proofErr w:type="spellStart"/>
      <w:r w:rsidRPr="00991113">
        <w:rPr>
          <w:rFonts w:asciiTheme="majorBidi" w:hAnsiTheme="majorBidi" w:cstheme="majorBidi"/>
          <w:bCs/>
          <w:i/>
        </w:rPr>
        <w:t>Inang</w:t>
      </w:r>
      <w:proofErr w:type="spellEnd"/>
      <w:r w:rsidRPr="00991113">
        <w:rPr>
          <w:rFonts w:asciiTheme="majorBidi" w:hAnsiTheme="majorBidi" w:cstheme="majorBidi"/>
          <w:bCs/>
          <w:i/>
        </w:rPr>
        <w:t xml:space="preserve"> said men are the successors of the family who bring the good name and honor of the family. Sons of protection and representatives of the customary and raising the status of our family in front of the customs, so pay attention and serve your </w:t>
      </w:r>
      <w:proofErr w:type="spellStart"/>
      <w:r w:rsidRPr="00991113">
        <w:rPr>
          <w:rFonts w:asciiTheme="majorBidi" w:hAnsiTheme="majorBidi" w:cstheme="majorBidi"/>
          <w:bCs/>
          <w:i/>
        </w:rPr>
        <w:t>turang</w:t>
      </w:r>
      <w:proofErr w:type="spellEnd"/>
      <w:r w:rsidRPr="00991113">
        <w:rPr>
          <w:rFonts w:asciiTheme="majorBidi" w:hAnsiTheme="majorBidi" w:cstheme="majorBidi"/>
          <w:bCs/>
        </w:rPr>
        <w:t xml:space="preserve"> as best as possible. That is why I gave up not attending school for the sake of my brother's school continuity.  If our brother succeeds customarily, we will be rewarded. Brothers are </w:t>
      </w:r>
      <w:r w:rsidRPr="00991113">
        <w:rPr>
          <w:rFonts w:asciiTheme="majorBidi" w:hAnsiTheme="majorBidi" w:cstheme="majorBidi"/>
          <w:bCs/>
          <w:i/>
        </w:rPr>
        <w:t>kula-kula</w:t>
      </w:r>
      <w:r w:rsidRPr="00991113">
        <w:rPr>
          <w:rFonts w:asciiTheme="majorBidi" w:hAnsiTheme="majorBidi" w:cstheme="majorBidi"/>
          <w:bCs/>
        </w:rPr>
        <w:t xml:space="preserve"> who protect and bless. So I was taught by my mother to serve and take care of my brother. He gave me </w:t>
      </w:r>
      <w:r w:rsidRPr="00991113">
        <w:rPr>
          <w:rFonts w:asciiTheme="majorBidi" w:hAnsiTheme="majorBidi" w:cstheme="majorBidi"/>
          <w:bCs/>
          <w:i/>
        </w:rPr>
        <w:t>pots</w:t>
      </w:r>
      <w:r w:rsidRPr="00991113">
        <w:rPr>
          <w:rFonts w:asciiTheme="majorBidi" w:hAnsiTheme="majorBidi" w:cstheme="majorBidi"/>
          <w:bCs/>
        </w:rPr>
        <w:t xml:space="preserve"> so that one day I would be happy and successful in my life. </w:t>
      </w:r>
    </w:p>
    <w:p w14:paraId="412BF001" w14:textId="77777777" w:rsidR="00546849" w:rsidRPr="00991113" w:rsidRDefault="00791B8D" w:rsidP="00150972">
      <w:pPr>
        <w:spacing w:after="0" w:line="240" w:lineRule="auto"/>
        <w:jc w:val="both"/>
        <w:rPr>
          <w:rFonts w:asciiTheme="majorBidi" w:hAnsiTheme="majorBidi" w:cstheme="majorBidi"/>
          <w:bCs/>
          <w:lang w:val="sv-SE"/>
        </w:rPr>
      </w:pPr>
      <w:r w:rsidRPr="00991113">
        <w:rPr>
          <w:rFonts w:asciiTheme="majorBidi" w:hAnsiTheme="majorBidi" w:cstheme="majorBidi"/>
          <w:bCs/>
          <w:lang w:val="sv-SE"/>
        </w:rPr>
        <w:t xml:space="preserve"> </w:t>
      </w:r>
      <w:r w:rsidRPr="00991113">
        <w:rPr>
          <w:rFonts w:asciiTheme="majorBidi" w:hAnsiTheme="majorBidi" w:cstheme="majorBidi"/>
          <w:bCs/>
          <w:lang w:val="sv-SE"/>
        </w:rPr>
        <w:tab/>
      </w:r>
      <w:r w:rsidR="00546849" w:rsidRPr="00991113">
        <w:rPr>
          <w:rFonts w:asciiTheme="majorBidi" w:hAnsiTheme="majorBidi" w:cstheme="majorBidi"/>
          <w:bCs/>
        </w:rPr>
        <w:t xml:space="preserve">The sincerity and willingness of girls set aside their right to go to school as a symbol of sacrifice, devotion and service to their brothers. This woman's sacrifice can also be translated into a "norm" to appreciate and respect the brothers in the family  of the poor </w:t>
      </w:r>
      <w:proofErr w:type="spellStart"/>
      <w:r w:rsidR="00546849" w:rsidRPr="00991113">
        <w:rPr>
          <w:rFonts w:asciiTheme="majorBidi" w:hAnsiTheme="majorBidi" w:cstheme="majorBidi"/>
          <w:bCs/>
          <w:i/>
        </w:rPr>
        <w:t>pekka</w:t>
      </w:r>
      <w:proofErr w:type="spellEnd"/>
      <w:r w:rsidR="00546849" w:rsidRPr="00991113">
        <w:rPr>
          <w:rFonts w:asciiTheme="majorBidi" w:hAnsiTheme="majorBidi" w:cstheme="majorBidi"/>
          <w:bCs/>
          <w:i/>
        </w:rPr>
        <w:t xml:space="preserve"> widow </w:t>
      </w:r>
      <w:proofErr w:type="spellStart"/>
      <w:r w:rsidR="00546849" w:rsidRPr="00991113">
        <w:rPr>
          <w:rFonts w:asciiTheme="majorBidi" w:hAnsiTheme="majorBidi" w:cstheme="majorBidi"/>
          <w:bCs/>
          <w:i/>
        </w:rPr>
        <w:t>kalak</w:t>
      </w:r>
      <w:proofErr w:type="spellEnd"/>
      <w:r w:rsidR="00546849" w:rsidRPr="00991113">
        <w:rPr>
          <w:rFonts w:asciiTheme="majorBidi" w:hAnsiTheme="majorBidi" w:cstheme="majorBidi"/>
          <w:bCs/>
          <w:i/>
        </w:rPr>
        <w:t xml:space="preserve"> </w:t>
      </w:r>
      <w:proofErr w:type="spellStart"/>
      <w:r w:rsidR="00546849" w:rsidRPr="00991113">
        <w:rPr>
          <w:rFonts w:asciiTheme="majorBidi" w:hAnsiTheme="majorBidi" w:cstheme="majorBidi"/>
          <w:bCs/>
          <w:i/>
        </w:rPr>
        <w:t>Pakpak</w:t>
      </w:r>
      <w:proofErr w:type="spellEnd"/>
      <w:r w:rsidR="00546849" w:rsidRPr="00991113">
        <w:rPr>
          <w:rFonts w:asciiTheme="majorBidi" w:hAnsiTheme="majorBidi" w:cstheme="majorBidi"/>
          <w:bCs/>
          <w:i/>
        </w:rPr>
        <w:t>.</w:t>
      </w:r>
      <w:r w:rsidR="00546849" w:rsidRPr="00991113">
        <w:rPr>
          <w:rFonts w:asciiTheme="majorBidi" w:hAnsiTheme="majorBidi" w:cstheme="majorBidi"/>
          <w:bCs/>
        </w:rPr>
        <w:t xml:space="preserve"> In the name of patriarchal ideology, norms and symbols of proof of women's devotion to their brothers were born.</w:t>
      </w:r>
      <w:r w:rsidR="00546849">
        <w:rPr>
          <w:rStyle w:val="FootnoteReference"/>
          <w:rFonts w:asciiTheme="majorBidi" w:hAnsiTheme="majorBidi" w:cstheme="majorBidi"/>
          <w:bCs/>
        </w:rPr>
        <w:footnoteReference w:id="53"/>
      </w:r>
      <w:r w:rsidR="00546849" w:rsidRPr="00991113">
        <w:rPr>
          <w:rFonts w:asciiTheme="majorBidi" w:hAnsiTheme="majorBidi" w:cstheme="majorBidi"/>
          <w:bCs/>
        </w:rPr>
        <w:t xml:space="preserve"> The position of women who are devoted to their brothers describes a very patriarchal gender relationship, namely boys as if they are considered kings or "kings" and daughters as servants or parties who are ready to "serve" all the needs of their brothers.</w:t>
      </w:r>
      <w:r w:rsidR="00546849">
        <w:rPr>
          <w:rStyle w:val="FootnoteReference"/>
          <w:rFonts w:asciiTheme="majorBidi" w:hAnsiTheme="majorBidi" w:cstheme="majorBidi"/>
          <w:bCs/>
        </w:rPr>
        <w:footnoteReference w:id="54"/>
      </w:r>
      <w:r w:rsidR="00546849" w:rsidRPr="00991113">
        <w:rPr>
          <w:rFonts w:asciiTheme="majorBidi" w:hAnsiTheme="majorBidi" w:cstheme="majorBidi"/>
          <w:bCs/>
        </w:rPr>
        <w:t xml:space="preserve"> Concretely, all social and economic resources owned by the family are provided for men, including in terms of going to school. The right to get the best education has automatically become a man's right, after which it can only be given to women.</w:t>
      </w:r>
      <w:r w:rsidR="00546849">
        <w:rPr>
          <w:rStyle w:val="FootnoteReference"/>
          <w:rFonts w:asciiTheme="majorBidi" w:hAnsiTheme="majorBidi" w:cstheme="majorBidi"/>
          <w:bCs/>
        </w:rPr>
        <w:footnoteReference w:id="55"/>
      </w:r>
      <w:r w:rsidR="00546849" w:rsidRPr="00991113">
        <w:rPr>
          <w:rFonts w:asciiTheme="majorBidi" w:hAnsiTheme="majorBidi" w:cstheme="majorBidi"/>
          <w:bCs/>
        </w:rPr>
        <w:t xml:space="preserve"> The sacrifice of girls is not only limited to accepting fate or the fate of not continuing school to a higher level. Even more painful, in the name of "poverty," they must also be obliged to bear other fates that come from the shackles of poverty. The confluence of patriarchal structures and poverty structures presents other sufferings that girls must bear. Girls experience multiple layers of suffering.</w:t>
      </w:r>
      <w:r w:rsidR="00546849">
        <w:rPr>
          <w:rStyle w:val="FootnoteReference"/>
          <w:rFonts w:asciiTheme="majorBidi" w:hAnsiTheme="majorBidi" w:cstheme="majorBidi"/>
          <w:bCs/>
        </w:rPr>
        <w:footnoteReference w:id="56"/>
      </w:r>
      <w:r w:rsidR="00546849" w:rsidRPr="00991113">
        <w:rPr>
          <w:rFonts w:asciiTheme="majorBidi" w:hAnsiTheme="majorBidi" w:cstheme="majorBidi"/>
          <w:bCs/>
        </w:rPr>
        <w:t xml:space="preserve"> Patriarchy in the construction of gender ideology results in them being vulnerable to access higher formal education. In the name of patriarchy, girls are excluded and marginalized from their right to go to school.</w:t>
      </w:r>
      <w:r w:rsidR="00546849">
        <w:rPr>
          <w:rStyle w:val="FootnoteReference"/>
          <w:rFonts w:asciiTheme="majorBidi" w:hAnsiTheme="majorBidi" w:cstheme="majorBidi"/>
          <w:bCs/>
        </w:rPr>
        <w:footnoteReference w:id="57"/>
      </w:r>
      <w:r w:rsidR="00546849" w:rsidRPr="00991113">
        <w:rPr>
          <w:rFonts w:asciiTheme="majorBidi" w:hAnsiTheme="majorBidi" w:cstheme="majorBidi"/>
          <w:bCs/>
        </w:rPr>
        <w:t xml:space="preserve"> Furthermore, in the name of poverty, women are required to bear the burden of poverty by giving time and energy to work harder and harder. Girls are likened to </w:t>
      </w:r>
      <w:proofErr w:type="spellStart"/>
      <w:r w:rsidR="00546849" w:rsidRPr="00991113">
        <w:rPr>
          <w:rFonts w:asciiTheme="majorBidi" w:hAnsiTheme="majorBidi" w:cstheme="majorBidi"/>
          <w:bCs/>
          <w:i/>
        </w:rPr>
        <w:t>boban</w:t>
      </w:r>
      <w:proofErr w:type="spellEnd"/>
      <w:r w:rsidR="00546849" w:rsidRPr="00991113">
        <w:rPr>
          <w:rFonts w:asciiTheme="majorBidi" w:hAnsiTheme="majorBidi" w:cstheme="majorBidi"/>
          <w:bCs/>
          <w:i/>
        </w:rPr>
        <w:t xml:space="preserve"> horses</w:t>
      </w:r>
      <w:r w:rsidR="00546849" w:rsidRPr="00991113">
        <w:rPr>
          <w:rFonts w:asciiTheme="majorBidi" w:hAnsiTheme="majorBidi" w:cstheme="majorBidi"/>
          <w:bCs/>
        </w:rPr>
        <w:t xml:space="preserve"> (burden horses) who bear the burden of injustice and are obliged to work in order to maintain the family economy and the continuity of their brother's education.</w:t>
      </w:r>
      <w:r w:rsidR="00546849">
        <w:rPr>
          <w:rStyle w:val="FootnoteReference"/>
          <w:rFonts w:asciiTheme="majorBidi" w:hAnsiTheme="majorBidi" w:cstheme="majorBidi"/>
          <w:bCs/>
        </w:rPr>
        <w:footnoteReference w:id="58"/>
      </w:r>
    </w:p>
    <w:p w14:paraId="5CD00A45" w14:textId="77777777" w:rsidR="00546849" w:rsidRDefault="00546849" w:rsidP="00D97CB6">
      <w:pPr>
        <w:spacing w:after="0" w:line="240" w:lineRule="auto"/>
        <w:ind w:firstLine="720"/>
        <w:jc w:val="both"/>
        <w:rPr>
          <w:rFonts w:asciiTheme="majorBidi" w:hAnsiTheme="majorBidi" w:cstheme="majorBidi"/>
          <w:bCs/>
          <w:lang w:val="sv-SE"/>
        </w:rPr>
      </w:pPr>
      <w:r w:rsidRPr="00991113">
        <w:rPr>
          <w:rFonts w:asciiTheme="majorBidi" w:hAnsiTheme="majorBidi" w:cstheme="majorBidi"/>
          <w:bCs/>
        </w:rPr>
        <w:t xml:space="preserve">Patriarchy and poverty or "patriarchy and poverty" have given birth to a situation that is very detrimental to the position of girls in the </w:t>
      </w:r>
      <w:proofErr w:type="spellStart"/>
      <w:r w:rsidRPr="00991113">
        <w:rPr>
          <w:rFonts w:asciiTheme="majorBidi" w:hAnsiTheme="majorBidi" w:cstheme="majorBidi"/>
          <w:bCs/>
        </w:rPr>
        <w:t>pekka</w:t>
      </w:r>
      <w:proofErr w:type="spellEnd"/>
      <w:r w:rsidRPr="00991113">
        <w:rPr>
          <w:rFonts w:asciiTheme="majorBidi" w:hAnsiTheme="majorBidi" w:cstheme="majorBidi"/>
          <w:bCs/>
        </w:rPr>
        <w:t xml:space="preserve"> </w:t>
      </w:r>
      <w:proofErr w:type="spellStart"/>
      <w:r w:rsidRPr="00991113">
        <w:rPr>
          <w:rFonts w:asciiTheme="majorBidi" w:hAnsiTheme="majorBidi" w:cstheme="majorBidi"/>
          <w:bCs/>
          <w:i/>
        </w:rPr>
        <w:t>kalak</w:t>
      </w:r>
      <w:proofErr w:type="spellEnd"/>
      <w:r w:rsidRPr="00991113">
        <w:rPr>
          <w:rFonts w:asciiTheme="majorBidi" w:hAnsiTheme="majorBidi" w:cstheme="majorBidi"/>
          <w:bCs/>
          <w:i/>
        </w:rPr>
        <w:t xml:space="preserve"> </w:t>
      </w:r>
      <w:proofErr w:type="spellStart"/>
      <w:r w:rsidRPr="00991113">
        <w:rPr>
          <w:rFonts w:asciiTheme="majorBidi" w:hAnsiTheme="majorBidi" w:cstheme="majorBidi"/>
          <w:bCs/>
          <w:i/>
        </w:rPr>
        <w:t>Pakpak</w:t>
      </w:r>
      <w:proofErr w:type="spellEnd"/>
      <w:r w:rsidRPr="00991113">
        <w:rPr>
          <w:rFonts w:asciiTheme="majorBidi" w:hAnsiTheme="majorBidi" w:cstheme="majorBidi"/>
          <w:bCs/>
          <w:i/>
        </w:rPr>
        <w:t xml:space="preserve"> </w:t>
      </w:r>
      <w:r w:rsidRPr="00991113">
        <w:rPr>
          <w:rFonts w:asciiTheme="majorBidi" w:hAnsiTheme="majorBidi" w:cstheme="majorBidi"/>
          <w:bCs/>
        </w:rPr>
        <w:t xml:space="preserve">family of </w:t>
      </w:r>
      <w:proofErr w:type="spellStart"/>
      <w:r w:rsidRPr="00991113">
        <w:rPr>
          <w:rFonts w:asciiTheme="majorBidi" w:hAnsiTheme="majorBidi" w:cstheme="majorBidi"/>
          <w:bCs/>
        </w:rPr>
        <w:t>Pegagan</w:t>
      </w:r>
      <w:proofErr w:type="spellEnd"/>
      <w:r w:rsidRPr="00991113">
        <w:rPr>
          <w:rFonts w:asciiTheme="majorBidi" w:hAnsiTheme="majorBidi" w:cstheme="majorBidi"/>
          <w:bCs/>
        </w:rPr>
        <w:t xml:space="preserve"> Julu VIII village. These two structures, namely the "patriarchy of poverty", reinforce each other, constructing the vulnerability of girls' rights in terms of accessing formal education in the family. </w:t>
      </w:r>
      <w:r w:rsidRPr="00991113">
        <w:rPr>
          <w:rFonts w:asciiTheme="majorBidi" w:hAnsiTheme="majorBidi" w:cstheme="majorBidi"/>
          <w:bCs/>
        </w:rPr>
        <w:lastRenderedPageBreak/>
        <w:t xml:space="preserve">Patriarchy is the normative foundation or ideology of parents to determine the education of children in the family. The thinking that underlies the strong patriarchal ideology stems from the practice of treatment that prioritizes the best education always given to boys. Although economically reviewed, most </w:t>
      </w:r>
      <w:proofErr w:type="spellStart"/>
      <w:r w:rsidRPr="00991113">
        <w:rPr>
          <w:rFonts w:asciiTheme="majorBidi" w:hAnsiTheme="majorBidi" w:cstheme="majorBidi"/>
          <w:bCs/>
        </w:rPr>
        <w:t>pekka</w:t>
      </w:r>
      <w:proofErr w:type="spellEnd"/>
      <w:r w:rsidRPr="00991113">
        <w:rPr>
          <w:rFonts w:asciiTheme="majorBidi" w:hAnsiTheme="majorBidi" w:cstheme="majorBidi"/>
          <w:bCs/>
        </w:rPr>
        <w:t xml:space="preserve"> widows cannot afford to send their children to school. Their various ways or strategies overcome economic inability in order to send boys to the highest school. Usually, </w:t>
      </w:r>
      <w:proofErr w:type="spellStart"/>
      <w:r w:rsidRPr="00991113">
        <w:rPr>
          <w:rFonts w:asciiTheme="majorBidi" w:hAnsiTheme="majorBidi" w:cstheme="majorBidi"/>
          <w:bCs/>
        </w:rPr>
        <w:t>pekka</w:t>
      </w:r>
      <w:proofErr w:type="spellEnd"/>
      <w:r w:rsidRPr="00991113">
        <w:rPr>
          <w:rFonts w:asciiTheme="majorBidi" w:hAnsiTheme="majorBidi" w:cstheme="majorBidi"/>
          <w:bCs/>
        </w:rPr>
        <w:t xml:space="preserve"> widows are willing to give up their only assets such as land or land. In addition, another strategy taken to survive economic pressure is to maximize the role and power of women by working harder, both in their own fields and as wage workers in other people's fields. In more extreme conditions, the widow </w:t>
      </w:r>
      <w:r w:rsidRPr="00207E80">
        <w:rPr>
          <w:rFonts w:asciiTheme="majorBidi" w:hAnsiTheme="majorBidi" w:cstheme="majorBidi"/>
          <w:bCs/>
          <w:i/>
          <w:iCs/>
        </w:rPr>
        <w:t>of Pekka</w:t>
      </w:r>
      <w:r w:rsidRPr="00207E80">
        <w:rPr>
          <w:rFonts w:asciiTheme="majorBidi" w:hAnsiTheme="majorBidi" w:cstheme="majorBidi"/>
          <w:bCs/>
        </w:rPr>
        <w:t xml:space="preserve"> also encouraged, even sent, her daughters to work in the city as a solution to family poverty.</w:t>
      </w:r>
      <w:r>
        <w:rPr>
          <w:rStyle w:val="FootnoteReference"/>
          <w:rFonts w:asciiTheme="majorBidi" w:hAnsiTheme="majorBidi" w:cstheme="majorBidi"/>
          <w:bCs/>
        </w:rPr>
        <w:footnoteReference w:id="59"/>
      </w:r>
      <w:r w:rsidRPr="00207E80">
        <w:rPr>
          <w:rFonts w:asciiTheme="majorBidi" w:hAnsiTheme="majorBidi" w:cstheme="majorBidi"/>
          <w:bCs/>
        </w:rPr>
        <w:t xml:space="preserve"> From this practice came a cliché phrase that reflected gender inequality, namely </w:t>
      </w:r>
      <w:r w:rsidRPr="00207E80">
        <w:rPr>
          <w:rFonts w:asciiTheme="majorBidi" w:hAnsiTheme="majorBidi" w:cstheme="majorBidi"/>
          <w:bCs/>
          <w:i/>
          <w:iCs/>
        </w:rPr>
        <w:t>"boys go to the city to go to school, while girls go to the city to work."</w:t>
      </w:r>
      <w:r w:rsidRPr="00207E80">
        <w:rPr>
          <w:rFonts w:asciiTheme="majorBidi" w:hAnsiTheme="majorBidi" w:cstheme="majorBidi"/>
          <w:bCs/>
        </w:rPr>
        <w:t xml:space="preserve"> The phrase vividly describes how education is positioned as a right and investment for boys, while girls are treated as the breadth of the family's economy. The following is a table that shows the relationship between patriarchal factors, poverty, education, and employment in the life stories of seven girls.</w:t>
      </w:r>
    </w:p>
    <w:p w14:paraId="6A33B12E" w14:textId="1C3BB04C" w:rsidR="00C615EE" w:rsidRPr="00E72247" w:rsidRDefault="00546849" w:rsidP="00F22625">
      <w:pPr>
        <w:spacing w:after="0" w:line="240" w:lineRule="auto"/>
        <w:jc w:val="center"/>
        <w:rPr>
          <w:rFonts w:asciiTheme="majorBidi" w:hAnsiTheme="majorBidi" w:cstheme="majorBidi"/>
          <w:b/>
          <w:lang w:val="sv-SE"/>
        </w:rPr>
      </w:pPr>
      <w:r w:rsidRPr="00207E80">
        <w:rPr>
          <w:rFonts w:asciiTheme="majorBidi" w:hAnsiTheme="majorBidi" w:cstheme="majorBidi"/>
          <w:b/>
        </w:rPr>
        <w:t xml:space="preserve">Table 1 </w:t>
      </w:r>
      <w:r w:rsidRPr="00207E80">
        <w:rPr>
          <w:rFonts w:asciiTheme="majorBidi" w:hAnsiTheme="majorBidi" w:cstheme="majorBidi"/>
          <w:bCs/>
        </w:rPr>
        <w:t>The relationship between patriarchy, poverty, education, and employment of seven daughters</w:t>
      </w:r>
    </w:p>
    <w:tbl>
      <w:tblPr>
        <w:tblW w:w="9356" w:type="dxa"/>
        <w:tblBorders>
          <w:top w:val="single" w:sz="4" w:space="0" w:color="000000"/>
          <w:insideH w:val="single" w:sz="4" w:space="0" w:color="000000"/>
        </w:tblBorders>
        <w:tblLayout w:type="fixed"/>
        <w:tblLook w:val="0000" w:firstRow="0" w:lastRow="0" w:firstColumn="0" w:lastColumn="0" w:noHBand="0" w:noVBand="0"/>
      </w:tblPr>
      <w:tblGrid>
        <w:gridCol w:w="567"/>
        <w:gridCol w:w="1418"/>
        <w:gridCol w:w="1417"/>
        <w:gridCol w:w="2410"/>
        <w:gridCol w:w="1559"/>
        <w:gridCol w:w="1985"/>
      </w:tblGrid>
      <w:tr w:rsidR="00C615EE" w:rsidRPr="00991113" w14:paraId="20CCB54B" w14:textId="77777777" w:rsidTr="00C615EE">
        <w:trPr>
          <w:trHeight w:val="1072"/>
        </w:trPr>
        <w:tc>
          <w:tcPr>
            <w:tcW w:w="567" w:type="dxa"/>
            <w:vAlign w:val="center"/>
          </w:tcPr>
          <w:p w14:paraId="1EA6CCC7" w14:textId="77777777" w:rsidR="00C615EE" w:rsidRPr="00991113" w:rsidRDefault="00C615EE" w:rsidP="00F2262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No</w:t>
            </w:r>
          </w:p>
        </w:tc>
        <w:tc>
          <w:tcPr>
            <w:tcW w:w="1418" w:type="dxa"/>
            <w:vAlign w:val="center"/>
          </w:tcPr>
          <w:p w14:paraId="000AC1EB" w14:textId="60CE9BA7" w:rsidR="00C615EE" w:rsidRPr="00991113" w:rsidRDefault="00E72247" w:rsidP="00F22625">
            <w:pPr>
              <w:spacing w:after="0" w:line="240" w:lineRule="auto"/>
              <w:rPr>
                <w:rFonts w:asciiTheme="majorBidi" w:eastAsia="Times New Roman" w:hAnsiTheme="majorBidi" w:cstheme="majorBidi"/>
                <w:bCs/>
              </w:rPr>
            </w:pPr>
            <w:r w:rsidRPr="00991113">
              <w:rPr>
                <w:rFonts w:asciiTheme="majorBidi" w:eastAsia="Times New Roman" w:hAnsiTheme="majorBidi" w:cstheme="majorBidi"/>
                <w:bCs/>
              </w:rPr>
              <w:t>Name</w:t>
            </w:r>
          </w:p>
        </w:tc>
        <w:tc>
          <w:tcPr>
            <w:tcW w:w="1417" w:type="dxa"/>
            <w:vAlign w:val="center"/>
          </w:tcPr>
          <w:p w14:paraId="37BDFCC2" w14:textId="2C940459" w:rsidR="00C615EE" w:rsidRPr="00991113" w:rsidRDefault="00E72247" w:rsidP="00F22625">
            <w:pPr>
              <w:spacing w:after="0" w:line="240" w:lineRule="auto"/>
              <w:rPr>
                <w:rFonts w:asciiTheme="majorBidi" w:eastAsia="Times New Roman" w:hAnsiTheme="majorBidi" w:cstheme="majorBidi"/>
                <w:bCs/>
              </w:rPr>
            </w:pPr>
            <w:r w:rsidRPr="00991113">
              <w:rPr>
                <w:rFonts w:asciiTheme="majorBidi" w:eastAsia="Times New Roman" w:hAnsiTheme="majorBidi" w:cstheme="majorBidi"/>
                <w:bCs/>
              </w:rPr>
              <w:t>Final Education</w:t>
            </w:r>
          </w:p>
        </w:tc>
        <w:tc>
          <w:tcPr>
            <w:tcW w:w="2410" w:type="dxa"/>
            <w:vAlign w:val="center"/>
          </w:tcPr>
          <w:p w14:paraId="0E9674A6" w14:textId="6A1DBB47" w:rsidR="00C615EE" w:rsidRPr="00991113" w:rsidRDefault="00E72247" w:rsidP="00F22625">
            <w:pPr>
              <w:spacing w:after="0" w:line="240" w:lineRule="auto"/>
              <w:jc w:val="both"/>
              <w:rPr>
                <w:rFonts w:asciiTheme="majorBidi" w:eastAsia="Times New Roman" w:hAnsiTheme="majorBidi" w:cstheme="majorBidi"/>
                <w:bCs/>
              </w:rPr>
            </w:pPr>
            <w:r w:rsidRPr="00991113">
              <w:rPr>
                <w:rFonts w:asciiTheme="majorBidi" w:eastAsia="Times New Roman" w:hAnsiTheme="majorBidi" w:cstheme="majorBidi"/>
                <w:bCs/>
              </w:rPr>
              <w:t>Patriarchal Factors (Education Priorities)</w:t>
            </w:r>
          </w:p>
        </w:tc>
        <w:tc>
          <w:tcPr>
            <w:tcW w:w="1559" w:type="dxa"/>
          </w:tcPr>
          <w:p w14:paraId="5DDB181E" w14:textId="7643223F" w:rsidR="00C615EE" w:rsidRPr="00991113" w:rsidRDefault="00E72247" w:rsidP="00F22625">
            <w:pPr>
              <w:spacing w:after="0" w:line="240" w:lineRule="auto"/>
              <w:jc w:val="both"/>
              <w:rPr>
                <w:rFonts w:asciiTheme="majorBidi" w:eastAsia="Times New Roman" w:hAnsiTheme="majorBidi" w:cstheme="majorBidi"/>
                <w:bCs/>
              </w:rPr>
            </w:pPr>
            <w:r w:rsidRPr="00991113">
              <w:rPr>
                <w:rFonts w:asciiTheme="majorBidi" w:eastAsia="Times New Roman" w:hAnsiTheme="majorBidi" w:cstheme="majorBidi"/>
                <w:bCs/>
              </w:rPr>
              <w:t>Poverty Factors (Economic Needs)</w:t>
            </w:r>
          </w:p>
        </w:tc>
        <w:tc>
          <w:tcPr>
            <w:tcW w:w="1985" w:type="dxa"/>
            <w:vAlign w:val="center"/>
          </w:tcPr>
          <w:p w14:paraId="3D05C112" w14:textId="739C9E0F" w:rsidR="00C615EE" w:rsidRPr="00991113" w:rsidRDefault="00E72247" w:rsidP="00F22625">
            <w:pPr>
              <w:spacing w:after="0" w:line="240" w:lineRule="auto"/>
              <w:jc w:val="both"/>
              <w:rPr>
                <w:rFonts w:asciiTheme="majorBidi" w:eastAsia="Times New Roman" w:hAnsiTheme="majorBidi" w:cstheme="majorBidi"/>
                <w:bCs/>
              </w:rPr>
            </w:pPr>
            <w:r w:rsidRPr="00991113">
              <w:rPr>
                <w:rFonts w:asciiTheme="majorBidi" w:eastAsia="Times New Roman" w:hAnsiTheme="majorBidi" w:cstheme="majorBidi"/>
                <w:bCs/>
              </w:rPr>
              <w:t>Jobs in the City</w:t>
            </w:r>
          </w:p>
        </w:tc>
      </w:tr>
      <w:tr w:rsidR="00C615EE" w:rsidRPr="00991113" w14:paraId="54FD252B" w14:textId="77777777" w:rsidTr="00226974">
        <w:trPr>
          <w:trHeight w:val="203"/>
        </w:trPr>
        <w:tc>
          <w:tcPr>
            <w:tcW w:w="567" w:type="dxa"/>
            <w:vAlign w:val="center"/>
          </w:tcPr>
          <w:p w14:paraId="6853CB58" w14:textId="77777777" w:rsidR="00C615EE" w:rsidRPr="00991113" w:rsidRDefault="00C615EE" w:rsidP="00F2262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1</w:t>
            </w:r>
          </w:p>
        </w:tc>
        <w:tc>
          <w:tcPr>
            <w:tcW w:w="1418" w:type="dxa"/>
            <w:vAlign w:val="center"/>
          </w:tcPr>
          <w:p w14:paraId="71ACEBA6" w14:textId="2E16F6D0" w:rsidR="00C615EE" w:rsidRPr="00991113" w:rsidRDefault="00C615EE" w:rsidP="00F22625">
            <w:pPr>
              <w:spacing w:after="0" w:line="240" w:lineRule="auto"/>
              <w:rPr>
                <w:rFonts w:asciiTheme="majorBidi" w:eastAsia="Times New Roman" w:hAnsiTheme="majorBidi" w:cstheme="majorBidi"/>
                <w:bCs/>
              </w:rPr>
            </w:pPr>
            <w:proofErr w:type="spellStart"/>
            <w:r w:rsidRPr="00F07870">
              <w:rPr>
                <w:rFonts w:asciiTheme="majorBidi" w:hAnsiTheme="majorBidi" w:cstheme="majorBidi"/>
                <w:bCs/>
                <w:lang w:val="en-ID"/>
              </w:rPr>
              <w:t>Tiur</w:t>
            </w:r>
            <w:proofErr w:type="spellEnd"/>
            <w:r w:rsidRPr="00F07870">
              <w:rPr>
                <w:rFonts w:asciiTheme="majorBidi" w:hAnsiTheme="majorBidi" w:cstheme="majorBidi"/>
                <w:bCs/>
                <w:lang w:val="en-ID"/>
              </w:rPr>
              <w:t xml:space="preserve"> Berru </w:t>
            </w:r>
            <w:proofErr w:type="spellStart"/>
            <w:r w:rsidRPr="00F07870">
              <w:rPr>
                <w:rFonts w:asciiTheme="majorBidi" w:hAnsiTheme="majorBidi" w:cstheme="majorBidi"/>
                <w:bCs/>
                <w:lang w:val="en-ID"/>
              </w:rPr>
              <w:t>Sinamo</w:t>
            </w:r>
            <w:proofErr w:type="spellEnd"/>
          </w:p>
        </w:tc>
        <w:tc>
          <w:tcPr>
            <w:tcW w:w="1417" w:type="dxa"/>
            <w:vAlign w:val="center"/>
          </w:tcPr>
          <w:p w14:paraId="11D922BD" w14:textId="3B944024" w:rsidR="00C615EE" w:rsidRPr="00991113" w:rsidRDefault="00C615EE" w:rsidP="00F22625">
            <w:pPr>
              <w:spacing w:after="0" w:line="240" w:lineRule="auto"/>
              <w:rPr>
                <w:rFonts w:asciiTheme="majorBidi" w:eastAsia="Times New Roman" w:hAnsiTheme="majorBidi" w:cstheme="majorBidi"/>
                <w:bCs/>
              </w:rPr>
            </w:pPr>
            <w:r w:rsidRPr="00F07870">
              <w:rPr>
                <w:rFonts w:asciiTheme="majorBidi" w:hAnsiTheme="majorBidi" w:cstheme="majorBidi"/>
                <w:bCs/>
                <w:lang w:val="en-ID"/>
              </w:rPr>
              <w:t>SMP</w:t>
            </w:r>
          </w:p>
        </w:tc>
        <w:tc>
          <w:tcPr>
            <w:tcW w:w="2410" w:type="dxa"/>
            <w:vAlign w:val="center"/>
          </w:tcPr>
          <w:p w14:paraId="521661A2" w14:textId="21DA1383" w:rsidR="00C615EE" w:rsidRPr="00991113" w:rsidRDefault="00E72247" w:rsidP="00F22625">
            <w:pPr>
              <w:spacing w:after="0" w:line="240" w:lineRule="auto"/>
              <w:jc w:val="both"/>
              <w:rPr>
                <w:rFonts w:asciiTheme="majorBidi" w:eastAsia="Times New Roman" w:hAnsiTheme="majorBidi" w:cstheme="majorBidi"/>
                <w:bCs/>
                <w:lang w:val="fi-FI"/>
              </w:rPr>
            </w:pPr>
            <w:r w:rsidRPr="00F07870">
              <w:rPr>
                <w:rFonts w:asciiTheme="majorBidi" w:hAnsiTheme="majorBidi" w:cstheme="majorBidi"/>
                <w:bCs/>
              </w:rPr>
              <w:t>Boys' education comes first</w:t>
            </w:r>
          </w:p>
        </w:tc>
        <w:tc>
          <w:tcPr>
            <w:tcW w:w="1559" w:type="dxa"/>
            <w:vAlign w:val="center"/>
          </w:tcPr>
          <w:p w14:paraId="5F7A3ADA" w14:textId="395A605C" w:rsidR="00C615EE" w:rsidRPr="00991113" w:rsidRDefault="00E72247" w:rsidP="00F22625">
            <w:pPr>
              <w:spacing w:after="0" w:line="240" w:lineRule="auto"/>
              <w:jc w:val="both"/>
              <w:rPr>
                <w:rFonts w:asciiTheme="majorBidi" w:eastAsia="Times New Roman" w:hAnsiTheme="majorBidi" w:cstheme="majorBidi"/>
                <w:bCs/>
                <w:lang w:val="sv-SE"/>
              </w:rPr>
            </w:pPr>
            <w:r w:rsidRPr="00F07870">
              <w:rPr>
                <w:rFonts w:asciiTheme="majorBidi" w:hAnsiTheme="majorBidi" w:cstheme="majorBidi"/>
                <w:bCs/>
              </w:rPr>
              <w:t>His mother was a widow, unable to afford school</w:t>
            </w:r>
          </w:p>
        </w:tc>
        <w:tc>
          <w:tcPr>
            <w:tcW w:w="1985" w:type="dxa"/>
            <w:vAlign w:val="center"/>
          </w:tcPr>
          <w:p w14:paraId="3FAC6DCD" w14:textId="1F674754" w:rsidR="00C615EE" w:rsidRPr="00991113"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Cafe keeper</w:t>
            </w:r>
          </w:p>
        </w:tc>
      </w:tr>
      <w:tr w:rsidR="00C615EE" w:rsidRPr="00E72247" w14:paraId="7FA7B664" w14:textId="77777777" w:rsidTr="00226974">
        <w:trPr>
          <w:trHeight w:val="403"/>
        </w:trPr>
        <w:tc>
          <w:tcPr>
            <w:tcW w:w="567" w:type="dxa"/>
            <w:vAlign w:val="center"/>
          </w:tcPr>
          <w:p w14:paraId="0E87B858" w14:textId="77777777" w:rsidR="00C615EE" w:rsidRPr="00991113" w:rsidRDefault="00C615EE" w:rsidP="00F2262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2</w:t>
            </w:r>
          </w:p>
        </w:tc>
        <w:tc>
          <w:tcPr>
            <w:tcW w:w="1418" w:type="dxa"/>
            <w:vAlign w:val="center"/>
          </w:tcPr>
          <w:p w14:paraId="07B7B3A8" w14:textId="2ECE0B7D" w:rsidR="00C615EE" w:rsidRPr="00991113" w:rsidRDefault="00C615EE" w:rsidP="00F22625">
            <w:pPr>
              <w:spacing w:after="0" w:line="240" w:lineRule="auto"/>
              <w:rPr>
                <w:rFonts w:asciiTheme="majorBidi" w:eastAsia="Times New Roman" w:hAnsiTheme="majorBidi" w:cstheme="majorBidi"/>
                <w:bCs/>
              </w:rPr>
            </w:pPr>
            <w:proofErr w:type="spellStart"/>
            <w:r w:rsidRPr="00F07870">
              <w:rPr>
                <w:rFonts w:asciiTheme="majorBidi" w:hAnsiTheme="majorBidi" w:cstheme="majorBidi"/>
                <w:bCs/>
                <w:lang w:val="en-ID"/>
              </w:rPr>
              <w:t>Lbrn</w:t>
            </w:r>
            <w:proofErr w:type="spellEnd"/>
          </w:p>
        </w:tc>
        <w:tc>
          <w:tcPr>
            <w:tcW w:w="1417" w:type="dxa"/>
            <w:vAlign w:val="center"/>
          </w:tcPr>
          <w:p w14:paraId="2D73E38A" w14:textId="5DDF0B15" w:rsidR="00C615EE" w:rsidRPr="00991113" w:rsidRDefault="00E72247" w:rsidP="00F22625">
            <w:pPr>
              <w:spacing w:after="0" w:line="240" w:lineRule="auto"/>
              <w:rPr>
                <w:rFonts w:asciiTheme="majorBidi" w:eastAsia="Times New Roman" w:hAnsiTheme="majorBidi" w:cstheme="majorBidi"/>
                <w:bCs/>
              </w:rPr>
            </w:pPr>
            <w:r w:rsidRPr="00F07870">
              <w:rPr>
                <w:rFonts w:asciiTheme="majorBidi" w:hAnsiTheme="majorBidi" w:cstheme="majorBidi"/>
                <w:bCs/>
              </w:rPr>
              <w:t xml:space="preserve">Class 2 </w:t>
            </w:r>
            <w:r w:rsidR="00C615EE" w:rsidRPr="00F07870">
              <w:rPr>
                <w:rFonts w:asciiTheme="majorBidi" w:hAnsiTheme="majorBidi" w:cstheme="majorBidi"/>
                <w:bCs/>
                <w:lang w:val="en-ID"/>
              </w:rPr>
              <w:t>SMP</w:t>
            </w:r>
          </w:p>
        </w:tc>
        <w:tc>
          <w:tcPr>
            <w:tcW w:w="2410" w:type="dxa"/>
            <w:vAlign w:val="center"/>
          </w:tcPr>
          <w:p w14:paraId="51ECDEC0" w14:textId="750D0F9F" w:rsidR="00C615EE" w:rsidRPr="00991113" w:rsidRDefault="00E72247" w:rsidP="00F22625">
            <w:pPr>
              <w:spacing w:after="0" w:line="240" w:lineRule="auto"/>
              <w:jc w:val="both"/>
              <w:rPr>
                <w:rFonts w:asciiTheme="majorBidi" w:eastAsia="Times New Roman" w:hAnsiTheme="majorBidi" w:cstheme="majorBidi"/>
                <w:bCs/>
                <w:lang w:val="fi-FI"/>
              </w:rPr>
            </w:pPr>
            <w:r w:rsidRPr="00F07870">
              <w:rPr>
                <w:rFonts w:asciiTheme="majorBidi" w:hAnsiTheme="majorBidi" w:cstheme="majorBidi"/>
                <w:bCs/>
              </w:rPr>
              <w:t>Focus on brother's education</w:t>
            </w:r>
          </w:p>
        </w:tc>
        <w:tc>
          <w:tcPr>
            <w:tcW w:w="1559" w:type="dxa"/>
            <w:vAlign w:val="center"/>
          </w:tcPr>
          <w:p w14:paraId="3ADEEF3D" w14:textId="69064058" w:rsidR="00C615EE" w:rsidRPr="00991113" w:rsidRDefault="00E72247" w:rsidP="00F22625">
            <w:pPr>
              <w:spacing w:after="0" w:line="240" w:lineRule="auto"/>
              <w:jc w:val="both"/>
              <w:rPr>
                <w:rFonts w:asciiTheme="majorBidi" w:eastAsia="Times New Roman" w:hAnsiTheme="majorBidi" w:cstheme="majorBidi"/>
                <w:bCs/>
                <w:lang w:val="sv-SE"/>
              </w:rPr>
            </w:pPr>
            <w:r w:rsidRPr="00F07870">
              <w:rPr>
                <w:rFonts w:asciiTheme="majorBidi" w:hAnsiTheme="majorBidi" w:cstheme="majorBidi"/>
                <w:bCs/>
              </w:rPr>
              <w:t>His mother was a widow, unable to finance</w:t>
            </w:r>
          </w:p>
        </w:tc>
        <w:tc>
          <w:tcPr>
            <w:tcW w:w="1985" w:type="dxa"/>
            <w:vAlign w:val="center"/>
          </w:tcPr>
          <w:p w14:paraId="072A5FBE" w14:textId="1AA86A9F" w:rsidR="00C615EE" w:rsidRPr="00E72247"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Elderly nurse in a nursing home</w:t>
            </w:r>
          </w:p>
        </w:tc>
      </w:tr>
      <w:tr w:rsidR="00C615EE" w:rsidRPr="00991113" w14:paraId="348EBC7A" w14:textId="77777777" w:rsidTr="00226974">
        <w:trPr>
          <w:trHeight w:val="394"/>
        </w:trPr>
        <w:tc>
          <w:tcPr>
            <w:tcW w:w="567" w:type="dxa"/>
            <w:tcBorders>
              <w:bottom w:val="single" w:sz="4" w:space="0" w:color="000000"/>
            </w:tcBorders>
            <w:vAlign w:val="center"/>
          </w:tcPr>
          <w:p w14:paraId="600D0746" w14:textId="77777777" w:rsidR="00C615EE" w:rsidRPr="00991113" w:rsidRDefault="00C615EE" w:rsidP="00F2262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3</w:t>
            </w:r>
          </w:p>
        </w:tc>
        <w:tc>
          <w:tcPr>
            <w:tcW w:w="1418" w:type="dxa"/>
            <w:tcBorders>
              <w:bottom w:val="single" w:sz="4" w:space="0" w:color="000000"/>
            </w:tcBorders>
            <w:vAlign w:val="center"/>
          </w:tcPr>
          <w:p w14:paraId="6EDCE676" w14:textId="3928A633" w:rsidR="00C615EE" w:rsidRPr="00991113" w:rsidRDefault="00C615EE" w:rsidP="00F22625">
            <w:pPr>
              <w:spacing w:after="0" w:line="240" w:lineRule="auto"/>
              <w:rPr>
                <w:rFonts w:asciiTheme="majorBidi" w:eastAsia="Times New Roman" w:hAnsiTheme="majorBidi" w:cstheme="majorBidi"/>
                <w:bCs/>
              </w:rPr>
            </w:pPr>
            <w:r w:rsidRPr="00F07870">
              <w:rPr>
                <w:rFonts w:asciiTheme="majorBidi" w:hAnsiTheme="majorBidi" w:cstheme="majorBidi"/>
                <w:bCs/>
                <w:lang w:val="en-ID"/>
              </w:rPr>
              <w:t>Astuti (As)</w:t>
            </w:r>
          </w:p>
        </w:tc>
        <w:tc>
          <w:tcPr>
            <w:tcW w:w="1417" w:type="dxa"/>
            <w:tcBorders>
              <w:bottom w:val="single" w:sz="4" w:space="0" w:color="000000"/>
            </w:tcBorders>
            <w:vAlign w:val="center"/>
          </w:tcPr>
          <w:p w14:paraId="2B823B7F" w14:textId="7659D209" w:rsidR="00C615EE" w:rsidRPr="00991113" w:rsidRDefault="00E72247" w:rsidP="00F22625">
            <w:pPr>
              <w:spacing w:after="0" w:line="240" w:lineRule="auto"/>
              <w:rPr>
                <w:rFonts w:asciiTheme="majorBidi" w:eastAsia="Times New Roman" w:hAnsiTheme="majorBidi" w:cstheme="majorBidi"/>
                <w:bCs/>
              </w:rPr>
            </w:pPr>
            <w:r w:rsidRPr="00F07870">
              <w:rPr>
                <w:rFonts w:asciiTheme="majorBidi" w:hAnsiTheme="majorBidi" w:cstheme="majorBidi"/>
                <w:bCs/>
              </w:rPr>
              <w:t>Class</w:t>
            </w:r>
            <w:r w:rsidRPr="00F07870">
              <w:rPr>
                <w:rFonts w:asciiTheme="majorBidi" w:hAnsiTheme="majorBidi" w:cstheme="majorBidi"/>
                <w:bCs/>
                <w:lang w:val="en-ID"/>
              </w:rPr>
              <w:t xml:space="preserve"> </w:t>
            </w:r>
            <w:r w:rsidR="00C615EE" w:rsidRPr="00F07870">
              <w:rPr>
                <w:rFonts w:asciiTheme="majorBidi" w:hAnsiTheme="majorBidi" w:cstheme="majorBidi"/>
                <w:bCs/>
                <w:lang w:val="en-ID"/>
              </w:rPr>
              <w:t>5 SD</w:t>
            </w:r>
          </w:p>
        </w:tc>
        <w:tc>
          <w:tcPr>
            <w:tcW w:w="2410" w:type="dxa"/>
            <w:tcBorders>
              <w:bottom w:val="single" w:sz="4" w:space="0" w:color="000000"/>
            </w:tcBorders>
            <w:vAlign w:val="center"/>
          </w:tcPr>
          <w:p w14:paraId="3E315014" w14:textId="226B3D58" w:rsidR="00C615EE" w:rsidRPr="00E72247"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The role of women in the home and rice fields is prioritized</w:t>
            </w:r>
          </w:p>
        </w:tc>
        <w:tc>
          <w:tcPr>
            <w:tcW w:w="1559" w:type="dxa"/>
            <w:vAlign w:val="center"/>
          </w:tcPr>
          <w:p w14:paraId="53A59C6A" w14:textId="0937F39C" w:rsidR="00C615EE" w:rsidRPr="00E72247"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Living poorly, having to help mothers</w:t>
            </w:r>
          </w:p>
        </w:tc>
        <w:tc>
          <w:tcPr>
            <w:tcW w:w="1985" w:type="dxa"/>
            <w:tcBorders>
              <w:bottom w:val="single" w:sz="4" w:space="0" w:color="000000"/>
            </w:tcBorders>
            <w:vAlign w:val="center"/>
          </w:tcPr>
          <w:p w14:paraId="04D9DA0C" w14:textId="24F67D7B" w:rsidR="00C615EE" w:rsidRPr="00991113"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Housekeeper</w:t>
            </w:r>
          </w:p>
        </w:tc>
      </w:tr>
      <w:tr w:rsidR="00C615EE" w:rsidRPr="00991113" w14:paraId="4C7DAFDC" w14:textId="77777777" w:rsidTr="00226974">
        <w:trPr>
          <w:trHeight w:val="403"/>
        </w:trPr>
        <w:tc>
          <w:tcPr>
            <w:tcW w:w="567" w:type="dxa"/>
            <w:vAlign w:val="center"/>
          </w:tcPr>
          <w:p w14:paraId="62E15E0C" w14:textId="77777777" w:rsidR="00C615EE" w:rsidRPr="00991113" w:rsidRDefault="00C615EE" w:rsidP="00F2262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4</w:t>
            </w:r>
          </w:p>
        </w:tc>
        <w:tc>
          <w:tcPr>
            <w:tcW w:w="1418" w:type="dxa"/>
            <w:vAlign w:val="center"/>
          </w:tcPr>
          <w:p w14:paraId="7AE1E85E" w14:textId="36496B65" w:rsidR="00C615EE" w:rsidRPr="00991113" w:rsidRDefault="00C615EE" w:rsidP="00F22625">
            <w:pPr>
              <w:spacing w:after="0" w:line="240" w:lineRule="auto"/>
              <w:rPr>
                <w:rFonts w:asciiTheme="majorBidi" w:eastAsia="Times New Roman" w:hAnsiTheme="majorBidi" w:cstheme="majorBidi"/>
                <w:bCs/>
              </w:rPr>
            </w:pPr>
            <w:r w:rsidRPr="00F07870">
              <w:rPr>
                <w:rFonts w:asciiTheme="majorBidi" w:hAnsiTheme="majorBidi" w:cstheme="majorBidi"/>
                <w:bCs/>
                <w:lang w:val="en-ID"/>
              </w:rPr>
              <w:t>Mide</w:t>
            </w:r>
          </w:p>
        </w:tc>
        <w:tc>
          <w:tcPr>
            <w:tcW w:w="1417" w:type="dxa"/>
            <w:vAlign w:val="center"/>
          </w:tcPr>
          <w:p w14:paraId="479C6193" w14:textId="21D8BF8D" w:rsidR="00C615EE" w:rsidRPr="00991113" w:rsidRDefault="00E72247" w:rsidP="00F22625">
            <w:pPr>
              <w:spacing w:after="0" w:line="240" w:lineRule="auto"/>
              <w:rPr>
                <w:rFonts w:asciiTheme="majorBidi" w:eastAsia="Times New Roman" w:hAnsiTheme="majorBidi" w:cstheme="majorBidi"/>
                <w:bCs/>
              </w:rPr>
            </w:pPr>
            <w:r w:rsidRPr="00F07870">
              <w:rPr>
                <w:rFonts w:asciiTheme="majorBidi" w:hAnsiTheme="majorBidi" w:cstheme="majorBidi"/>
                <w:bCs/>
              </w:rPr>
              <w:t>Class</w:t>
            </w:r>
            <w:r w:rsidR="00C615EE" w:rsidRPr="00F07870">
              <w:rPr>
                <w:rFonts w:asciiTheme="majorBidi" w:hAnsiTheme="majorBidi" w:cstheme="majorBidi"/>
                <w:bCs/>
                <w:lang w:val="en-ID"/>
              </w:rPr>
              <w:t xml:space="preserve"> 2 SMP</w:t>
            </w:r>
          </w:p>
        </w:tc>
        <w:tc>
          <w:tcPr>
            <w:tcW w:w="2410" w:type="dxa"/>
            <w:vAlign w:val="center"/>
          </w:tcPr>
          <w:p w14:paraId="55580EF4" w14:textId="3F025115" w:rsidR="00C615EE" w:rsidRPr="00E72247"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Daughters are required to help families</w:t>
            </w:r>
          </w:p>
        </w:tc>
        <w:tc>
          <w:tcPr>
            <w:tcW w:w="1559" w:type="dxa"/>
            <w:vAlign w:val="center"/>
          </w:tcPr>
          <w:p w14:paraId="11A541F8" w14:textId="1D406FB2" w:rsidR="00C615EE" w:rsidRPr="00991113" w:rsidRDefault="00E72247" w:rsidP="00F22625">
            <w:pPr>
              <w:spacing w:after="0" w:line="240" w:lineRule="auto"/>
              <w:jc w:val="both"/>
              <w:rPr>
                <w:rFonts w:asciiTheme="majorBidi" w:eastAsia="Times New Roman" w:hAnsiTheme="majorBidi" w:cstheme="majorBidi"/>
                <w:bCs/>
                <w:lang w:val="sv-SE"/>
              </w:rPr>
            </w:pPr>
            <w:r w:rsidRPr="00F07870">
              <w:rPr>
                <w:rFonts w:asciiTheme="majorBidi" w:hAnsiTheme="majorBidi" w:cstheme="majorBidi"/>
                <w:bCs/>
              </w:rPr>
              <w:t>Losing a father, having to work to help the mother</w:t>
            </w:r>
          </w:p>
        </w:tc>
        <w:tc>
          <w:tcPr>
            <w:tcW w:w="1985" w:type="dxa"/>
            <w:vAlign w:val="center"/>
          </w:tcPr>
          <w:p w14:paraId="2E429C94" w14:textId="49585641" w:rsidR="00C615EE" w:rsidRPr="00991113"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School canteen waitress</w:t>
            </w:r>
          </w:p>
        </w:tc>
      </w:tr>
      <w:tr w:rsidR="00C615EE" w:rsidRPr="00991113" w14:paraId="343B6D09" w14:textId="77777777" w:rsidTr="00226974">
        <w:trPr>
          <w:trHeight w:val="403"/>
        </w:trPr>
        <w:tc>
          <w:tcPr>
            <w:tcW w:w="567" w:type="dxa"/>
            <w:vAlign w:val="center"/>
          </w:tcPr>
          <w:p w14:paraId="431D4DF4" w14:textId="2EA8FF21" w:rsidR="00C615EE" w:rsidRPr="00991113" w:rsidRDefault="00C615EE" w:rsidP="00F2262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5</w:t>
            </w:r>
          </w:p>
        </w:tc>
        <w:tc>
          <w:tcPr>
            <w:tcW w:w="1418" w:type="dxa"/>
            <w:vAlign w:val="center"/>
          </w:tcPr>
          <w:p w14:paraId="564470F7" w14:textId="39A9D623" w:rsidR="00C615EE" w:rsidRPr="00991113" w:rsidRDefault="00C615EE" w:rsidP="00F22625">
            <w:pPr>
              <w:spacing w:after="0" w:line="240" w:lineRule="auto"/>
              <w:rPr>
                <w:rFonts w:asciiTheme="majorBidi" w:eastAsia="Times New Roman" w:hAnsiTheme="majorBidi" w:cstheme="majorBidi"/>
                <w:bCs/>
              </w:rPr>
            </w:pPr>
            <w:r w:rsidRPr="00F07870">
              <w:rPr>
                <w:rFonts w:asciiTheme="majorBidi" w:hAnsiTheme="majorBidi" w:cstheme="majorBidi"/>
                <w:bCs/>
                <w:lang w:val="en-ID"/>
              </w:rPr>
              <w:t>Emmy</w:t>
            </w:r>
          </w:p>
        </w:tc>
        <w:tc>
          <w:tcPr>
            <w:tcW w:w="1417" w:type="dxa"/>
            <w:vAlign w:val="center"/>
          </w:tcPr>
          <w:p w14:paraId="1AAEA014" w14:textId="750A360B" w:rsidR="00C615EE" w:rsidRPr="00991113" w:rsidRDefault="00C615EE" w:rsidP="00F22625">
            <w:pPr>
              <w:spacing w:after="0" w:line="240" w:lineRule="auto"/>
              <w:rPr>
                <w:rFonts w:asciiTheme="majorBidi" w:eastAsia="Times New Roman" w:hAnsiTheme="majorBidi" w:cstheme="majorBidi"/>
                <w:bCs/>
              </w:rPr>
            </w:pPr>
            <w:r w:rsidRPr="00F07870">
              <w:rPr>
                <w:rFonts w:asciiTheme="majorBidi" w:hAnsiTheme="majorBidi" w:cstheme="majorBidi"/>
                <w:bCs/>
                <w:lang w:val="en-ID"/>
              </w:rPr>
              <w:t>SMP</w:t>
            </w:r>
          </w:p>
        </w:tc>
        <w:tc>
          <w:tcPr>
            <w:tcW w:w="2410" w:type="dxa"/>
            <w:vAlign w:val="center"/>
          </w:tcPr>
          <w:p w14:paraId="383FEBC5" w14:textId="50E207C2" w:rsidR="00C615EE" w:rsidRPr="00E72247" w:rsidRDefault="00E72247" w:rsidP="00F22625">
            <w:pPr>
              <w:spacing w:after="0" w:line="240" w:lineRule="auto"/>
              <w:jc w:val="both"/>
              <w:rPr>
                <w:rFonts w:asciiTheme="majorBidi" w:eastAsia="Times New Roman" w:hAnsiTheme="majorBidi" w:cstheme="majorBidi"/>
                <w:bCs/>
              </w:rPr>
            </w:pPr>
            <w:r w:rsidRPr="005A0C5B">
              <w:rPr>
                <w:rFonts w:asciiTheme="majorBidi" w:hAnsiTheme="majorBidi" w:cstheme="majorBidi"/>
                <w:bCs/>
              </w:rPr>
              <w:t>Boys are more school-driven</w:t>
            </w:r>
          </w:p>
        </w:tc>
        <w:tc>
          <w:tcPr>
            <w:tcW w:w="1559" w:type="dxa"/>
            <w:vAlign w:val="center"/>
          </w:tcPr>
          <w:p w14:paraId="0744A981" w14:textId="59070614" w:rsidR="00C615EE" w:rsidRPr="00991113"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Dad leaves family, poverty</w:t>
            </w:r>
          </w:p>
        </w:tc>
        <w:tc>
          <w:tcPr>
            <w:tcW w:w="1985" w:type="dxa"/>
            <w:vAlign w:val="center"/>
          </w:tcPr>
          <w:p w14:paraId="70277188" w14:textId="4E7135D0" w:rsidR="00C615EE" w:rsidRPr="00991113"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Cleanliness → cashier</w:t>
            </w:r>
          </w:p>
        </w:tc>
      </w:tr>
      <w:tr w:rsidR="00C615EE" w:rsidRPr="00991113" w14:paraId="48500727" w14:textId="77777777" w:rsidTr="00C615EE">
        <w:trPr>
          <w:trHeight w:val="403"/>
        </w:trPr>
        <w:tc>
          <w:tcPr>
            <w:tcW w:w="567" w:type="dxa"/>
            <w:vAlign w:val="center"/>
          </w:tcPr>
          <w:p w14:paraId="11D59500" w14:textId="24505222" w:rsidR="00C615EE" w:rsidRPr="00991113" w:rsidRDefault="00C615EE" w:rsidP="00F2262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lastRenderedPageBreak/>
              <w:t>6</w:t>
            </w:r>
          </w:p>
        </w:tc>
        <w:tc>
          <w:tcPr>
            <w:tcW w:w="1418" w:type="dxa"/>
            <w:vAlign w:val="center"/>
          </w:tcPr>
          <w:p w14:paraId="49C1DE84" w14:textId="4388CB64" w:rsidR="00C615EE" w:rsidRPr="00991113" w:rsidRDefault="00C615EE" w:rsidP="00F22625">
            <w:pPr>
              <w:spacing w:after="0" w:line="240" w:lineRule="auto"/>
              <w:rPr>
                <w:rFonts w:asciiTheme="majorBidi" w:eastAsia="Times New Roman" w:hAnsiTheme="majorBidi" w:cstheme="majorBidi"/>
                <w:bCs/>
              </w:rPr>
            </w:pPr>
            <w:r w:rsidRPr="00F07870">
              <w:rPr>
                <w:rFonts w:asciiTheme="majorBidi" w:hAnsiTheme="majorBidi" w:cstheme="majorBidi"/>
                <w:bCs/>
                <w:lang w:val="en-ID"/>
              </w:rPr>
              <w:t>Marni</w:t>
            </w:r>
          </w:p>
        </w:tc>
        <w:tc>
          <w:tcPr>
            <w:tcW w:w="1417" w:type="dxa"/>
            <w:vAlign w:val="center"/>
          </w:tcPr>
          <w:p w14:paraId="2D824CAA" w14:textId="23C83D28" w:rsidR="00C615EE" w:rsidRPr="00991113" w:rsidRDefault="00C615EE" w:rsidP="00F22625">
            <w:pPr>
              <w:spacing w:after="0" w:line="240" w:lineRule="auto"/>
              <w:rPr>
                <w:rFonts w:asciiTheme="majorBidi" w:eastAsia="Times New Roman" w:hAnsiTheme="majorBidi" w:cstheme="majorBidi"/>
                <w:bCs/>
              </w:rPr>
            </w:pPr>
            <w:r w:rsidRPr="00F07870">
              <w:rPr>
                <w:rFonts w:asciiTheme="majorBidi" w:hAnsiTheme="majorBidi" w:cstheme="majorBidi"/>
                <w:bCs/>
                <w:lang w:val="en-ID"/>
              </w:rPr>
              <w:t>SD</w:t>
            </w:r>
          </w:p>
        </w:tc>
        <w:tc>
          <w:tcPr>
            <w:tcW w:w="2410" w:type="dxa"/>
            <w:vAlign w:val="center"/>
          </w:tcPr>
          <w:p w14:paraId="7AC3E002" w14:textId="74A08C03" w:rsidR="00C615EE" w:rsidRPr="00E72247" w:rsidRDefault="00E72247" w:rsidP="00F22625">
            <w:pPr>
              <w:spacing w:after="0" w:line="240" w:lineRule="auto"/>
              <w:jc w:val="both"/>
              <w:rPr>
                <w:rFonts w:asciiTheme="majorBidi" w:eastAsia="Times New Roman" w:hAnsiTheme="majorBidi" w:cstheme="majorBidi"/>
                <w:bCs/>
              </w:rPr>
            </w:pPr>
            <w:r w:rsidRPr="005A0C5B">
              <w:rPr>
                <w:rFonts w:asciiTheme="majorBidi" w:hAnsiTheme="majorBidi" w:cstheme="majorBidi"/>
                <w:bCs/>
              </w:rPr>
              <w:t>Girls are considered more ready to do housework</w:t>
            </w:r>
          </w:p>
        </w:tc>
        <w:tc>
          <w:tcPr>
            <w:tcW w:w="1559" w:type="dxa"/>
          </w:tcPr>
          <w:p w14:paraId="4775AD27" w14:textId="77777777" w:rsidR="00C615EE" w:rsidRPr="00E72247" w:rsidRDefault="00C615EE" w:rsidP="00F22625">
            <w:pPr>
              <w:spacing w:after="0" w:line="240" w:lineRule="auto"/>
              <w:jc w:val="both"/>
              <w:rPr>
                <w:rFonts w:asciiTheme="majorBidi" w:eastAsia="Times New Roman" w:hAnsiTheme="majorBidi" w:cstheme="majorBidi"/>
                <w:bCs/>
              </w:rPr>
            </w:pPr>
          </w:p>
        </w:tc>
        <w:tc>
          <w:tcPr>
            <w:tcW w:w="1985" w:type="dxa"/>
            <w:vAlign w:val="center"/>
          </w:tcPr>
          <w:p w14:paraId="088097E6" w14:textId="6D4AF201" w:rsidR="00C615EE" w:rsidRPr="00991113" w:rsidRDefault="00C615EE"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lang w:val="en-ID"/>
              </w:rPr>
              <w:t xml:space="preserve">Cleaning service </w:t>
            </w:r>
            <w:proofErr w:type="spellStart"/>
            <w:r w:rsidRPr="00F07870">
              <w:rPr>
                <w:rFonts w:asciiTheme="majorBidi" w:hAnsiTheme="majorBidi" w:cstheme="majorBidi"/>
                <w:bCs/>
                <w:lang w:val="en-ID"/>
              </w:rPr>
              <w:t>gereja</w:t>
            </w:r>
            <w:proofErr w:type="spellEnd"/>
          </w:p>
        </w:tc>
      </w:tr>
      <w:tr w:rsidR="00C615EE" w:rsidRPr="00E72247" w14:paraId="33D5664F" w14:textId="77777777" w:rsidTr="00C615EE">
        <w:trPr>
          <w:trHeight w:val="403"/>
        </w:trPr>
        <w:tc>
          <w:tcPr>
            <w:tcW w:w="567" w:type="dxa"/>
            <w:tcBorders>
              <w:bottom w:val="single" w:sz="4" w:space="0" w:color="000000"/>
            </w:tcBorders>
            <w:vAlign w:val="center"/>
          </w:tcPr>
          <w:p w14:paraId="3848FB40" w14:textId="1CC2AF8E" w:rsidR="00C615EE" w:rsidRPr="00991113" w:rsidRDefault="00C615EE" w:rsidP="00F22625">
            <w:pPr>
              <w:spacing w:after="0"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7</w:t>
            </w:r>
          </w:p>
        </w:tc>
        <w:tc>
          <w:tcPr>
            <w:tcW w:w="1418" w:type="dxa"/>
            <w:tcBorders>
              <w:bottom w:val="single" w:sz="4" w:space="0" w:color="000000"/>
            </w:tcBorders>
            <w:vAlign w:val="center"/>
          </w:tcPr>
          <w:p w14:paraId="62DB8B42" w14:textId="71EF8A86" w:rsidR="00C615EE" w:rsidRPr="00991113" w:rsidRDefault="00C615EE" w:rsidP="00F22625">
            <w:pPr>
              <w:spacing w:after="0" w:line="240" w:lineRule="auto"/>
              <w:rPr>
                <w:rFonts w:asciiTheme="majorBidi" w:eastAsia="Times New Roman" w:hAnsiTheme="majorBidi" w:cstheme="majorBidi"/>
                <w:bCs/>
              </w:rPr>
            </w:pPr>
            <w:r w:rsidRPr="00F07870">
              <w:rPr>
                <w:rFonts w:asciiTheme="majorBidi" w:hAnsiTheme="majorBidi" w:cstheme="majorBidi"/>
                <w:bCs/>
                <w:lang w:val="en-ID"/>
              </w:rPr>
              <w:t>Mende</w:t>
            </w:r>
          </w:p>
        </w:tc>
        <w:tc>
          <w:tcPr>
            <w:tcW w:w="1417" w:type="dxa"/>
            <w:tcBorders>
              <w:bottom w:val="single" w:sz="4" w:space="0" w:color="000000"/>
            </w:tcBorders>
            <w:vAlign w:val="center"/>
          </w:tcPr>
          <w:p w14:paraId="1B7A47FC" w14:textId="53DEF66E" w:rsidR="00C615EE" w:rsidRPr="00991113" w:rsidRDefault="00C615EE" w:rsidP="00F22625">
            <w:pPr>
              <w:spacing w:after="0" w:line="240" w:lineRule="auto"/>
              <w:rPr>
                <w:rFonts w:asciiTheme="majorBidi" w:eastAsia="Times New Roman" w:hAnsiTheme="majorBidi" w:cstheme="majorBidi"/>
                <w:bCs/>
              </w:rPr>
            </w:pPr>
            <w:r w:rsidRPr="00F07870">
              <w:rPr>
                <w:rFonts w:asciiTheme="majorBidi" w:hAnsiTheme="majorBidi" w:cstheme="majorBidi"/>
                <w:bCs/>
                <w:lang w:val="en-ID"/>
              </w:rPr>
              <w:t>SD</w:t>
            </w:r>
          </w:p>
        </w:tc>
        <w:tc>
          <w:tcPr>
            <w:tcW w:w="2410" w:type="dxa"/>
            <w:tcBorders>
              <w:bottom w:val="single" w:sz="4" w:space="0" w:color="000000"/>
            </w:tcBorders>
            <w:vAlign w:val="center"/>
          </w:tcPr>
          <w:p w14:paraId="3D283C54" w14:textId="6CF01F54" w:rsidR="00C615EE" w:rsidRPr="00E72247" w:rsidRDefault="00E72247" w:rsidP="00F22625">
            <w:pPr>
              <w:spacing w:after="0" w:line="240" w:lineRule="auto"/>
              <w:jc w:val="both"/>
              <w:rPr>
                <w:rFonts w:asciiTheme="majorBidi" w:eastAsia="Times New Roman" w:hAnsiTheme="majorBidi" w:cstheme="majorBidi"/>
                <w:bCs/>
              </w:rPr>
            </w:pPr>
            <w:r w:rsidRPr="00F07870">
              <w:rPr>
                <w:rFonts w:asciiTheme="majorBidi" w:hAnsiTheme="majorBidi" w:cstheme="majorBidi"/>
                <w:bCs/>
              </w:rPr>
              <w:t>Daughters should help mother and rice fields</w:t>
            </w:r>
          </w:p>
        </w:tc>
        <w:tc>
          <w:tcPr>
            <w:tcW w:w="1559" w:type="dxa"/>
          </w:tcPr>
          <w:p w14:paraId="4B9F3BAE" w14:textId="77777777" w:rsidR="00C615EE" w:rsidRPr="00E72247" w:rsidRDefault="00C615EE" w:rsidP="00F22625">
            <w:pPr>
              <w:spacing w:after="0" w:line="240" w:lineRule="auto"/>
              <w:jc w:val="both"/>
              <w:rPr>
                <w:rFonts w:asciiTheme="majorBidi" w:eastAsia="Times New Roman" w:hAnsiTheme="majorBidi" w:cstheme="majorBidi"/>
                <w:bCs/>
              </w:rPr>
            </w:pPr>
          </w:p>
        </w:tc>
        <w:tc>
          <w:tcPr>
            <w:tcW w:w="1985" w:type="dxa"/>
            <w:tcBorders>
              <w:bottom w:val="single" w:sz="4" w:space="0" w:color="000000"/>
            </w:tcBorders>
            <w:vAlign w:val="center"/>
          </w:tcPr>
          <w:p w14:paraId="36C161E5" w14:textId="5FE11851" w:rsidR="00C615EE" w:rsidRPr="00E72247" w:rsidRDefault="00E72247" w:rsidP="00F22625">
            <w:pPr>
              <w:spacing w:after="0" w:line="240" w:lineRule="auto"/>
              <w:jc w:val="both"/>
              <w:rPr>
                <w:rFonts w:asciiTheme="majorBidi" w:eastAsia="Times New Roman" w:hAnsiTheme="majorBidi" w:cstheme="majorBidi"/>
                <w:bCs/>
              </w:rPr>
            </w:pPr>
            <w:r w:rsidRPr="005A0C5B">
              <w:rPr>
                <w:rFonts w:asciiTheme="majorBidi" w:hAnsiTheme="majorBidi" w:cstheme="majorBidi"/>
                <w:bCs/>
              </w:rPr>
              <w:t>Assistant cook in the church canteen</w:t>
            </w:r>
          </w:p>
        </w:tc>
      </w:tr>
    </w:tbl>
    <w:p w14:paraId="5ACE7673" w14:textId="1F8248A1" w:rsidR="00C615EE" w:rsidRPr="001A426A" w:rsidRDefault="00546849" w:rsidP="00F22625">
      <w:pPr>
        <w:spacing w:after="0" w:line="240" w:lineRule="auto"/>
        <w:ind w:firstLine="720"/>
        <w:jc w:val="center"/>
        <w:rPr>
          <w:rFonts w:asciiTheme="majorBidi" w:hAnsiTheme="majorBidi" w:cstheme="majorBidi"/>
          <w:bCs/>
        </w:rPr>
      </w:pPr>
      <w:r w:rsidRPr="00991113">
        <w:rPr>
          <w:rFonts w:asciiTheme="majorBidi" w:hAnsiTheme="majorBidi" w:cstheme="majorBidi"/>
          <w:bCs/>
        </w:rPr>
        <w:t xml:space="preserve">Data source: interview results </w:t>
      </w:r>
    </w:p>
    <w:p w14:paraId="04F41AE0" w14:textId="77777777" w:rsidR="00546849" w:rsidRPr="00991113" w:rsidRDefault="00546849" w:rsidP="009C7D68">
      <w:pPr>
        <w:spacing w:after="0" w:line="240" w:lineRule="auto"/>
        <w:ind w:firstLine="709"/>
        <w:jc w:val="both"/>
        <w:rPr>
          <w:rFonts w:asciiTheme="majorBidi" w:hAnsiTheme="majorBidi" w:cstheme="majorBidi"/>
          <w:bCs/>
          <w:lang w:val="sv-SE"/>
        </w:rPr>
      </w:pPr>
      <w:r w:rsidRPr="00C615EE">
        <w:rPr>
          <w:rFonts w:asciiTheme="majorBidi" w:hAnsiTheme="majorBidi" w:cstheme="majorBidi"/>
          <w:bCs/>
        </w:rPr>
        <w:t xml:space="preserve">This phenomenon illustrates the double pressure experienced by girls in the Pekka Kalak </w:t>
      </w:r>
      <w:proofErr w:type="spellStart"/>
      <w:r w:rsidRPr="00C615EE">
        <w:rPr>
          <w:rFonts w:asciiTheme="majorBidi" w:hAnsiTheme="majorBidi" w:cstheme="majorBidi"/>
          <w:bCs/>
        </w:rPr>
        <w:t>Pakpak</w:t>
      </w:r>
      <w:proofErr w:type="spellEnd"/>
      <w:r w:rsidRPr="00C615EE">
        <w:rPr>
          <w:rFonts w:asciiTheme="majorBidi" w:hAnsiTheme="majorBidi" w:cstheme="majorBidi"/>
          <w:bCs/>
        </w:rPr>
        <w:t xml:space="preserve"> family. The concept </w:t>
      </w:r>
      <w:r w:rsidRPr="00C615EE">
        <w:rPr>
          <w:rFonts w:asciiTheme="majorBidi" w:hAnsiTheme="majorBidi" w:cstheme="majorBidi"/>
          <w:bCs/>
          <w:i/>
          <w:iCs/>
        </w:rPr>
        <w:t xml:space="preserve"> of double oppression</w:t>
      </w:r>
      <w:r w:rsidRPr="00C615EE">
        <w:rPr>
          <w:rFonts w:asciiTheme="majorBidi" w:hAnsiTheme="majorBidi" w:cstheme="majorBidi"/>
          <w:bCs/>
        </w:rPr>
        <w:t xml:space="preserve"> arises from two main factors, namely patriarchy and poverty, which synergize with each other so that the most vulnerable girls lose the right to formal education. Patriarchy is a social and cultural system that places men in a priority position in access to education and family resources, while poverty is an economic constraint that forces girls to drop out of school and work from a young age to support their brothers' living needs and education. This reality shows that girls' educational rights are hampered not only by economic factors, but also by social structures that affirm traditional gender roles.</w:t>
      </w:r>
    </w:p>
    <w:p w14:paraId="0E61A67C" w14:textId="77777777" w:rsidR="00546849" w:rsidRPr="00991113" w:rsidRDefault="00546849" w:rsidP="005918F6">
      <w:pPr>
        <w:spacing w:after="0" w:line="240" w:lineRule="auto"/>
        <w:ind w:firstLine="709"/>
        <w:jc w:val="both"/>
        <w:rPr>
          <w:rFonts w:asciiTheme="majorBidi" w:hAnsiTheme="majorBidi" w:cstheme="majorBidi"/>
          <w:bCs/>
          <w:lang w:val="sv-SE"/>
        </w:rPr>
      </w:pPr>
      <w:r w:rsidRPr="00C615EE">
        <w:rPr>
          <w:rFonts w:asciiTheme="majorBidi" w:hAnsiTheme="majorBidi" w:cstheme="majorBidi"/>
          <w:bCs/>
        </w:rPr>
        <w:t xml:space="preserve">The impact of patriarchy is evident in the pattern of education priorities in the Pekka Kalak </w:t>
      </w:r>
      <w:proofErr w:type="spellStart"/>
      <w:r w:rsidRPr="00C615EE">
        <w:rPr>
          <w:rFonts w:asciiTheme="majorBidi" w:hAnsiTheme="majorBidi" w:cstheme="majorBidi"/>
          <w:bCs/>
        </w:rPr>
        <w:t>Pakpak</w:t>
      </w:r>
      <w:proofErr w:type="spellEnd"/>
      <w:r w:rsidRPr="00C615EE">
        <w:rPr>
          <w:rFonts w:asciiTheme="majorBidi" w:hAnsiTheme="majorBidi" w:cstheme="majorBidi"/>
          <w:bCs/>
        </w:rPr>
        <w:t xml:space="preserve"> family, where boys are given the opportunity to continue their education, while girls are directed to help with homework or support the family economy. Girls are charged with traditional gender roles, such as working in rice fields, taking care of the house, or then working in the city as maids, cashiers, or cleaning service workers. The psychological burden also arises because they have to accept this injustice silently, afraid of disrupting family relationships or adding to the burden of mothers who are already living in limitations. For example, </w:t>
      </w:r>
      <w:proofErr w:type="spellStart"/>
      <w:r w:rsidRPr="00C615EE">
        <w:rPr>
          <w:rFonts w:asciiTheme="majorBidi" w:hAnsiTheme="majorBidi" w:cstheme="majorBidi"/>
          <w:bCs/>
        </w:rPr>
        <w:t>Tiur</w:t>
      </w:r>
      <w:proofErr w:type="spellEnd"/>
      <w:r w:rsidRPr="00C615EE">
        <w:rPr>
          <w:rFonts w:asciiTheme="majorBidi" w:hAnsiTheme="majorBidi" w:cstheme="majorBidi"/>
          <w:bCs/>
        </w:rPr>
        <w:t xml:space="preserve">, Astuti, and </w:t>
      </w:r>
      <w:proofErr w:type="spellStart"/>
      <w:r w:rsidRPr="00C615EE">
        <w:rPr>
          <w:rFonts w:asciiTheme="majorBidi" w:hAnsiTheme="majorBidi" w:cstheme="majorBidi"/>
          <w:bCs/>
        </w:rPr>
        <w:t>Lbrn</w:t>
      </w:r>
      <w:proofErr w:type="spellEnd"/>
      <w:r w:rsidRPr="00C615EE">
        <w:rPr>
          <w:rFonts w:asciiTheme="majorBidi" w:hAnsiTheme="majorBidi" w:cstheme="majorBidi"/>
          <w:bCs/>
        </w:rPr>
        <w:t xml:space="preserve"> were willing to drop out of school to pay for their brother's education, showing enormous personal sacrifice in the context of a poor family.</w:t>
      </w:r>
      <w:r>
        <w:rPr>
          <w:rStyle w:val="FootnoteReference"/>
          <w:rFonts w:asciiTheme="majorBidi" w:hAnsiTheme="majorBidi" w:cstheme="majorBidi"/>
          <w:bCs/>
        </w:rPr>
        <w:footnoteReference w:id="60"/>
      </w:r>
    </w:p>
    <w:p w14:paraId="24801FB3" w14:textId="77777777" w:rsidR="00546849" w:rsidRPr="00991113" w:rsidRDefault="00546849" w:rsidP="00701F60">
      <w:pPr>
        <w:spacing w:after="0" w:line="240" w:lineRule="auto"/>
        <w:ind w:firstLine="709"/>
        <w:jc w:val="both"/>
        <w:rPr>
          <w:rFonts w:asciiTheme="majorBidi" w:hAnsiTheme="majorBidi" w:cstheme="majorBidi"/>
          <w:bCs/>
          <w:lang w:val="sv-SE"/>
        </w:rPr>
      </w:pPr>
      <w:r w:rsidRPr="00C615EE">
        <w:rPr>
          <w:rFonts w:asciiTheme="majorBidi" w:hAnsiTheme="majorBidi" w:cstheme="majorBidi"/>
          <w:bCs/>
        </w:rPr>
        <w:t>The impact of poverty arises from limited education costs that make girls unable to continue to high school or higher. To help the family's economy, they are forced to leave the village and work in the city since their teenage years. Their economic life is heavily dependent on the job, as most of the income is left to the mother or used to finance the brother's education. For example, Mende and Marni only graduated from elementary school, work as cook's assistants or cleaning service workers, and almost all of their salaries are sent to meet the family's needs. This reality shows that poverty reinforces girls' vulnerability to the loss of educational rights. The interaction between patriarchy and poverty creates a double burden for girls, as they not only lose the right to education but also bear the economic responsibility of the family. Patriarchy determines who has more right to go to school, while poverty determines who has to work to survive. This situation creates structural inequalities that are difficult to overcome without gender-sensitive social, legal, and educational interventions.</w:t>
      </w:r>
    </w:p>
    <w:p w14:paraId="45DAEB23" w14:textId="77777777" w:rsidR="00546849" w:rsidRDefault="00546849" w:rsidP="004A5238">
      <w:pPr>
        <w:spacing w:after="0" w:line="240" w:lineRule="auto"/>
        <w:ind w:firstLine="709"/>
        <w:jc w:val="both"/>
        <w:rPr>
          <w:rFonts w:asciiTheme="majorBidi" w:hAnsiTheme="majorBidi" w:cstheme="majorBidi"/>
          <w:bCs/>
          <w:lang w:val="sv-SE"/>
        </w:rPr>
      </w:pPr>
      <w:r w:rsidRPr="00C615EE">
        <w:rPr>
          <w:rFonts w:asciiTheme="majorBidi" w:hAnsiTheme="majorBidi" w:cstheme="majorBidi"/>
          <w:bCs/>
        </w:rPr>
        <w:t xml:space="preserve">The vulnerability of girls' educational rights is further strengthened by social norms and economic factors. Although the government guarantees educational equality, the realities of family and culture marginalize girls. The perspective of Islamic feminism emphasizes that women have equal educational rights, so patriarchal practices are contrary to the principle of gender justice in religion. In this context, sociolegal analysis and Islamic feminist perspectives affirm that the protection of girls' educational rights must be a priority, both through public policy and the strengthening of social awareness. It is understandable that girls in Kalak </w:t>
      </w:r>
      <w:proofErr w:type="spellStart"/>
      <w:r w:rsidRPr="00C615EE">
        <w:rPr>
          <w:rFonts w:asciiTheme="majorBidi" w:hAnsiTheme="majorBidi" w:cstheme="majorBidi"/>
          <w:bCs/>
        </w:rPr>
        <w:t>Pakpak</w:t>
      </w:r>
      <w:proofErr w:type="spellEnd"/>
      <w:r w:rsidRPr="00C615EE">
        <w:rPr>
          <w:rFonts w:asciiTheme="majorBidi" w:hAnsiTheme="majorBidi" w:cstheme="majorBidi"/>
          <w:bCs/>
        </w:rPr>
        <w:t xml:space="preserve"> experience double oppression, in the form of patriarchal pressure and poverty. The impact is early school </w:t>
      </w:r>
      <w:r w:rsidRPr="00C615EE">
        <w:rPr>
          <w:rFonts w:asciiTheme="majorBidi" w:hAnsiTheme="majorBidi" w:cstheme="majorBidi"/>
          <w:bCs/>
        </w:rPr>
        <w:lastRenderedPageBreak/>
        <w:t>dropouts, working from a young age, and loss of opportunities to access formal education. This problem is not only economic, but also related to the social and cultural structures that prioritize men. Therefore, interventions in the form of education, social policies, and gender awareness are needed to reduce the vulnerability of girls in accessing their educational rights, while affirming the principles of gender justice in society and legal and religious perspectives.</w:t>
      </w:r>
    </w:p>
    <w:p w14:paraId="7EE932A6" w14:textId="77777777" w:rsidR="00546849" w:rsidRPr="00024160" w:rsidRDefault="00546849" w:rsidP="007F091B">
      <w:pPr>
        <w:spacing w:after="0" w:line="240" w:lineRule="auto"/>
        <w:jc w:val="both"/>
        <w:rPr>
          <w:rFonts w:asciiTheme="majorBidi" w:hAnsiTheme="majorBidi" w:cstheme="majorBidi"/>
          <w:b/>
          <w:lang w:val="sv-SE"/>
        </w:rPr>
      </w:pPr>
      <w:r w:rsidRPr="00024160">
        <w:rPr>
          <w:rFonts w:asciiTheme="majorBidi" w:hAnsiTheme="majorBidi" w:cstheme="majorBidi"/>
          <w:b/>
        </w:rPr>
        <w:t>The Educational Vulnerability of Girls in the Midst of Patriarchy and Poverty: An Analysis of the Sociology of Law by Max Weber and the Perspective of Islamic Feminist Amina Wadud</w:t>
      </w:r>
    </w:p>
    <w:p w14:paraId="7C5A613E" w14:textId="77777777" w:rsidR="00546849" w:rsidRPr="00991113" w:rsidRDefault="00546849" w:rsidP="00092679">
      <w:pPr>
        <w:spacing w:after="0" w:line="240" w:lineRule="auto"/>
        <w:ind w:firstLine="709"/>
        <w:jc w:val="both"/>
        <w:rPr>
          <w:rFonts w:asciiTheme="majorBidi" w:hAnsiTheme="majorBidi" w:cstheme="majorBidi"/>
          <w:bCs/>
          <w:lang w:val="sv-SE"/>
        </w:rPr>
      </w:pPr>
      <w:r w:rsidRPr="007677F9">
        <w:rPr>
          <w:rFonts w:asciiTheme="majorBidi" w:hAnsiTheme="majorBidi" w:cstheme="majorBidi"/>
          <w:bCs/>
        </w:rPr>
        <w:t>The vulnerability of girls' education in the midst of patriarchal dominance and economic limitations is a complex social phenomenon, where the right to education is often marginalized by family structures and cultural norms.</w:t>
      </w:r>
      <w:r>
        <w:rPr>
          <w:rStyle w:val="FootnoteReference"/>
          <w:rFonts w:asciiTheme="majorBidi" w:hAnsiTheme="majorBidi" w:cstheme="majorBidi"/>
          <w:bCs/>
        </w:rPr>
        <w:footnoteReference w:id="61"/>
      </w:r>
      <w:r w:rsidRPr="007677F9">
        <w:rPr>
          <w:rFonts w:asciiTheme="majorBidi" w:hAnsiTheme="majorBidi" w:cstheme="majorBidi"/>
          <w:bCs/>
        </w:rPr>
        <w:t xml:space="preserve"> Max Weber's perspective on legal sociology helps to understand how law, legitimacy, and social structures interact in shaping access to education, while Amina Wadud's view of Islamic feminism emphasizes the importance of gender justice and the fulfillment of women's rights as integral parts of the principle of justice in Islam.</w:t>
      </w:r>
      <w:r>
        <w:rPr>
          <w:rStyle w:val="FootnoteReference"/>
          <w:rFonts w:asciiTheme="majorBidi" w:hAnsiTheme="majorBidi" w:cstheme="majorBidi"/>
          <w:bCs/>
        </w:rPr>
        <w:footnoteReference w:id="62"/>
      </w:r>
      <w:r w:rsidRPr="007677F9">
        <w:rPr>
          <w:rFonts w:asciiTheme="majorBidi" w:hAnsiTheme="majorBidi" w:cstheme="majorBidi"/>
          <w:bCs/>
        </w:rPr>
        <w:t xml:space="preserve"> Historically, Max Weber was born on April 21, 1864 in Erfurt, German Empire, into an upper-middle-class family. His father was a conservative politician, while his mother was religious and active in social activities.</w:t>
      </w:r>
      <w:r>
        <w:rPr>
          <w:rStyle w:val="FootnoteReference"/>
          <w:rFonts w:asciiTheme="majorBidi" w:hAnsiTheme="majorBidi" w:cstheme="majorBidi"/>
          <w:bCs/>
        </w:rPr>
        <w:footnoteReference w:id="63"/>
      </w:r>
      <w:r w:rsidRPr="007677F9">
        <w:rPr>
          <w:rFonts w:asciiTheme="majorBidi" w:hAnsiTheme="majorBidi" w:cstheme="majorBidi"/>
          <w:bCs/>
        </w:rPr>
        <w:t xml:space="preserve"> This rich family environment of discussions about politics, religion, and law shaped Weber's views from an early age, so he was interested in exploring the relationship between society, law, and power structures.</w:t>
      </w:r>
      <w:r>
        <w:rPr>
          <w:rStyle w:val="FootnoteReference"/>
          <w:rFonts w:asciiTheme="majorBidi" w:hAnsiTheme="majorBidi" w:cstheme="majorBidi"/>
          <w:bCs/>
        </w:rPr>
        <w:footnoteReference w:id="64"/>
      </w:r>
      <w:r w:rsidRPr="007677F9">
        <w:rPr>
          <w:rFonts w:asciiTheme="majorBidi" w:hAnsiTheme="majorBidi" w:cstheme="majorBidi"/>
          <w:bCs/>
        </w:rPr>
        <w:t xml:space="preserve"> He pursued higher education in law, economics, and history, and then pursued an academic career as a professor of sociology and political economy. As a sociologist, he is known as a pioneer in the sociology of law, which is the scientific study of law in a social context. This emphasizes that law cannot be understood only normatively or formally, but must be analyzed based on the social, political, and economic forces that influence it. This view opens up a new view to understanding law not just as a written rule, but as a dynamic social phenomenon that interacts with the structure of society.</w:t>
      </w:r>
      <w:r>
        <w:rPr>
          <w:rStyle w:val="FootnoteReference"/>
          <w:rFonts w:asciiTheme="majorBidi" w:hAnsiTheme="majorBidi" w:cstheme="majorBidi"/>
          <w:bCs/>
        </w:rPr>
        <w:footnoteReference w:id="65"/>
      </w:r>
    </w:p>
    <w:p w14:paraId="4DE7AFC3" w14:textId="77777777" w:rsidR="00546849" w:rsidRPr="00991113" w:rsidRDefault="00546849" w:rsidP="00444FAF">
      <w:pPr>
        <w:spacing w:after="0" w:line="240" w:lineRule="auto"/>
        <w:ind w:firstLine="709"/>
        <w:jc w:val="both"/>
        <w:rPr>
          <w:rFonts w:asciiTheme="majorBidi" w:hAnsiTheme="majorBidi" w:cstheme="majorBidi"/>
          <w:bCs/>
          <w:lang w:val="sv-SE"/>
        </w:rPr>
      </w:pPr>
      <w:r w:rsidRPr="007677F9">
        <w:rPr>
          <w:rFonts w:asciiTheme="majorBidi" w:hAnsiTheme="majorBidi" w:cstheme="majorBidi"/>
          <w:bCs/>
        </w:rPr>
        <w:t xml:space="preserve">Weber introduced the concept of legal rationalization, which distinguishes between traditional law, charismatic law, and rational-legal law. It is emphasized that rational-legal law, which is systematic, formal, and based on written rules, is a characteristic of modern society. In addition, it also highlights the relationship between law and power, where law functions as an instrument of social legitimacy, rules are considered valid if they are socially accepted, not just because of sanctions. This links law to economic development, for example, contract law emerged in the era of digitalization along with capitalism and rational bureaucracy. Some of Weber's important works are major references in the sociology of law and social theory. The book </w:t>
      </w:r>
      <w:r w:rsidRPr="007677F9">
        <w:rPr>
          <w:rFonts w:asciiTheme="majorBidi" w:hAnsiTheme="majorBidi" w:cstheme="majorBidi"/>
          <w:bCs/>
          <w:i/>
          <w:iCs/>
        </w:rPr>
        <w:t>Economy and Society</w:t>
      </w:r>
      <w:r w:rsidRPr="007677F9">
        <w:rPr>
          <w:rFonts w:asciiTheme="majorBidi" w:hAnsiTheme="majorBidi" w:cstheme="majorBidi"/>
          <w:bCs/>
        </w:rPr>
        <w:t xml:space="preserve"> (1922) discussed bureaucracy, social stratification, power, and law, while </w:t>
      </w:r>
      <w:r w:rsidRPr="007677F9">
        <w:rPr>
          <w:rFonts w:asciiTheme="majorBidi" w:hAnsiTheme="majorBidi" w:cstheme="majorBidi"/>
          <w:bCs/>
          <w:i/>
          <w:iCs/>
        </w:rPr>
        <w:t>The Protestant Ethic and the Spirit of Capitalism</w:t>
      </w:r>
      <w:r w:rsidRPr="007677F9">
        <w:rPr>
          <w:rFonts w:asciiTheme="majorBidi" w:hAnsiTheme="majorBidi" w:cstheme="majorBidi"/>
          <w:bCs/>
        </w:rPr>
        <w:t xml:space="preserve"> (1905) linked religious values to economic </w:t>
      </w:r>
      <w:r w:rsidRPr="007677F9">
        <w:rPr>
          <w:rFonts w:asciiTheme="majorBidi" w:hAnsiTheme="majorBidi" w:cstheme="majorBidi"/>
          <w:bCs/>
        </w:rPr>
        <w:lastRenderedPageBreak/>
        <w:t>development and social norms, including law. These works affirm that law does not stand alone, but rather is influenced by social, economic, and cultural contexts.</w:t>
      </w:r>
      <w:r>
        <w:rPr>
          <w:rStyle w:val="FootnoteReference"/>
          <w:rFonts w:asciiTheme="majorBidi" w:hAnsiTheme="majorBidi" w:cstheme="majorBidi"/>
          <w:bCs/>
        </w:rPr>
        <w:footnoteReference w:id="66"/>
      </w:r>
    </w:p>
    <w:p w14:paraId="2AC8548E" w14:textId="77777777" w:rsidR="00546849" w:rsidRPr="00991113" w:rsidRDefault="00546849" w:rsidP="00E804E4">
      <w:pPr>
        <w:spacing w:after="0" w:line="240" w:lineRule="auto"/>
        <w:ind w:firstLine="709"/>
        <w:jc w:val="both"/>
        <w:rPr>
          <w:rFonts w:asciiTheme="majorBidi" w:hAnsiTheme="majorBidi" w:cstheme="majorBidi"/>
          <w:bCs/>
          <w:lang w:val="sv-SE"/>
        </w:rPr>
      </w:pPr>
      <w:r w:rsidRPr="007677F9">
        <w:rPr>
          <w:rFonts w:asciiTheme="majorBidi" w:hAnsiTheme="majorBidi" w:cstheme="majorBidi"/>
          <w:bCs/>
        </w:rPr>
        <w:t>Weber's influence in the sociology of law was enormous. His thinking became the basis for the study of comparative law, contemporary legal theory, and the analysis of legal relations with bureaucratic and capitalist societies. By emphasizing that law is a social phenomenon, Weber provides a relevant analytical framework for understanding how law operates in modern society, how power and legitimacy are formed, and how social norms and economic structures shape the legal system. Weber died on June 14, 1920 in Munich, Germany, leaving behind a legacy of thought that remains an important reference today.</w:t>
      </w:r>
      <w:r>
        <w:rPr>
          <w:rStyle w:val="FootnoteReference"/>
          <w:rFonts w:asciiTheme="majorBidi" w:hAnsiTheme="majorBidi" w:cstheme="majorBidi"/>
          <w:bCs/>
        </w:rPr>
        <w:footnoteReference w:id="67"/>
      </w:r>
    </w:p>
    <w:p w14:paraId="38A0977F" w14:textId="77777777" w:rsidR="00546849" w:rsidRPr="00991113" w:rsidRDefault="00546849" w:rsidP="001A2640">
      <w:pPr>
        <w:spacing w:after="0" w:line="240" w:lineRule="auto"/>
        <w:ind w:firstLine="709"/>
        <w:jc w:val="both"/>
        <w:rPr>
          <w:rFonts w:asciiTheme="majorBidi" w:hAnsiTheme="majorBidi" w:cstheme="majorBidi"/>
          <w:bCs/>
          <w:lang w:val="sv-SE"/>
        </w:rPr>
      </w:pPr>
      <w:r w:rsidRPr="007677F9">
        <w:rPr>
          <w:rFonts w:asciiTheme="majorBidi" w:hAnsiTheme="majorBidi" w:cstheme="majorBidi"/>
          <w:bCs/>
        </w:rPr>
        <w:t>Meanwhile, Amina Wadud was born in 1952 in Birmingham, Alabama, United States, into an African-American Muslim family that emphasized the importance of education, social awareness, and religious values. From an early age, she showed a strong interest in the study of religion, literature, and social justice issues, which later guided her to pursue Islamic studies with a critical approach to the role of gender in religious texts and social practices. The family and educational environment initially instilled a high level of intellectual concern, so that it was able to combine traditional Islamic understandings with post-modern academic methods.</w:t>
      </w:r>
      <w:r>
        <w:rPr>
          <w:rStyle w:val="FootnoteReference"/>
          <w:rFonts w:asciiTheme="majorBidi" w:hAnsiTheme="majorBidi" w:cstheme="majorBidi"/>
          <w:bCs/>
        </w:rPr>
        <w:footnoteReference w:id="68"/>
      </w:r>
    </w:p>
    <w:p w14:paraId="220D9477" w14:textId="77777777" w:rsidR="00546849" w:rsidRPr="00141DEF" w:rsidRDefault="00546849" w:rsidP="00FC7950">
      <w:pPr>
        <w:spacing w:after="0" w:line="240" w:lineRule="auto"/>
        <w:ind w:firstLine="709"/>
        <w:jc w:val="both"/>
        <w:rPr>
          <w:rFonts w:asciiTheme="majorBidi" w:hAnsiTheme="majorBidi" w:cstheme="majorBidi"/>
          <w:bCs/>
          <w:lang w:val="sv-SE"/>
        </w:rPr>
      </w:pPr>
      <w:r w:rsidRPr="007677F9">
        <w:rPr>
          <w:rFonts w:asciiTheme="majorBidi" w:hAnsiTheme="majorBidi" w:cstheme="majorBidi"/>
          <w:bCs/>
        </w:rPr>
        <w:t>Wadud pursued higher education in Islamic studies and theology, earning undergraduate and graduate degrees at several well-known universities in the United States, including Harvard University and the University of Pennsylvania.</w:t>
      </w:r>
      <w:r>
        <w:rPr>
          <w:rStyle w:val="FootnoteReference"/>
          <w:rFonts w:asciiTheme="majorBidi" w:hAnsiTheme="majorBidi" w:cstheme="majorBidi"/>
          <w:bCs/>
        </w:rPr>
        <w:footnoteReference w:id="69"/>
      </w:r>
      <w:r w:rsidRPr="007677F9">
        <w:rPr>
          <w:rFonts w:asciiTheme="majorBidi" w:hAnsiTheme="majorBidi" w:cstheme="majorBidi"/>
          <w:bCs/>
        </w:rPr>
        <w:t xml:space="preserve"> This education provided her with a strong intellectual foundation to critically analyze religious texts, especially from a gender perspective. After completing her studies, she pursued an academic career as a professor and researcher focusing on the interpretation of the Qur'an with a contextual and gender-inclusive approach.</w:t>
      </w:r>
      <w:r>
        <w:rPr>
          <w:rStyle w:val="FootnoteReference"/>
          <w:rFonts w:asciiTheme="majorBidi" w:hAnsiTheme="majorBidi" w:cstheme="majorBidi"/>
          <w:bCs/>
        </w:rPr>
        <w:footnoteReference w:id="70"/>
      </w:r>
      <w:r w:rsidRPr="00991113">
        <w:rPr>
          <w:rFonts w:asciiTheme="majorBidi" w:hAnsiTheme="majorBidi" w:cstheme="majorBidi"/>
          <w:bCs/>
        </w:rPr>
        <w:t xml:space="preserve"> Amina Wadud is widely known as a pioneer of Islamic feminism, especially through her innovative approach to Qur'anic interpretation. It emphasizes that Islamic sacred texts do not basically marginalize women.</w:t>
      </w:r>
      <w:r>
        <w:rPr>
          <w:rStyle w:val="FootnoteReference"/>
          <w:rFonts w:asciiTheme="majorBidi" w:hAnsiTheme="majorBidi" w:cstheme="majorBidi"/>
          <w:bCs/>
        </w:rPr>
        <w:footnoteReference w:id="71"/>
      </w:r>
      <w:r>
        <w:rPr>
          <w:rFonts w:asciiTheme="majorBidi" w:hAnsiTheme="majorBidi" w:cstheme="majorBidi"/>
          <w:bCs/>
        </w:rPr>
        <w:t xml:space="preserve"> Conversely, patriarchal interpretations that have developed throughout history have limited women's access to their rights, both in the social, legal, and spiritual realms.</w:t>
      </w:r>
      <w:r>
        <w:rPr>
          <w:rStyle w:val="FootnoteReference"/>
          <w:rFonts w:asciiTheme="majorBidi" w:hAnsiTheme="majorBidi" w:cstheme="majorBidi"/>
          <w:bCs/>
        </w:rPr>
        <w:footnoteReference w:id="72"/>
      </w:r>
      <w:r w:rsidRPr="007677F9">
        <w:rPr>
          <w:rFonts w:asciiTheme="majorBidi" w:hAnsiTheme="majorBidi" w:cstheme="majorBidi"/>
          <w:bCs/>
        </w:rPr>
        <w:t xml:space="preserve"> Through her works, Wadud encourages critical reading of religious texts, challenges social norms and cultural practices that place women in subordinate positions, and proposes interpretations that affirm spiritual, social, and legal equality between men and women.</w:t>
      </w:r>
      <w:r>
        <w:rPr>
          <w:rStyle w:val="FootnoteReference"/>
          <w:rFonts w:asciiTheme="majorBidi" w:hAnsiTheme="majorBidi" w:cstheme="majorBidi"/>
          <w:bCs/>
        </w:rPr>
        <w:footnoteReference w:id="73"/>
      </w:r>
      <w:r w:rsidRPr="00991113">
        <w:rPr>
          <w:rFonts w:asciiTheme="majorBidi" w:hAnsiTheme="majorBidi" w:cstheme="majorBidi"/>
          <w:bCs/>
        </w:rPr>
        <w:t xml:space="preserve"> Wadud's most famous work is </w:t>
      </w:r>
      <w:r w:rsidRPr="007677F9">
        <w:rPr>
          <w:rFonts w:asciiTheme="majorBidi" w:hAnsiTheme="majorBidi" w:cstheme="majorBidi"/>
          <w:bCs/>
          <w:i/>
          <w:iCs/>
        </w:rPr>
        <w:t>the Qur'an and Woman: Rereading the Sacred Text from a Woman's Perspective</w:t>
      </w:r>
      <w:r w:rsidRPr="007677F9">
        <w:rPr>
          <w:rFonts w:asciiTheme="majorBidi" w:hAnsiTheme="majorBidi" w:cstheme="majorBidi"/>
          <w:bCs/>
        </w:rPr>
        <w:t xml:space="preserve"> (1999), which is an important reference in the study of Islamic feminism at the global level. In this book, Wadud interprets the verses of the Qur'an through a women's perspective, emphasizing the principles of justice, equality, and respect for women, aspects that are often overlooked or misinterpreted in </w:t>
      </w:r>
      <w:r w:rsidRPr="007677F9">
        <w:rPr>
          <w:rFonts w:asciiTheme="majorBidi" w:hAnsiTheme="majorBidi" w:cstheme="majorBidi"/>
          <w:bCs/>
        </w:rPr>
        <w:lastRenderedPageBreak/>
        <w:t>traditional interpretations. The influence of Wadud's thought extended not only among academics, but also in Muslim communities in various countries. Her ideas encouraged critical discussion of women's roles in religion, law, and social life, while inspiring the Islamic feminism movement that emphasized gender equality and justice.</w:t>
      </w:r>
      <w:r>
        <w:rPr>
          <w:rStyle w:val="FootnoteReference"/>
          <w:rFonts w:asciiTheme="majorBidi" w:hAnsiTheme="majorBidi" w:cstheme="majorBidi"/>
          <w:bCs/>
        </w:rPr>
        <w:footnoteReference w:id="74"/>
      </w:r>
      <w:r w:rsidRPr="007677F9">
        <w:rPr>
          <w:rFonts w:asciiTheme="majorBidi" w:hAnsiTheme="majorBidi" w:cstheme="majorBidi"/>
          <w:bCs/>
        </w:rPr>
        <w:t xml:space="preserve"> Wadud points out that gender equality in Islam can be realized through contextual, critical, and ethical interpretations of sacred texts, providing an intellectual foundation for women to demand their rights in the fields of education, law, and society.</w:t>
      </w:r>
      <w:r>
        <w:rPr>
          <w:rStyle w:val="FootnoteReference"/>
          <w:rFonts w:asciiTheme="majorBidi" w:hAnsiTheme="majorBidi" w:cstheme="majorBidi"/>
          <w:bCs/>
        </w:rPr>
        <w:footnoteReference w:id="75"/>
      </w:r>
      <w:r>
        <w:rPr>
          <w:rFonts w:asciiTheme="majorBidi" w:hAnsiTheme="majorBidi" w:cstheme="majorBidi"/>
          <w:bCs/>
        </w:rPr>
        <w:t xml:space="preserve"> Thus, in this section, an analysis based on the theory of legal sociology of Max Weber and the perspective of Islamic feminism of Amina Wadud is presented, which is summarized in the following table:</w:t>
      </w:r>
    </w:p>
    <w:p w14:paraId="102B5F96" w14:textId="4EEB00ED" w:rsidR="00546849" w:rsidRPr="00991113" w:rsidRDefault="00546849" w:rsidP="00F22625">
      <w:pPr>
        <w:spacing w:after="0" w:line="240" w:lineRule="auto"/>
        <w:ind w:firstLine="709"/>
        <w:jc w:val="center"/>
        <w:rPr>
          <w:rFonts w:asciiTheme="majorBidi" w:hAnsiTheme="majorBidi" w:cstheme="majorBidi"/>
          <w:bCs/>
          <w:lang w:val="sv-SE"/>
        </w:rPr>
      </w:pPr>
      <w:r w:rsidRPr="00141DEF">
        <w:rPr>
          <w:rFonts w:asciiTheme="majorBidi" w:hAnsiTheme="majorBidi" w:cstheme="majorBidi"/>
          <w:b/>
        </w:rPr>
        <w:t>Table 1</w:t>
      </w:r>
      <w:r w:rsidRPr="00991113">
        <w:rPr>
          <w:rFonts w:asciiTheme="majorBidi" w:hAnsiTheme="majorBidi" w:cstheme="majorBidi"/>
          <w:bCs/>
        </w:rPr>
        <w:t xml:space="preserve"> Girls' Educational Vulnerability in the Midst of Patriarchy and Poverty: Max Weber's Legal Sociology Analysis and Amina Wadud's Islamic Feminism Perspective</w:t>
      </w:r>
    </w:p>
    <w:tbl>
      <w:tblPr>
        <w:tblW w:w="9362" w:type="dxa"/>
        <w:tblInd w:w="-6" w:type="dxa"/>
        <w:tblBorders>
          <w:top w:val="single" w:sz="4" w:space="0" w:color="000000"/>
          <w:insideH w:val="single" w:sz="4" w:space="0" w:color="000000"/>
        </w:tblBorders>
        <w:tblLayout w:type="fixed"/>
        <w:tblLook w:val="0000" w:firstRow="0" w:lastRow="0" w:firstColumn="0" w:lastColumn="0" w:noHBand="0" w:noVBand="0"/>
      </w:tblPr>
      <w:tblGrid>
        <w:gridCol w:w="573"/>
        <w:gridCol w:w="2546"/>
        <w:gridCol w:w="2983"/>
        <w:gridCol w:w="3260"/>
      </w:tblGrid>
      <w:tr w:rsidR="00C228E9" w:rsidRPr="00991113" w14:paraId="2B3315F2" w14:textId="77777777" w:rsidTr="00C228E9">
        <w:trPr>
          <w:trHeight w:val="431"/>
        </w:trPr>
        <w:tc>
          <w:tcPr>
            <w:tcW w:w="573" w:type="dxa"/>
            <w:vAlign w:val="center"/>
          </w:tcPr>
          <w:p w14:paraId="1C1CC3C7" w14:textId="77777777" w:rsidR="00C228E9" w:rsidRPr="00991113" w:rsidRDefault="00C228E9" w:rsidP="00B041DC">
            <w:pPr>
              <w:spacing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No</w:t>
            </w:r>
          </w:p>
        </w:tc>
        <w:tc>
          <w:tcPr>
            <w:tcW w:w="2546" w:type="dxa"/>
            <w:vAlign w:val="center"/>
          </w:tcPr>
          <w:p w14:paraId="168F628B" w14:textId="03CA4C49" w:rsidR="00C228E9" w:rsidRPr="00991113" w:rsidRDefault="009E775D" w:rsidP="00C228E9">
            <w:pPr>
              <w:spacing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Factors / Dimensions</w:t>
            </w:r>
          </w:p>
        </w:tc>
        <w:tc>
          <w:tcPr>
            <w:tcW w:w="2983" w:type="dxa"/>
            <w:vAlign w:val="center"/>
          </w:tcPr>
          <w:p w14:paraId="15C41948" w14:textId="0ABC85A6" w:rsidR="00C228E9" w:rsidRPr="00991113" w:rsidRDefault="009E775D" w:rsidP="00C228E9">
            <w:pPr>
              <w:spacing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Max Weber's Legal Sociology Analysis</w:t>
            </w:r>
          </w:p>
        </w:tc>
        <w:tc>
          <w:tcPr>
            <w:tcW w:w="3260" w:type="dxa"/>
            <w:vAlign w:val="center"/>
          </w:tcPr>
          <w:p w14:paraId="1F0AAE22" w14:textId="257191E3" w:rsidR="00C228E9" w:rsidRPr="00991113" w:rsidRDefault="009E775D" w:rsidP="00C228E9">
            <w:pPr>
              <w:spacing w:line="240" w:lineRule="auto"/>
              <w:jc w:val="center"/>
              <w:rPr>
                <w:rFonts w:asciiTheme="majorBidi" w:eastAsia="Times New Roman" w:hAnsiTheme="majorBidi" w:cstheme="majorBidi"/>
                <w:bCs/>
                <w:lang w:val="sv-SE"/>
              </w:rPr>
            </w:pPr>
            <w:r w:rsidRPr="00991113">
              <w:rPr>
                <w:rFonts w:asciiTheme="majorBidi" w:eastAsia="Times New Roman" w:hAnsiTheme="majorBidi" w:cstheme="majorBidi"/>
                <w:bCs/>
              </w:rPr>
              <w:t>Amina Wadud's Perspective on Islamic Feminism</w:t>
            </w:r>
          </w:p>
        </w:tc>
      </w:tr>
      <w:tr w:rsidR="00C228E9" w:rsidRPr="00991113" w14:paraId="64E91C1C" w14:textId="77777777" w:rsidTr="00C228E9">
        <w:trPr>
          <w:trHeight w:val="203"/>
        </w:trPr>
        <w:tc>
          <w:tcPr>
            <w:tcW w:w="573" w:type="dxa"/>
            <w:vAlign w:val="center"/>
          </w:tcPr>
          <w:p w14:paraId="61DDA32E" w14:textId="77777777" w:rsidR="00C228E9" w:rsidRPr="00991113" w:rsidRDefault="00C228E9" w:rsidP="00C228E9">
            <w:pPr>
              <w:spacing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1</w:t>
            </w:r>
          </w:p>
        </w:tc>
        <w:tc>
          <w:tcPr>
            <w:tcW w:w="2546" w:type="dxa"/>
            <w:vAlign w:val="center"/>
          </w:tcPr>
          <w:p w14:paraId="0EC9F361" w14:textId="18814B39" w:rsidR="00C228E9" w:rsidRPr="00991113" w:rsidRDefault="009E775D" w:rsidP="009619C9">
            <w:pPr>
              <w:spacing w:line="240" w:lineRule="auto"/>
              <w:jc w:val="both"/>
              <w:rPr>
                <w:rFonts w:asciiTheme="majorBidi" w:eastAsia="Times New Roman" w:hAnsiTheme="majorBidi" w:cstheme="majorBidi"/>
                <w:bCs/>
              </w:rPr>
            </w:pPr>
            <w:r w:rsidRPr="000704BB">
              <w:rPr>
                <w:rFonts w:asciiTheme="majorBidi" w:hAnsiTheme="majorBidi" w:cstheme="majorBidi"/>
                <w:bCs/>
              </w:rPr>
              <w:t>Patriarchy/Social Structure</w:t>
            </w:r>
          </w:p>
        </w:tc>
        <w:tc>
          <w:tcPr>
            <w:tcW w:w="2983" w:type="dxa"/>
            <w:vAlign w:val="center"/>
          </w:tcPr>
          <w:p w14:paraId="748A97A4" w14:textId="0A43E583" w:rsidR="00C228E9" w:rsidRPr="009E775D" w:rsidRDefault="009E775D" w:rsidP="009619C9">
            <w:pPr>
              <w:spacing w:line="240" w:lineRule="auto"/>
              <w:jc w:val="both"/>
              <w:rPr>
                <w:rFonts w:asciiTheme="majorBidi" w:eastAsia="Times New Roman" w:hAnsiTheme="majorBidi" w:cstheme="majorBidi"/>
                <w:bCs/>
              </w:rPr>
            </w:pPr>
            <w:r w:rsidRPr="000704BB">
              <w:rPr>
                <w:rFonts w:asciiTheme="majorBidi" w:hAnsiTheme="majorBidi" w:cstheme="majorBidi"/>
                <w:bCs/>
              </w:rPr>
              <w:t>Patriarchy exists as a social structure that legitimizes male dominance; Formal laws and educational norms often lose to this social legitimacy. Girls are placed in subordinate positions, despite having the legal right to access education.</w:t>
            </w:r>
          </w:p>
        </w:tc>
        <w:tc>
          <w:tcPr>
            <w:tcW w:w="3260" w:type="dxa"/>
            <w:vAlign w:val="center"/>
          </w:tcPr>
          <w:p w14:paraId="03E872C1" w14:textId="4506E807" w:rsidR="00C228E9" w:rsidRPr="00991113" w:rsidRDefault="009E775D" w:rsidP="009619C9">
            <w:pPr>
              <w:spacing w:line="240" w:lineRule="auto"/>
              <w:jc w:val="both"/>
              <w:rPr>
                <w:rFonts w:asciiTheme="majorBidi" w:eastAsia="Times New Roman" w:hAnsiTheme="majorBidi" w:cstheme="majorBidi"/>
                <w:bCs/>
                <w:lang w:val="sv-SE"/>
              </w:rPr>
            </w:pPr>
            <w:r w:rsidRPr="005A0C5B">
              <w:rPr>
                <w:rFonts w:asciiTheme="majorBidi" w:hAnsiTheme="majorBidi" w:cstheme="majorBidi"/>
                <w:bCs/>
              </w:rPr>
              <w:t>Patriarchal interpretations of religion justify the subordination of women; social practices that prioritize women are contrary to the principles of justice and equality in the Qur'an. Girls' right to education is an inherent right and must be guaranteed</w:t>
            </w:r>
            <w:r w:rsidR="00C228E9" w:rsidRPr="000704BB">
              <w:rPr>
                <w:rFonts w:asciiTheme="majorBidi" w:hAnsiTheme="majorBidi" w:cstheme="majorBidi"/>
                <w:bCs/>
                <w:lang w:val="sv-SE"/>
              </w:rPr>
              <w:t>.</w:t>
            </w:r>
          </w:p>
        </w:tc>
      </w:tr>
      <w:tr w:rsidR="00C228E9" w:rsidRPr="00991113" w14:paraId="4774C37E" w14:textId="77777777" w:rsidTr="00C228E9">
        <w:trPr>
          <w:trHeight w:val="403"/>
        </w:trPr>
        <w:tc>
          <w:tcPr>
            <w:tcW w:w="573" w:type="dxa"/>
            <w:vAlign w:val="center"/>
          </w:tcPr>
          <w:p w14:paraId="5DE84040" w14:textId="77777777" w:rsidR="00C228E9" w:rsidRPr="00991113" w:rsidRDefault="00C228E9" w:rsidP="00C228E9">
            <w:pPr>
              <w:spacing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2</w:t>
            </w:r>
          </w:p>
        </w:tc>
        <w:tc>
          <w:tcPr>
            <w:tcW w:w="2546" w:type="dxa"/>
            <w:vAlign w:val="center"/>
          </w:tcPr>
          <w:p w14:paraId="31F5CE89" w14:textId="5DCBFF95" w:rsidR="00C228E9" w:rsidRPr="00991113" w:rsidRDefault="009E775D" w:rsidP="009619C9">
            <w:pPr>
              <w:spacing w:line="240" w:lineRule="auto"/>
              <w:jc w:val="both"/>
              <w:rPr>
                <w:rFonts w:asciiTheme="majorBidi" w:eastAsia="Times New Roman" w:hAnsiTheme="majorBidi" w:cstheme="majorBidi"/>
                <w:bCs/>
              </w:rPr>
            </w:pPr>
            <w:r w:rsidRPr="000704BB">
              <w:rPr>
                <w:rFonts w:asciiTheme="majorBidi" w:hAnsiTheme="majorBidi" w:cstheme="majorBidi"/>
                <w:bCs/>
              </w:rPr>
              <w:t>Poverty/Economic Factors</w:t>
            </w:r>
          </w:p>
        </w:tc>
        <w:tc>
          <w:tcPr>
            <w:tcW w:w="2983" w:type="dxa"/>
            <w:vAlign w:val="center"/>
          </w:tcPr>
          <w:p w14:paraId="3E013E34" w14:textId="04415E55" w:rsidR="00C228E9" w:rsidRPr="001333D4" w:rsidRDefault="001333D4" w:rsidP="009619C9">
            <w:pPr>
              <w:spacing w:line="240" w:lineRule="auto"/>
              <w:jc w:val="both"/>
              <w:rPr>
                <w:rFonts w:asciiTheme="majorBidi" w:eastAsia="Times New Roman" w:hAnsiTheme="majorBidi" w:cstheme="majorBidi"/>
                <w:bCs/>
              </w:rPr>
            </w:pPr>
            <w:r w:rsidRPr="005A0C5B">
              <w:rPr>
                <w:rFonts w:asciiTheme="majorBidi" w:hAnsiTheme="majorBidi" w:cstheme="majorBidi"/>
                <w:bCs/>
              </w:rPr>
              <w:t>Economic limitations are a rational reason for families to prioritize the education of boys. Girls bear a "double burden": losing the right to education while having to work to sustain the family economy.</w:t>
            </w:r>
          </w:p>
        </w:tc>
        <w:tc>
          <w:tcPr>
            <w:tcW w:w="3260" w:type="dxa"/>
            <w:vAlign w:val="center"/>
          </w:tcPr>
          <w:p w14:paraId="50BC21F6" w14:textId="3B8B6BD0" w:rsidR="00C228E9" w:rsidRPr="00991113" w:rsidRDefault="001333D4" w:rsidP="009619C9">
            <w:pPr>
              <w:spacing w:line="240" w:lineRule="auto"/>
              <w:jc w:val="both"/>
              <w:rPr>
                <w:rFonts w:asciiTheme="majorBidi" w:eastAsia="Times New Roman" w:hAnsiTheme="majorBidi" w:cstheme="majorBidi"/>
                <w:bCs/>
              </w:rPr>
            </w:pPr>
            <w:r w:rsidRPr="005A0C5B">
              <w:rPr>
                <w:rFonts w:asciiTheme="majorBidi" w:hAnsiTheme="majorBidi" w:cstheme="majorBidi"/>
                <w:bCs/>
              </w:rPr>
              <w:t>Poverty should not be an excuse to set aside women's rights; Islamic principles emphasize social justice and the protection of girls' rights, including education. Girls have the right to education as a means of empowerment.</w:t>
            </w:r>
          </w:p>
        </w:tc>
      </w:tr>
      <w:tr w:rsidR="00C228E9" w:rsidRPr="00991113" w14:paraId="4443CF93" w14:textId="77777777" w:rsidTr="00C228E9">
        <w:trPr>
          <w:trHeight w:val="394"/>
        </w:trPr>
        <w:tc>
          <w:tcPr>
            <w:tcW w:w="573" w:type="dxa"/>
            <w:tcBorders>
              <w:bottom w:val="single" w:sz="4" w:space="0" w:color="000000"/>
            </w:tcBorders>
            <w:vAlign w:val="center"/>
          </w:tcPr>
          <w:p w14:paraId="657C8187" w14:textId="77777777" w:rsidR="00C228E9" w:rsidRPr="00991113" w:rsidRDefault="00C228E9" w:rsidP="00C228E9">
            <w:pPr>
              <w:spacing w:line="240" w:lineRule="auto"/>
              <w:jc w:val="center"/>
              <w:rPr>
                <w:rFonts w:asciiTheme="majorBidi" w:eastAsia="Times New Roman" w:hAnsiTheme="majorBidi" w:cstheme="majorBidi"/>
                <w:bCs/>
              </w:rPr>
            </w:pPr>
            <w:r w:rsidRPr="00991113">
              <w:rPr>
                <w:rFonts w:asciiTheme="majorBidi" w:eastAsia="Times New Roman" w:hAnsiTheme="majorBidi" w:cstheme="majorBidi"/>
                <w:bCs/>
              </w:rPr>
              <w:t>3</w:t>
            </w:r>
          </w:p>
        </w:tc>
        <w:tc>
          <w:tcPr>
            <w:tcW w:w="2546" w:type="dxa"/>
            <w:tcBorders>
              <w:bottom w:val="single" w:sz="4" w:space="0" w:color="000000"/>
            </w:tcBorders>
            <w:vAlign w:val="center"/>
          </w:tcPr>
          <w:p w14:paraId="74820031" w14:textId="20EE0113" w:rsidR="00C228E9" w:rsidRPr="00991113" w:rsidRDefault="009E775D" w:rsidP="009619C9">
            <w:pPr>
              <w:spacing w:line="240" w:lineRule="auto"/>
              <w:jc w:val="both"/>
              <w:rPr>
                <w:rFonts w:asciiTheme="majorBidi" w:eastAsia="Times New Roman" w:hAnsiTheme="majorBidi" w:cstheme="majorBidi"/>
                <w:bCs/>
              </w:rPr>
            </w:pPr>
            <w:r w:rsidRPr="000704BB">
              <w:rPr>
                <w:rFonts w:asciiTheme="majorBidi" w:hAnsiTheme="majorBidi" w:cstheme="majorBidi"/>
                <w:bCs/>
              </w:rPr>
              <w:t>Educational Vulnerability/Impact</w:t>
            </w:r>
          </w:p>
        </w:tc>
        <w:tc>
          <w:tcPr>
            <w:tcW w:w="2983" w:type="dxa"/>
            <w:tcBorders>
              <w:bottom w:val="single" w:sz="4" w:space="0" w:color="000000"/>
            </w:tcBorders>
            <w:vAlign w:val="center"/>
          </w:tcPr>
          <w:p w14:paraId="3A4E4413" w14:textId="68CA94BF" w:rsidR="00C228E9" w:rsidRPr="00991113" w:rsidRDefault="001333D4" w:rsidP="009619C9">
            <w:pPr>
              <w:spacing w:line="240" w:lineRule="auto"/>
              <w:jc w:val="both"/>
              <w:rPr>
                <w:rFonts w:asciiTheme="majorBidi" w:eastAsia="Times New Roman" w:hAnsiTheme="majorBidi" w:cstheme="majorBidi"/>
                <w:bCs/>
                <w:lang w:val="sv-SE"/>
              </w:rPr>
            </w:pPr>
            <w:r w:rsidRPr="000704BB">
              <w:rPr>
                <w:rFonts w:asciiTheme="majorBidi" w:hAnsiTheme="majorBidi" w:cstheme="majorBidi"/>
                <w:bCs/>
              </w:rPr>
              <w:t>Girls' access to education is hampered by the interaction of patriarchy and poverty ("patriarchal poverty"). Formal law and public policy are ineffective without change social structure and legitimacy of power.</w:t>
            </w:r>
          </w:p>
        </w:tc>
        <w:tc>
          <w:tcPr>
            <w:tcW w:w="3260" w:type="dxa"/>
            <w:tcBorders>
              <w:bottom w:val="single" w:sz="4" w:space="0" w:color="000000"/>
            </w:tcBorders>
            <w:vAlign w:val="center"/>
          </w:tcPr>
          <w:p w14:paraId="67965282" w14:textId="184610A3" w:rsidR="00C228E9" w:rsidRPr="00991113" w:rsidRDefault="001333D4" w:rsidP="009619C9">
            <w:pPr>
              <w:spacing w:line="240" w:lineRule="auto"/>
              <w:jc w:val="both"/>
              <w:rPr>
                <w:rFonts w:asciiTheme="majorBidi" w:eastAsia="Times New Roman" w:hAnsiTheme="majorBidi" w:cstheme="majorBidi"/>
                <w:bCs/>
                <w:lang w:val="sv-SE"/>
              </w:rPr>
            </w:pPr>
            <w:r w:rsidRPr="000704BB">
              <w:rPr>
                <w:rFonts w:asciiTheme="majorBidi" w:hAnsiTheme="majorBidi" w:cstheme="majorBidi"/>
                <w:bCs/>
              </w:rPr>
              <w:t xml:space="preserve">Educational injustice is the result of patriarchal interpretation and practice; There is a need for a gender-inclusive reinterpretation of religious texts. Girls' education is a moral obligation, an instrument of justice </w:t>
            </w:r>
            <w:r w:rsidR="00C228E9" w:rsidRPr="000704BB">
              <w:rPr>
                <w:rFonts w:asciiTheme="majorBidi" w:hAnsiTheme="majorBidi" w:cstheme="majorBidi"/>
                <w:bCs/>
                <w:lang w:val="sv-SE"/>
              </w:rPr>
              <w:t xml:space="preserve">sosial, </w:t>
            </w:r>
            <w:r w:rsidRPr="000704BB">
              <w:rPr>
                <w:rFonts w:asciiTheme="majorBidi" w:hAnsiTheme="majorBidi" w:cstheme="majorBidi"/>
                <w:bCs/>
              </w:rPr>
              <w:t>and women's empowerment.</w:t>
            </w:r>
          </w:p>
        </w:tc>
      </w:tr>
    </w:tbl>
    <w:p w14:paraId="6703FB9E" w14:textId="77777777" w:rsidR="00546849" w:rsidRPr="00546849" w:rsidRDefault="00546849" w:rsidP="0064232B">
      <w:pPr>
        <w:spacing w:after="0" w:line="240" w:lineRule="auto"/>
        <w:ind w:firstLine="709"/>
        <w:jc w:val="center"/>
        <w:rPr>
          <w:rFonts w:asciiTheme="majorBidi" w:hAnsiTheme="majorBidi" w:cstheme="majorBidi"/>
          <w:bCs/>
          <w:lang w:val="sv-SE"/>
        </w:rPr>
      </w:pPr>
      <w:r w:rsidRPr="00546849">
        <w:rPr>
          <w:rFonts w:asciiTheme="majorBidi" w:hAnsiTheme="majorBidi" w:cstheme="majorBidi"/>
          <w:bCs/>
        </w:rPr>
        <w:t>Data source: author's analysis</w:t>
      </w:r>
    </w:p>
    <w:p w14:paraId="71CDE297" w14:textId="77777777" w:rsidR="00546849" w:rsidRPr="009619C9" w:rsidRDefault="00546849" w:rsidP="005C5DE2">
      <w:pPr>
        <w:spacing w:after="0" w:line="240" w:lineRule="auto"/>
        <w:ind w:firstLine="709"/>
        <w:jc w:val="both"/>
        <w:rPr>
          <w:rFonts w:asciiTheme="majorBidi" w:hAnsiTheme="majorBidi" w:cstheme="majorBidi"/>
          <w:bCs/>
          <w:lang w:val="sv-SE"/>
        </w:rPr>
      </w:pPr>
      <w:r w:rsidRPr="009619C9">
        <w:rPr>
          <w:rFonts w:asciiTheme="majorBidi" w:hAnsiTheme="majorBidi" w:cstheme="majorBidi"/>
          <w:bCs/>
        </w:rPr>
        <w:lastRenderedPageBreak/>
        <w:t>This table shows that the vulnerability of girls' educational rights is a structural phenomenon born of the encounter between patriarchy and poverty, which work simultaneously at the family and community levels. In the perspective of legal sociologist Max Weber, patriarchy is understood as a social structure that has a strong legitimacy so that it is able to defeat the effectiveness of formal laws and educational policies that guarantee equality. Although normatively girls have the same right to go to school, patriarchal social norms make this right not implemented in real terms. Male dominance is accepted as something "natural" and socially legitimate, so family decisions that prioritize boys are seen as rational and legitimate.</w:t>
      </w:r>
    </w:p>
    <w:p w14:paraId="2448C358" w14:textId="77777777" w:rsidR="00546849" w:rsidRPr="009619C9" w:rsidRDefault="00546849" w:rsidP="004B40FB">
      <w:pPr>
        <w:spacing w:after="0" w:line="240" w:lineRule="auto"/>
        <w:ind w:firstLine="709"/>
        <w:jc w:val="both"/>
        <w:rPr>
          <w:rFonts w:asciiTheme="majorBidi" w:hAnsiTheme="majorBidi" w:cstheme="majorBidi"/>
          <w:bCs/>
          <w:lang w:val="sv-SE"/>
        </w:rPr>
      </w:pPr>
      <w:r w:rsidRPr="009619C9">
        <w:rPr>
          <w:rFonts w:asciiTheme="majorBidi" w:hAnsiTheme="majorBidi" w:cstheme="majorBidi"/>
          <w:bCs/>
        </w:rPr>
        <w:t>The poverty factor in Weber's analysis further strengthens this inequality. Economic limitations shape the rationality of family actions in distributing limited resources. In these conditions, boys' education is seen as an investment in the future, while girls are considered to be sacrificed for the sake of the family's economic survival. As a result, girls experience a double burden, namely losing access to education and being required to work from an early age. This shows that the vulnerability of education is not just an economic problem, but the result of the interaction between patriarchal social structures and culturally legitimized economic rationality.</w:t>
      </w:r>
      <w:r>
        <w:rPr>
          <w:rStyle w:val="FootnoteReference"/>
          <w:rFonts w:asciiTheme="majorBidi" w:hAnsiTheme="majorBidi" w:cstheme="majorBidi"/>
          <w:bCs/>
        </w:rPr>
        <w:footnoteReference w:id="76"/>
      </w:r>
    </w:p>
    <w:p w14:paraId="79ECF9D0" w14:textId="77777777" w:rsidR="00546849" w:rsidRPr="009619C9" w:rsidRDefault="00546849" w:rsidP="00D47CF7">
      <w:pPr>
        <w:spacing w:after="0" w:line="240" w:lineRule="auto"/>
        <w:ind w:firstLine="709"/>
        <w:jc w:val="both"/>
        <w:rPr>
          <w:rFonts w:asciiTheme="majorBidi" w:hAnsiTheme="majorBidi" w:cstheme="majorBidi"/>
          <w:bCs/>
          <w:lang w:val="sv-SE"/>
        </w:rPr>
      </w:pPr>
      <w:r w:rsidRPr="009619C9">
        <w:rPr>
          <w:rFonts w:asciiTheme="majorBidi" w:hAnsiTheme="majorBidi" w:cstheme="majorBidi"/>
          <w:bCs/>
        </w:rPr>
        <w:t>From the perspective of Islamic feminism Amina Wadud, this condition reflects the existence of gender-biased religious interpretations and practices. Wadud emphasized that women's subordination does not originate from the teachings of Islam itself, but from patriarchal interpretations that have developed in history and culture. The practice of prioritizing girls' education is clearly contrary to the principles of justice (al-'</w:t>
      </w:r>
      <w:proofErr w:type="spellStart"/>
      <w:r w:rsidRPr="009619C9">
        <w:rPr>
          <w:rFonts w:asciiTheme="majorBidi" w:hAnsiTheme="majorBidi" w:cstheme="majorBidi"/>
          <w:bCs/>
        </w:rPr>
        <w:t>adl</w:t>
      </w:r>
      <w:proofErr w:type="spellEnd"/>
      <w:r w:rsidRPr="009619C9">
        <w:rPr>
          <w:rFonts w:asciiTheme="majorBidi" w:hAnsiTheme="majorBidi" w:cstheme="majorBidi"/>
          <w:bCs/>
        </w:rPr>
        <w:t>) and the moral equality of human beings in the Qur'an. Therefore, girls' educational rights must be understood as inherent rights and moral obligations that cannot be negotiated by economic or traditional reasons.</w:t>
      </w:r>
      <w:r>
        <w:rPr>
          <w:rStyle w:val="FootnoteReference"/>
          <w:rFonts w:asciiTheme="majorBidi" w:hAnsiTheme="majorBidi" w:cstheme="majorBidi"/>
          <w:bCs/>
        </w:rPr>
        <w:footnoteReference w:id="77"/>
      </w:r>
    </w:p>
    <w:p w14:paraId="4A777A6D" w14:textId="77777777" w:rsidR="00546849" w:rsidRDefault="00546849" w:rsidP="005F6439">
      <w:pPr>
        <w:spacing w:after="0" w:line="240" w:lineRule="auto"/>
        <w:ind w:firstLine="709"/>
        <w:jc w:val="both"/>
        <w:rPr>
          <w:rFonts w:asciiTheme="majorBidi" w:hAnsiTheme="majorBidi" w:cstheme="majorBidi"/>
          <w:bCs/>
          <w:lang w:val="sv-SE"/>
        </w:rPr>
      </w:pPr>
      <w:r w:rsidRPr="009619C9">
        <w:rPr>
          <w:rFonts w:asciiTheme="majorBidi" w:hAnsiTheme="majorBidi" w:cstheme="majorBidi"/>
          <w:bCs/>
        </w:rPr>
        <w:t xml:space="preserve">Overall, this table confirms that girls' educational vulnerability is an impact of </w:t>
      </w:r>
      <w:r w:rsidRPr="009619C9">
        <w:rPr>
          <w:rFonts w:asciiTheme="majorBidi" w:hAnsiTheme="majorBidi" w:cstheme="majorBidi"/>
        </w:rPr>
        <w:t xml:space="preserve">"patriarchal poverty", </w:t>
      </w:r>
      <w:r w:rsidRPr="009619C9">
        <w:rPr>
          <w:rFonts w:asciiTheme="majorBidi" w:hAnsiTheme="majorBidi" w:cstheme="majorBidi"/>
          <w:bCs/>
        </w:rPr>
        <w:t xml:space="preserve">which is a condition when poverty and patriarchy reinforce each other in eliminating women's rights. Weber's analysis shows the limitations of formal law without the transformation of social structure and the legitimacy of power, while </w:t>
      </w:r>
      <w:proofErr w:type="spellStart"/>
      <w:r w:rsidRPr="009619C9">
        <w:rPr>
          <w:rFonts w:asciiTheme="majorBidi" w:hAnsiTheme="majorBidi" w:cstheme="majorBidi"/>
          <w:bCs/>
        </w:rPr>
        <w:t>Wawad's</w:t>
      </w:r>
      <w:proofErr w:type="spellEnd"/>
      <w:r w:rsidRPr="009619C9">
        <w:rPr>
          <w:rFonts w:asciiTheme="majorBidi" w:hAnsiTheme="majorBidi" w:cstheme="majorBidi"/>
          <w:bCs/>
        </w:rPr>
        <w:t xml:space="preserve"> perspective emphasizes the urgency of a just and gender-inclusive reinterpretation of religion. The synergy of these two approaches emphasizes that the fulfillment of girls' educational rights requires structural, cultural, and normative changes at the same time, so that education truly becomes an instrument of social justice and women's empowerment.</w:t>
      </w:r>
    </w:p>
    <w:p w14:paraId="4528B575" w14:textId="77777777" w:rsidR="00546849" w:rsidRDefault="00546849" w:rsidP="002C7A25">
      <w:pPr>
        <w:spacing w:after="0" w:line="240" w:lineRule="auto"/>
        <w:ind w:firstLine="709"/>
        <w:jc w:val="both"/>
        <w:rPr>
          <w:rFonts w:asciiTheme="majorBidi" w:hAnsiTheme="majorBidi" w:cstheme="majorBidi"/>
          <w:bCs/>
          <w:lang w:val="sv-SE"/>
        </w:rPr>
      </w:pPr>
      <w:r>
        <w:rPr>
          <w:rFonts w:asciiTheme="majorBidi" w:hAnsiTheme="majorBidi" w:cstheme="majorBidi"/>
          <w:bCs/>
        </w:rPr>
        <w:t xml:space="preserve">However, the phenomenon of girls' educational vulnerability in Kalak </w:t>
      </w:r>
      <w:proofErr w:type="spellStart"/>
      <w:r>
        <w:rPr>
          <w:rFonts w:asciiTheme="majorBidi" w:hAnsiTheme="majorBidi" w:cstheme="majorBidi"/>
          <w:bCs/>
        </w:rPr>
        <w:t>Pakpak</w:t>
      </w:r>
      <w:proofErr w:type="spellEnd"/>
      <w:r>
        <w:rPr>
          <w:rFonts w:asciiTheme="majorBidi" w:hAnsiTheme="majorBidi" w:cstheme="majorBidi"/>
          <w:bCs/>
        </w:rPr>
        <w:t xml:space="preserve"> arises due to a combination of patriarchal social pressure and economic limitations. Girls are often forced to stop formal education early to help the family economy, while boys remain prioritized in access to education. From Weber's legal sociology perspective, law and formal institutions are inseparable from the power, social norms, and structures of society that shape them. Patriarchy functions as a mechanism of social legitimacy, positioning men as a priority in the family, including in terms of education. The integration of the perspectives of Weber and Wadud shows the double dimension of this problem. From Weber's side, educational injustice arises from the social structure and legitimacy of power; From the side of Wadud, this is the result of a misguided interpretation of </w:t>
      </w:r>
      <w:r>
        <w:rPr>
          <w:rFonts w:asciiTheme="majorBidi" w:hAnsiTheme="majorBidi" w:cstheme="majorBidi"/>
          <w:bCs/>
        </w:rPr>
        <w:lastRenderedPageBreak/>
        <w:t>culture and religion. Patriarchy and poverty form a double burden for girls: losing the right to education and having to work hard to support the family.</w:t>
      </w:r>
      <w:r>
        <w:rPr>
          <w:rStyle w:val="FootnoteReference"/>
          <w:rFonts w:asciiTheme="majorBidi" w:hAnsiTheme="majorBidi" w:cstheme="majorBidi"/>
          <w:bCs/>
        </w:rPr>
        <w:footnoteReference w:id="78"/>
      </w:r>
    </w:p>
    <w:p w14:paraId="769BA98A" w14:textId="77777777" w:rsidR="00546849" w:rsidRDefault="00546849" w:rsidP="00F22B8D">
      <w:pPr>
        <w:spacing w:after="0" w:line="240" w:lineRule="auto"/>
        <w:ind w:firstLine="709"/>
        <w:jc w:val="both"/>
        <w:rPr>
          <w:rFonts w:asciiTheme="majorBidi" w:hAnsiTheme="majorBidi" w:cstheme="majorBidi"/>
          <w:bCs/>
          <w:lang w:val="sv-SE"/>
        </w:rPr>
      </w:pPr>
      <w:r w:rsidRPr="00035521">
        <w:rPr>
          <w:rFonts w:asciiTheme="majorBidi" w:hAnsiTheme="majorBidi" w:cstheme="majorBidi"/>
          <w:bCs/>
        </w:rPr>
        <w:t xml:space="preserve">In practice, the experience of the girls in Kalak </w:t>
      </w:r>
      <w:proofErr w:type="spellStart"/>
      <w:r w:rsidRPr="00035521">
        <w:rPr>
          <w:rFonts w:asciiTheme="majorBidi" w:hAnsiTheme="majorBidi" w:cstheme="majorBidi"/>
          <w:bCs/>
        </w:rPr>
        <w:t>Pakpak</w:t>
      </w:r>
      <w:proofErr w:type="spellEnd"/>
      <w:r w:rsidRPr="00035521">
        <w:rPr>
          <w:rFonts w:asciiTheme="majorBidi" w:hAnsiTheme="majorBidi" w:cstheme="majorBidi"/>
          <w:bCs/>
        </w:rPr>
        <w:t xml:space="preserve"> shows that their decision to stop their education in order to pay for their brother's school is not a free individual choice, but the result of structural pressures working simultaneously. Patriarchal social norms form the belief that male education is more valuable and more strategic for the future of the family, while poverty narrows the space of choice so that girls are positioned as the "economic buffer" of the family. From the perspective of the sociology of law Max Weber, this situation shows how patriarchal social legitimacy defeats formal laws that guarantee educational equality; The law has lost its effectiveness because family and cultural practices have already regulated the distribution of rights and obligations based on gender. Girls end up bearing a double burden: being marginalized from the right to education and burdened with economic responsibilities, which reproduces gender inequality across generations.</w:t>
      </w:r>
    </w:p>
    <w:p w14:paraId="6BE920BE" w14:textId="77777777" w:rsidR="00546849" w:rsidRDefault="00546849" w:rsidP="00F926AA">
      <w:pPr>
        <w:spacing w:after="0" w:line="240" w:lineRule="auto"/>
        <w:ind w:firstLine="709"/>
        <w:jc w:val="both"/>
        <w:rPr>
          <w:rFonts w:asciiTheme="majorBidi" w:hAnsiTheme="majorBidi" w:cstheme="majorBidi"/>
          <w:bCs/>
          <w:lang w:val="sv-SE"/>
        </w:rPr>
      </w:pPr>
      <w:r w:rsidRPr="00035521">
        <w:rPr>
          <w:rFonts w:asciiTheme="majorBidi" w:hAnsiTheme="majorBidi" w:cstheme="majorBidi"/>
          <w:bCs/>
        </w:rPr>
        <w:t xml:space="preserve">Meanwhile, Islamic feminism Amina Wadud offers a profound critique of the normative basis of the practice. Wadud emphasized that the inequality in girls' education does not originate from the teachings of Islam itself, but from a patriarchal interpretation that places women in subordinate positions. With a contextual interpretation approach, Wadud shows that the principles of the Qur'an actually affirm justice, equality, and the obligation to study for men and women. In the context of Kalak </w:t>
      </w:r>
      <w:proofErr w:type="spellStart"/>
      <w:r w:rsidRPr="00035521">
        <w:rPr>
          <w:rFonts w:asciiTheme="majorBidi" w:hAnsiTheme="majorBidi" w:cstheme="majorBidi"/>
          <w:bCs/>
        </w:rPr>
        <w:t>Pakpak</w:t>
      </w:r>
      <w:proofErr w:type="spellEnd"/>
      <w:r w:rsidRPr="00035521">
        <w:rPr>
          <w:rFonts w:asciiTheme="majorBidi" w:hAnsiTheme="majorBidi" w:cstheme="majorBidi"/>
          <w:bCs/>
        </w:rPr>
        <w:t>, this perspective is an ethical foundation to challenge family practices and customary norms that normalize the sacrifice of girls, while shifting the understanding that women's education is not a burden, but an investment in social justice.</w:t>
      </w:r>
    </w:p>
    <w:p w14:paraId="3137C6DC" w14:textId="77777777" w:rsidR="00546849" w:rsidRPr="00035521" w:rsidRDefault="00546849" w:rsidP="00727AB7">
      <w:pPr>
        <w:spacing w:after="0" w:line="240" w:lineRule="auto"/>
        <w:ind w:firstLine="709"/>
        <w:jc w:val="both"/>
        <w:rPr>
          <w:rFonts w:asciiTheme="majorBidi" w:hAnsiTheme="majorBidi" w:cstheme="majorBidi"/>
          <w:bCs/>
          <w:lang w:val="sv-SE"/>
        </w:rPr>
      </w:pPr>
      <w:r w:rsidRPr="00035521">
        <w:rPr>
          <w:rFonts w:asciiTheme="majorBidi" w:hAnsiTheme="majorBidi" w:cstheme="majorBidi"/>
          <w:bCs/>
        </w:rPr>
        <w:t>Thus, the vulnerability of girls' education must be understood as structural, normative, and cultural issues at the same time. Legal and educational policy reforms will not be effective without the transformation of patriarchal social norms that legitimize inequality, as Weber asserts. At the same time, social change requires a strong ethical and theological foundation, as offered by Wadud, so that religious interpretation is no longer a tool for justifying injustice. The synergy between the sociology of law Max Weber and the Islamic feminism of Amina Wadud affirms that girls' education is a fundamental right that must be guaranteed not only through formal rules, but also through changes in social structures, family culture, and a fair and inclusive religious understanding.</w:t>
      </w:r>
    </w:p>
    <w:p w14:paraId="0A72C517" w14:textId="77777777" w:rsidR="00546849" w:rsidRPr="00E60753" w:rsidRDefault="00546849" w:rsidP="001B2948">
      <w:pPr>
        <w:spacing w:after="0" w:line="240" w:lineRule="auto"/>
        <w:rPr>
          <w:rFonts w:asciiTheme="majorBidi" w:hAnsiTheme="majorBidi" w:cstheme="majorBidi"/>
          <w:b/>
          <w:lang w:val="sv-SE"/>
        </w:rPr>
      </w:pPr>
      <w:r w:rsidRPr="00E60753">
        <w:rPr>
          <w:rFonts w:asciiTheme="majorBidi" w:hAnsiTheme="majorBidi" w:cstheme="majorBidi"/>
          <w:b/>
        </w:rPr>
        <w:t>Conclusion</w:t>
      </w:r>
    </w:p>
    <w:p w14:paraId="4EE03F2D" w14:textId="77777777" w:rsidR="00546849" w:rsidRPr="005A0C5B" w:rsidRDefault="00546849" w:rsidP="003F7E6E">
      <w:pPr>
        <w:spacing w:after="0" w:line="240" w:lineRule="auto"/>
        <w:ind w:firstLine="720"/>
        <w:jc w:val="both"/>
        <w:rPr>
          <w:rFonts w:asciiTheme="majorBidi" w:hAnsiTheme="majorBidi" w:cstheme="majorBidi"/>
          <w:bCs/>
          <w:lang w:val="sv-SE"/>
        </w:rPr>
      </w:pPr>
      <w:r w:rsidRPr="00E60753">
        <w:rPr>
          <w:rFonts w:asciiTheme="majorBidi" w:hAnsiTheme="majorBidi" w:cstheme="majorBidi"/>
          <w:bCs/>
        </w:rPr>
        <w:t xml:space="preserve">The description of the life story of seven girls in the widow family of Kalak </w:t>
      </w:r>
      <w:proofErr w:type="spellStart"/>
      <w:r w:rsidRPr="00E60753">
        <w:rPr>
          <w:rFonts w:asciiTheme="majorBidi" w:hAnsiTheme="majorBidi" w:cstheme="majorBidi"/>
          <w:bCs/>
        </w:rPr>
        <w:t>Pakpak</w:t>
      </w:r>
      <w:proofErr w:type="spellEnd"/>
      <w:r w:rsidRPr="00E60753">
        <w:rPr>
          <w:rFonts w:asciiTheme="majorBidi" w:hAnsiTheme="majorBidi" w:cstheme="majorBidi"/>
          <w:bCs/>
        </w:rPr>
        <w:t xml:space="preserve"> </w:t>
      </w:r>
      <w:proofErr w:type="spellStart"/>
      <w:r w:rsidRPr="00E60753">
        <w:rPr>
          <w:rFonts w:asciiTheme="majorBidi" w:hAnsiTheme="majorBidi" w:cstheme="majorBidi"/>
          <w:bCs/>
        </w:rPr>
        <w:t>Pegagan</w:t>
      </w:r>
      <w:proofErr w:type="spellEnd"/>
      <w:r w:rsidRPr="00E60753">
        <w:rPr>
          <w:rFonts w:asciiTheme="majorBidi" w:hAnsiTheme="majorBidi" w:cstheme="majorBidi"/>
          <w:bCs/>
        </w:rPr>
        <w:t xml:space="preserve"> Julu VIII basically deconstructs the reality of the vulnerability of girls' right to access education to a higher level, which arises from the meeting of two mutually impartial social structures, patriarchy in the form of gender ideologies that oppress women, both as a general social norm and in the practice of private patriarchy in the family,  and poverty that shackles family life. The interaction of patriarchy and poverty or "patriarchy of poverty" creates a double burden for girls, they have to stop their education to work, while at the same time serving and respecting their brothers according to the orders of the host (mother) who reproduces patriarchal values through customary norms such as </w:t>
      </w:r>
      <w:proofErr w:type="spellStart"/>
      <w:r w:rsidRPr="00E60753">
        <w:rPr>
          <w:rFonts w:asciiTheme="majorBidi" w:hAnsiTheme="majorBidi" w:cstheme="majorBidi"/>
          <w:bCs/>
          <w:i/>
          <w:iCs/>
        </w:rPr>
        <w:t>sipeleaken</w:t>
      </w:r>
      <w:proofErr w:type="spellEnd"/>
      <w:r w:rsidRPr="00E60753">
        <w:rPr>
          <w:rFonts w:asciiTheme="majorBidi" w:hAnsiTheme="majorBidi" w:cstheme="majorBidi"/>
          <w:bCs/>
          <w:i/>
          <w:iCs/>
        </w:rPr>
        <w:t xml:space="preserve"> </w:t>
      </w:r>
      <w:proofErr w:type="spellStart"/>
      <w:r w:rsidRPr="00E60753">
        <w:rPr>
          <w:rFonts w:asciiTheme="majorBidi" w:hAnsiTheme="majorBidi" w:cstheme="majorBidi"/>
          <w:bCs/>
          <w:i/>
          <w:iCs/>
        </w:rPr>
        <w:t>daberru</w:t>
      </w:r>
      <w:proofErr w:type="spellEnd"/>
      <w:r w:rsidRPr="00E60753">
        <w:rPr>
          <w:rFonts w:asciiTheme="majorBidi" w:hAnsiTheme="majorBidi" w:cstheme="majorBidi"/>
          <w:bCs/>
        </w:rPr>
        <w:t xml:space="preserve"> and the practice of "</w:t>
      </w:r>
      <w:proofErr w:type="spellStart"/>
      <w:r w:rsidRPr="00E60753">
        <w:rPr>
          <w:rFonts w:asciiTheme="majorBidi" w:hAnsiTheme="majorBidi" w:cstheme="majorBidi"/>
          <w:bCs/>
        </w:rPr>
        <w:t>terainaen</w:t>
      </w:r>
      <w:proofErr w:type="spellEnd"/>
      <w:r w:rsidRPr="00E60753">
        <w:rPr>
          <w:rFonts w:asciiTheme="majorBidi" w:hAnsiTheme="majorBidi" w:cstheme="majorBidi"/>
          <w:bCs/>
        </w:rPr>
        <w:t>" (</w:t>
      </w:r>
      <w:r w:rsidRPr="00E60753">
        <w:rPr>
          <w:rFonts w:asciiTheme="majorBidi" w:hAnsiTheme="majorBidi" w:cstheme="majorBidi"/>
          <w:bCs/>
          <w:i/>
          <w:iCs/>
        </w:rPr>
        <w:t>motherhood</w:t>
      </w:r>
      <w:r w:rsidRPr="00E60753">
        <w:rPr>
          <w:rFonts w:asciiTheme="majorBidi" w:hAnsiTheme="majorBidi" w:cstheme="majorBidi"/>
          <w:bCs/>
        </w:rPr>
        <w:t>), where boys are treated like kings (</w:t>
      </w:r>
      <w:r w:rsidRPr="00E60753">
        <w:rPr>
          <w:rFonts w:asciiTheme="majorBidi" w:hAnsiTheme="majorBidi" w:cstheme="majorBidi"/>
          <w:bCs/>
          <w:i/>
          <w:iCs/>
        </w:rPr>
        <w:t xml:space="preserve">children </w:t>
      </w:r>
      <w:proofErr w:type="spellStart"/>
      <w:r w:rsidRPr="00E60753">
        <w:rPr>
          <w:rFonts w:asciiTheme="majorBidi" w:hAnsiTheme="majorBidi" w:cstheme="majorBidi"/>
          <w:bCs/>
          <w:i/>
          <w:iCs/>
        </w:rPr>
        <w:t>sinirajaken</w:t>
      </w:r>
      <w:proofErr w:type="spellEnd"/>
      <w:r w:rsidRPr="00E60753">
        <w:rPr>
          <w:rFonts w:asciiTheme="majorBidi" w:hAnsiTheme="majorBidi" w:cstheme="majorBidi"/>
          <w:bCs/>
        </w:rPr>
        <w:t xml:space="preserve">) and girls are required to provide full services, including access to education sacrificed for boys. These vulnerabilities are not only social and economic, but also structural and normative, the perspective of legal sociology Max Weber shows </w:t>
      </w:r>
      <w:r w:rsidRPr="00E60753">
        <w:rPr>
          <w:rFonts w:asciiTheme="majorBidi" w:hAnsiTheme="majorBidi" w:cstheme="majorBidi"/>
          <w:bCs/>
        </w:rPr>
        <w:lastRenderedPageBreak/>
        <w:t>that formal education laws and policies often fail to guarantee equality because they are hampered by social structures, cultural norms, and the legitimacy of power that prioritize men, while Amina Wadud's perspective of Islamic feminism emphasizes the ethical dimension, highlighting how patriarchal interpretations of religion curtail women's rights when the principle of The Qur'an supports justice and gender equality. The integration of both perspectives confirms that the educational injustices of girls arise from a combination of patriarchy, poverty, and gender-biased interpretations of religion, creating structural marginalization that reinforces the cycle of male domination. To address these vulnerabilities, a holistic approach, legal and education policy reforms, social and cultural transformation, and a gender-inclusive reinterpretation of religion are needed, so that girls' education is seen as a fundamental right and an instrument of empowerment capable of breaking the cycle of poverty and gender injustice, while enabling them to develop their potential and participate fully in a just and inclusive society.</w:t>
      </w:r>
    </w:p>
    <w:p w14:paraId="1F8F5E7C" w14:textId="77777777" w:rsidR="00546849" w:rsidRPr="00F40DE8" w:rsidRDefault="00546849" w:rsidP="007C19CA">
      <w:pPr>
        <w:spacing w:after="0" w:line="240" w:lineRule="auto"/>
        <w:jc w:val="both"/>
        <w:rPr>
          <w:rFonts w:asciiTheme="majorBidi" w:hAnsiTheme="majorBidi" w:cstheme="majorBidi"/>
          <w:b/>
        </w:rPr>
      </w:pPr>
      <w:r w:rsidRPr="005B3295">
        <w:rPr>
          <w:rFonts w:asciiTheme="majorBidi" w:hAnsiTheme="majorBidi" w:cstheme="majorBidi"/>
          <w:b/>
        </w:rPr>
        <w:t>Bibliography</w:t>
      </w:r>
    </w:p>
    <w:p w14:paraId="072DD2D2" w14:textId="77777777" w:rsidR="00F40DE8" w:rsidRPr="00F40DE8" w:rsidRDefault="00F40DE8" w:rsidP="00F40DE8">
      <w:pPr>
        <w:pStyle w:val="FootnoteText"/>
        <w:ind w:left="720" w:hanging="720"/>
        <w:jc w:val="both"/>
        <w:rPr>
          <w:rFonts w:asciiTheme="majorBidi" w:hAnsiTheme="majorBidi" w:cstheme="majorBidi"/>
          <w:sz w:val="24"/>
          <w:szCs w:val="24"/>
          <w:lang w:val="fi-FI"/>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{"citationItems":[{"id":"ITEM-1","itemData":{"ISSN":"2721-0820","author":[{"dropping-particle":"","family":"Afandi","given":"Agus","non-dropping-particle":"","parse-names":false,"suffix":""}],"container-title":"LENTERA: Journal of Gender and Children Studies","id":"ITEM-1","issue":"1","issued":{"date-parts":[["2019"]]},"title":"Bentuk-bentuk perilaku bias gender","type":"article-journal","volume":"1"},"uris":["http://www.mendeley.com/documents/?uuid=0e2c428e-cd61-4e8b-994b-21579ebfd78f"]}],"mendeley":{"formattedCitation":"Agus Afandi, “Bentuk-Bentuk Perilaku Bias Gender,” &lt;i&gt;LENTERA: Journal of Gender and Children Studies&lt;/i&gt; 1, no. 1 (2019).","plainTextFormattedCitation":"Agus Afandi, “Bentuk-Bentuk Perilaku Bias Gender,” LENTERA: Journal of Gender and Children Studies 1, no. 1 (2019).","previouslyFormattedCitation":"Agus Afandi, “Bentuk-Bentuk Perilaku Bias Gender,” &lt;i&gt;LENTERA: Journal of Gender and Children Studies&lt;/i&gt; 1, no. 1 (2019)."},"properties":{"noteIndex":3},"schema":"https://github.com/citation-style-language/schema/raw/master/csl-citation.json"}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Agus Afandi, “Bentuk-Bentuk Perilaku Bias Gender,” </w:t>
      </w:r>
      <w:r w:rsidRPr="00E31FCD">
        <w:rPr>
          <w:rFonts w:asciiTheme="majorBidi" w:hAnsiTheme="majorBidi" w:cstheme="majorBidi"/>
          <w:i/>
          <w:noProof/>
          <w:sz w:val="24"/>
          <w:szCs w:val="24"/>
        </w:rPr>
        <w:t>LENTERA: Journal of Gender and Children Studies</w:t>
      </w:r>
      <w:r w:rsidRPr="00E31FCD">
        <w:rPr>
          <w:rFonts w:asciiTheme="majorBidi" w:hAnsiTheme="majorBidi" w:cstheme="majorBidi"/>
          <w:noProof/>
          <w:sz w:val="24"/>
          <w:szCs w:val="24"/>
        </w:rPr>
        <w:t xml:space="preserve"> 1, no. 1 (2019).</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9" w:history="1">
        <w:r w:rsidRPr="00F40DE8">
          <w:rPr>
            <w:rStyle w:val="Hyperlink"/>
            <w:rFonts w:asciiTheme="majorBidi" w:hAnsiTheme="majorBidi" w:cstheme="majorBidi"/>
            <w:color w:val="auto"/>
            <w:sz w:val="24"/>
            <w:szCs w:val="24"/>
            <w:lang w:val="fi-FI"/>
          </w:rPr>
          <w:t>https://doi.org/10.26740/lentera.v1i1.6819</w:t>
        </w:r>
      </w:hyperlink>
    </w:p>
    <w:p w14:paraId="03FD6A4E"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lang w:val="fi-FI"/>
        </w:rPr>
        <w:instrText>ADDIN CSL_CITATION {"citationItems":[{"id":"ITEM-1","itemData":{"ISBN":"6238598654","author":[{"dropping-particle":"","family":"Ahmad","given":"Ahmad","non-dropping-particle":"","parse-names":false,"suffix":""},{"dropping-particle":"","family":"Fachrurrazy","given":"Muhammad","non-dropping-particle":"","parse-names":false,"suffix":""},{"dropping-particle":"","family":"Amalia","given":"Mia","non-dropping-particle":"","parse-names":false,"suffix":""},{"dropping-particle":"","family":"Fauzi","given":"Engrina","non-dropping-particle":"","parse-names":false,"suffix":""},{"dropping-particle":"","family":"Gaol","given":"Selamat Lumban","non-dropping-particle":"","parse-names":false,"suffix":""},{"dropping-particle":"","family":"Siliwadi","given":"Dirah Nurmila","non-dropping-particle":"","parse-names":false,"suffix":""},{"dropping-particle":"","family":"Takdir","given":"Takdir","non-dropping-particle":"","parse-names":false,"suffix":""}],"id":"ITEM-1","issued":{"date-parts":[["2024"]]},"publisher":"PT. Sonpedia Publishing Indonesia","title":"Buku Ajar Metode Penelitian &amp; Penulisan Hukum","type":"book"},"uris":["http://www.mendeley.com/documents/?uuid=3e65ba11-8662-418a-b7a2-9eeb495283ea"]}],"mendeley":{"formattedCitation":"Ahmad Ahmad et al., &lt;i&gt;Buku Ajar Metode Penelitian &amp; Penulisan Hukum&lt;/i&gt; (PT. Sonpedia Publishing Indonesia, 2024).","plainTextFormattedCitation":"Ahmad Ahmad et al., Buku Ajar Metode Penelitian &amp; Penulisan Hukum (PT. Sonpedia Publishing Indonesia, 2024).","previouslyFormattedCitation":"Ahmad Ahmad et al., &lt;i&gt;Buku Ajar Metode Penelitian &amp; Penulisan Hukum&lt;/i&gt; (PT. Sonpedia Publishing Indonesia, 2024)."},"properties":{"noteIndex":37},"schema":"https://github.com/citation-style-language/schema/raw/master/csl-citation.json"}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lang w:val="fi-FI"/>
        </w:rPr>
        <w:t xml:space="preserve">Ahmad Ahmad et al., </w:t>
      </w:r>
      <w:r w:rsidRPr="00E31FCD">
        <w:rPr>
          <w:rFonts w:asciiTheme="majorBidi" w:hAnsiTheme="majorBidi" w:cstheme="majorBidi"/>
          <w:i/>
          <w:noProof/>
          <w:sz w:val="24"/>
          <w:szCs w:val="24"/>
          <w:lang w:val="fi-FI"/>
        </w:rPr>
        <w:t>Buku Ajar Metode Penelitian &amp; Penulisan Hukum</w:t>
      </w:r>
      <w:r w:rsidRPr="00E31FCD">
        <w:rPr>
          <w:rFonts w:asciiTheme="majorBidi" w:hAnsiTheme="majorBidi" w:cstheme="majorBidi"/>
          <w:noProof/>
          <w:sz w:val="24"/>
          <w:szCs w:val="24"/>
          <w:lang w:val="fi-FI"/>
        </w:rPr>
        <w:t xml:space="preserve"> (PT. </w:t>
      </w:r>
      <w:r w:rsidRPr="00E31FCD">
        <w:rPr>
          <w:rFonts w:asciiTheme="majorBidi" w:hAnsiTheme="majorBidi" w:cstheme="majorBidi"/>
          <w:noProof/>
          <w:sz w:val="24"/>
          <w:szCs w:val="24"/>
        </w:rPr>
        <w:t>Sonpedia Publishing Indonesia, 2024).</w:t>
      </w:r>
      <w:r w:rsidRPr="00E31FCD">
        <w:rPr>
          <w:rFonts w:asciiTheme="majorBidi" w:hAnsiTheme="majorBidi" w:cstheme="majorBidi"/>
          <w:sz w:val="24"/>
          <w:szCs w:val="24"/>
        </w:rPr>
        <w:fldChar w:fldCharType="end"/>
      </w:r>
    </w:p>
    <w:p w14:paraId="2BE3E5AA"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{"citationItems":[{"id":"ITEM-1","itemData":{"ISBN":"6231628760","author":[{"dropping-particle":"","family":"Taqwiem","given":"Ahsani","non-dropping-particle":"","parse-names":false,"suffix":""}],"id":"ITEM-1","issued":{"date-parts":[["2024"]]},"publisher":"Penerbit Adab","title":"Patriarki dan Perlawanan Perempuan dalam Konteks Bumi Manusia","type":"book"},"uris":["http://www.mendeley.com/documents/?uuid=51d3becc-4e0a-4ebe-afa0-86aa4e18b41f"]}],"mendeley":{"formattedCitation":"Ahsani Taqwiem, &lt;i&gt;Patriarki Dan Perlawanan Perempuan Dalam Konteks Bumi Manusia&lt;/i&gt; (Penerbit Adab, 2024).","plainTextFormattedCitation":"Ahsani Taqwiem, Patriarki Dan Perlawanan Perempuan Dalam Konteks Bumi Manusia (Penerbit Adab, 2024).","previouslyFormattedCitation":"Ahsani Taqwiem, &lt;i&gt;Patriarki Dan Perlawanan Perempuan Dalam Konteks Bumi Manusia&lt;/i&gt; (Penerbit Adab, 2024)."},"properties":{"noteIndex":58},"schema":"https://github.com/citation-style-language/schema/raw/master/csl-citation.json"}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Ahsani Taqwiem, </w:t>
      </w:r>
      <w:r w:rsidRPr="00E31FCD">
        <w:rPr>
          <w:rFonts w:asciiTheme="majorBidi" w:hAnsiTheme="majorBidi" w:cstheme="majorBidi"/>
          <w:i/>
          <w:noProof/>
          <w:sz w:val="24"/>
          <w:szCs w:val="24"/>
        </w:rPr>
        <w:t>Patriarki Dan Perlawanan Perempuan Dalam Konteks Bumi Manusia</w:t>
      </w:r>
      <w:r w:rsidRPr="00E31FCD">
        <w:rPr>
          <w:rFonts w:asciiTheme="majorBidi" w:hAnsiTheme="majorBidi" w:cstheme="majorBidi"/>
          <w:noProof/>
          <w:sz w:val="24"/>
          <w:szCs w:val="24"/>
        </w:rPr>
        <w:t xml:space="preserve"> (Penerbit Adab, 2024).</w:t>
      </w:r>
      <w:r w:rsidRPr="00E31FCD">
        <w:rPr>
          <w:rFonts w:asciiTheme="majorBidi" w:hAnsiTheme="majorBidi" w:cstheme="majorBidi"/>
          <w:sz w:val="24"/>
          <w:szCs w:val="24"/>
        </w:rPr>
        <w:fldChar w:fldCharType="end"/>
      </w:r>
    </w:p>
    <w:p w14:paraId="60EE6E7E"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{"citationItems":[{"id":"ITEM-1","itemData":{"ISSN":"081562851X","author":[{"dropping-particle":"","family":"Wadud","given":"Amina","non-dropping-particle":"","parse-names":false,"suffix":""}],"container-title":"Windows of faith: Muslim women scholar-activists in North America","id":"ITEM-1","issued":{"date-parts":[["2000"]]},"page":"1","publisher":"Syracuse University Press Syracuse","title":"Alternative Qur’anic interpretation","type":"article-journal"},"uris":["http://www.mendeley.com/documents/?uuid=c0e9e2cb-304e-4f70-b238-20562e9730c9"]}],"mendeley":{"formattedCitation":"Amina Wadud, “Alternative Qur’anic Interpretation,” &lt;i&gt;Windows of Faith: Muslim Women Scholar-Activists in North America&lt;/i&gt;, 2000, 1.","plainTextFormattedCitation":"Amina Wadud, “Alternative Qur’anic Interpretation,” Windows of Faith: Muslim Women Scholar-Activists in North America, 2000, 1.","previouslyFormattedCitation":"Amina Wadud, “Alternative Qur’anic Interpretation,” &lt;i&gt;Windows of Faith: Muslim Women Scholar-Activists in North America&lt;/i&gt;, 2000, 1."},"properties":{"noteIndex":77},"schema":"https://github.com/citation-style-language/schema/raw/master/csl-citation.json"}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Amina Wadud, “Alternative Qur’anic Interpretation,” </w:t>
      </w:r>
      <w:r w:rsidRPr="00E31FCD">
        <w:rPr>
          <w:rFonts w:asciiTheme="majorBidi" w:hAnsiTheme="majorBidi" w:cstheme="majorBidi"/>
          <w:i/>
          <w:noProof/>
          <w:sz w:val="24"/>
          <w:szCs w:val="24"/>
        </w:rPr>
        <w:t>Windows of Faith: Muslim Women Scholar-Activists in North America</w:t>
      </w:r>
      <w:r w:rsidRPr="00E31FCD">
        <w:rPr>
          <w:rFonts w:asciiTheme="majorBidi" w:hAnsiTheme="majorBidi" w:cstheme="majorBidi"/>
          <w:noProof/>
          <w:sz w:val="24"/>
          <w:szCs w:val="24"/>
        </w:rPr>
        <w:t>, 2000, 1.</w:t>
      </w:r>
      <w:r w:rsidRPr="00E31FCD">
        <w:rPr>
          <w:rFonts w:asciiTheme="majorBidi" w:hAnsiTheme="majorBidi" w:cstheme="majorBidi"/>
          <w:sz w:val="24"/>
          <w:szCs w:val="24"/>
        </w:rPr>
        <w:fldChar w:fldCharType="end"/>
      </w:r>
    </w:p>
    <w:p w14:paraId="3611B968"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{"citationItems":[{"id":"ITEM-1","itemData":{"ISSN":"178074045X","author":[{"dropping-particle":"","family":"Wadud","given":"Amina","non-dropping-particle":"","parse-names":false,"suffix":""}],"container-title":"Progressive Muslims: On justice, gender, and pluralism","id":"ITEM-1","issued":{"date-parts":[["2003"]]},"page":"270-285","publisher":"Oneworld Publications","title":"American Muslim identity: race and ethnicity in progressive Islam","type":"article-journal"},"uris":["http://www.mendeley.com/documents/?uuid=679274ec-6035-48b9-b33e-c8b95f4b9985"]}],"mendeley":{"formattedCitation":"Amina Wadud, “American Muslim Identity: Race and Ethnicity in Progressive Islam,” &lt;i&gt;Progressive Muslims: On Justice, Gender, and Pluralism&lt;/i&gt;, 2003, 270–85.","plainTextFormattedCitation":"Amina Wadud, “American Muslim Identity: Race and Ethnicity in Progressive Islam,” Progressive Muslims: On Justice, Gender, and Pluralism, 2003, 270–85.","previouslyFormattedCitation":"Amina Wadud, “American Muslim Identity: Race and Ethnicity in Progressive Islam,” &lt;i&gt;Progressive Muslims: On Justice, Gender, and Pluralism&lt;/i&gt;, 2003, 270–85."},"properties":{"noteIndex":72},"schema":"https://github.com/citation-style-language/schema/raw/master/csl-citation.json"}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Amina Wadud, “American Muslim Identity: Race and Ethnicity in Progressive Islam,” </w:t>
      </w:r>
      <w:r w:rsidRPr="00E31FCD">
        <w:rPr>
          <w:rFonts w:asciiTheme="majorBidi" w:hAnsiTheme="majorBidi" w:cstheme="majorBidi"/>
          <w:i/>
          <w:noProof/>
          <w:sz w:val="24"/>
          <w:szCs w:val="24"/>
        </w:rPr>
        <w:t>Progressive Muslims: On Justice, Gender, and Pluralism</w:t>
      </w:r>
      <w:r w:rsidRPr="00E31FCD">
        <w:rPr>
          <w:rFonts w:asciiTheme="majorBidi" w:hAnsiTheme="majorBidi" w:cstheme="majorBidi"/>
          <w:noProof/>
          <w:sz w:val="24"/>
          <w:szCs w:val="24"/>
        </w:rPr>
        <w:t>, 2003, 270–85.</w:t>
      </w:r>
      <w:r w:rsidRPr="00E31FCD">
        <w:rPr>
          <w:rFonts w:asciiTheme="majorBidi" w:hAnsiTheme="majorBidi" w:cstheme="majorBidi"/>
          <w:sz w:val="24"/>
          <w:szCs w:val="24"/>
        </w:rPr>
        <w:fldChar w:fldCharType="end"/>
      </w:r>
    </w:p>
    <w:p w14:paraId="61029841"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{"citationItems":[{"id":"ITEM-1","itemData":{"ISSN":"1461-6742","author":[{"dropping-particle":"","family":"Wadud","given":"Amina","non-dropping-particle":"","parse-names":false,"suffix":""}],"container-title":"International Feminist Journal of Politics","id":"ITEM-1","issue":"4","issued":{"date-parts":[["2008"]]},"page":"435-438","publisher":"Taylor &amp; Francis","title":"Foreword: Engaging tawhid in Islam and feminisms","type":"article-journal","volume":"10"},"uris":["http://www.mendeley.com/documents/?uuid=6b113ff7-1b82-4301-8fdc-a2cb2129d9f9"]}],"mendeley":{"formattedCitation":"Amina Wadud, “Foreword: Engaging Tawhid in Islam and Feminisms,” &lt;i&gt;International Feminist Journal of Politics&lt;/i&gt; 10, no. 4 (2008): 435–38.","plainTextFormattedCitation":"Amina Wadud, “Foreword: Engaging Tawhid in Islam and Feminisms,” International Feminist Journal of Politics 10, no. 4 (2008): 435–38.","previouslyFormattedCitation":"Amina Wadud, “Foreword: Engaging Tawhid in Islam and Feminisms,” &lt;i&gt;International Feminist Journal of Politics&lt;/i&gt; 10, no. 4 (2008): 435–38."},"properties":{"noteIndex":73},"schema":"https://github.com/citation-style-language/schema/raw/master/csl-citation.json"}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Amina Wadud, “Foreword: Engaging Tawhid in Islam and Feminisms,” </w:t>
      </w:r>
      <w:r w:rsidRPr="00E31FCD">
        <w:rPr>
          <w:rFonts w:asciiTheme="majorBidi" w:hAnsiTheme="majorBidi" w:cstheme="majorBidi"/>
          <w:i/>
          <w:noProof/>
          <w:sz w:val="24"/>
          <w:szCs w:val="24"/>
        </w:rPr>
        <w:t>International Feminist Journal of Politics</w:t>
      </w:r>
      <w:r w:rsidRPr="00E31FCD">
        <w:rPr>
          <w:rFonts w:asciiTheme="majorBidi" w:hAnsiTheme="majorBidi" w:cstheme="majorBidi"/>
          <w:noProof/>
          <w:sz w:val="24"/>
          <w:szCs w:val="24"/>
        </w:rPr>
        <w:t xml:space="preserve"> 10, no. 4 (2008): 435–38.</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10" w:history="1">
        <w:r w:rsidRPr="00E31FCD">
          <w:rPr>
            <w:rStyle w:val="Hyperlink"/>
            <w:rFonts w:asciiTheme="majorBidi" w:hAnsiTheme="majorBidi" w:cstheme="majorBidi"/>
            <w:color w:val="auto"/>
            <w:sz w:val="24"/>
            <w:szCs w:val="24"/>
          </w:rPr>
          <w:t>https://doi.org/10.1080/14616740802393858</w:t>
        </w:r>
      </w:hyperlink>
    </w:p>
    <w:p w14:paraId="3B97EEC6"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ISSN":"2077-1444","author":[{"dropping-particle":"","family":"Wadud","given":"Amina","non-dropping-particle":"","parse-names":false,"suffix":""}],"container-title":"Religions","id":"ITEM-1","issue":"7","issued":{"date-parts":[["2021"]]},"page":"497","publisher":"MDPI","title":"Reflections on islamic feminist exegesis of the qur’an","type":"article-journal","volume":"12"},"uris":["http://www.mendeley.com/documents/?uuid=de37e411-f147-43af-bec4-5c0682b0d3d0"]}],"mendeley":{"formattedCitation":"Amina Wadud, “Reflections on Islamic Feminist Exegesis of the Qur’an,” &lt;i&gt;Religions&lt;/i&gt; 12, no. 7 (2021): 497.","plainTextFormattedCitation":"Amina Wadud, “Reflections on Islamic Feminist Exegesis of the Qur’an,” Religions 12, no. 7 (2021): 497.","previouslyFormattedCitation":"Amina Wadud, “Reflections on Islamic Feminist Exegesis of the Qur’an,” &lt;i&gt;Religions&lt;/i&gt; 12, no. 7 (2021): 497."},"properties":{"noteIndex":76},"schema":"https://github.com/citation-style-language/schema/raw/master/csl-citation.json"}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Amina Wadud, “Reflections on Islamic Feminist Exegesis of the Qur’an,” </w:t>
      </w:r>
      <w:r w:rsidRPr="00E31FCD">
        <w:rPr>
          <w:rFonts w:asciiTheme="majorBidi" w:hAnsiTheme="majorBidi" w:cstheme="majorBidi"/>
          <w:i/>
          <w:noProof/>
        </w:rPr>
        <w:t>Religions</w:t>
      </w:r>
      <w:r w:rsidRPr="00E31FCD">
        <w:rPr>
          <w:rFonts w:asciiTheme="majorBidi" w:hAnsiTheme="majorBidi" w:cstheme="majorBidi"/>
          <w:noProof/>
        </w:rPr>
        <w:t xml:space="preserve"> 12, no. 7 (2021): 497.</w:t>
      </w:r>
      <w:r w:rsidRPr="00E31FCD">
        <w:rPr>
          <w:rFonts w:asciiTheme="majorBidi" w:hAnsiTheme="majorBidi" w:cstheme="majorBidi"/>
        </w:rPr>
        <w:fldChar w:fldCharType="end"/>
      </w:r>
      <w:r w:rsidRPr="00E31FCD">
        <w:rPr>
          <w:rFonts w:asciiTheme="majorBidi" w:hAnsiTheme="majorBidi" w:cstheme="majorBidi"/>
        </w:rPr>
        <w:t xml:space="preserve"> </w:t>
      </w:r>
      <w:hyperlink r:id="rId11" w:history="1">
        <w:r w:rsidRPr="00E31FCD">
          <w:rPr>
            <w:rStyle w:val="Hyperlink"/>
            <w:rFonts w:asciiTheme="majorBidi" w:hAnsiTheme="majorBidi" w:cstheme="majorBidi"/>
            <w:color w:val="auto"/>
          </w:rPr>
          <w:t>https://doi.org/10.3390/rel12070497</w:t>
        </w:r>
      </w:hyperlink>
    </w:p>
    <w:p w14:paraId="4EAFF0C1"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{"citationItems":[{"id":"ITEM-1","itemData":{"ISSN":"3031-4526","author":[{"dropping-particle":"","family":"Ramadhan","given":"An Najmi Fikri","non-dropping-particle":"","parse-names":false,"suffix":""}],"container-title":"Bulletin of Islamic Research","id":"ITEM-1","issue":"2","issued":{"date-parts":[["2024"]]},"page":"199-216","title":"Hermeneutics of Gender: A Comparative Study of Hermeneutical Models Amina Wadud and Farid Esack","type":"article-journal","volume":"2"},"uris":["http://www.mendeley.com/documents/?uuid=659e1b61-3ba4-4d11-9b31-07720a6e980b"]}],"mendeley":{"formattedCitation":"An Najmi Fikri Ramadhan, “Hermeneutics of Gender: A Comparative Study of Hermeneutical Models Amina Wadud and Farid Esack,” &lt;i&gt;Bulletin of Islamic Research&lt;/i&gt; 2, no. 2 (2024): 199–216.","plainTextFormattedCitation":"An Najmi Fikri Ramadhan, “Hermeneutics of Gender: A Comparative Study of Hermeneutical Models Amina Wadud and Farid Esack,” Bulletin of Islamic Research 2, no. 2 (2024): 199–216.","previouslyFormattedCitation":"An Najmi Fikri Ramadhan, “Hermeneutics of Gender: A Comparative Study of Hermeneutical Models Amina Wadud and Farid Esack,” &lt;i&gt;Bulletin of Islamic Research&lt;/i&gt; 2, no. 2 (2024): 199–216."},"properties":{"noteIndex":74},"schema":"https://github.com/citation-style-language/schema/raw/master/csl-citation.json"}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An Najmi Fikri Ramadhan, “Hermeneutics of Gender: A Comparative Study of Hermeneutical Models Amina Wadud and Farid Esack,” </w:t>
      </w:r>
      <w:r w:rsidRPr="00E31FCD">
        <w:rPr>
          <w:rFonts w:asciiTheme="majorBidi" w:hAnsiTheme="majorBidi" w:cstheme="majorBidi"/>
          <w:i/>
          <w:noProof/>
          <w:sz w:val="24"/>
          <w:szCs w:val="24"/>
        </w:rPr>
        <w:t>Bulletin of Islamic Research</w:t>
      </w:r>
      <w:r w:rsidRPr="00E31FCD">
        <w:rPr>
          <w:rFonts w:asciiTheme="majorBidi" w:hAnsiTheme="majorBidi" w:cstheme="majorBidi"/>
          <w:noProof/>
          <w:sz w:val="24"/>
          <w:szCs w:val="24"/>
        </w:rPr>
        <w:t xml:space="preserve"> 2, no. 2 (2024): 199–216.</w:t>
      </w:r>
      <w:r w:rsidRPr="00E31FCD">
        <w:rPr>
          <w:rFonts w:asciiTheme="majorBidi" w:hAnsiTheme="majorBidi" w:cstheme="majorBidi"/>
          <w:sz w:val="24"/>
          <w:szCs w:val="24"/>
        </w:rPr>
        <w:fldChar w:fldCharType="end"/>
      </w:r>
    </w:p>
    <w:p w14:paraId="4EB3F940"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{"citationItems":[{"id":"ITEM-1","itemData":{"ISSN":"0928-9380","author":[{"dropping-particle":"","family":"March","given":"Andrew","non-dropping-particle":"","parse-names":false,"suffix":""}],"container-title":"Islamic Law and Society","id":"ITEM-1","issue":"1","issued":{"date-parts":[["2009"]]},"page":"34-94","publisher":"Brill","title":"Sources of Moral Obligation to non-Muslims in the\" Jurisprudence of Muslim Minorities\"(Fiqh al-aqalliyyāt) Discourse","type":"article-journal","volume":"16"},"uris":["http://www.mendeley.com/documents/?uuid=9d2c0cbf-fc22-4ee4-8524-539db7a8e949"]}],"mendeley":{"formattedCitation":"Andrew March, “Sources of Moral Obligation to Non-Muslims in the\" Jurisprudence of Muslim Minorities\"(Fiqh Al-Aqalliyyāt) Discourse,” &lt;i&gt;Islamic Law and Society&lt;/i&gt; 16, no. 1 (2009): 34–94.","plainTextFormattedCitation":"Andrew March, “Sources of Moral Obligation to Non-Muslims in the\" Jurisprudence of Muslim Minorities\"(Fiqh Al-Aqalliyyāt) Discourse,” Islamic Law and Society 16, no. 1 (2009): 34–94.","previouslyFormattedCitation":"Andrew March, “Sources of Moral Obligation to Non-Muslims in the\" Jurisprudence of Muslim Minorities\"(Fiqh Al-Aqalliyyāt) Discourse,” &lt;i&gt;Islamic Law and Society&lt;/i&gt; 16, no. 1 (2009): 34–94."},"properties":{"noteIndex":25},"schema":"https://github.com/citation-style-language/schema/raw/master/csl-citation.json"}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Andrew March, “Sources of Moral Obligation to Non-Muslims in the" Jurisprudence of Muslim Minorities"(Fiqh Al-Aqalliyyāt) Discourse,” </w:t>
      </w:r>
      <w:r w:rsidRPr="00E31FCD">
        <w:rPr>
          <w:rFonts w:asciiTheme="majorBidi" w:hAnsiTheme="majorBidi" w:cstheme="majorBidi"/>
          <w:i/>
          <w:noProof/>
          <w:sz w:val="24"/>
          <w:szCs w:val="24"/>
        </w:rPr>
        <w:t>Islamic Law and Society</w:t>
      </w:r>
      <w:r w:rsidRPr="00E31FCD">
        <w:rPr>
          <w:rFonts w:asciiTheme="majorBidi" w:hAnsiTheme="majorBidi" w:cstheme="majorBidi"/>
          <w:noProof/>
          <w:sz w:val="24"/>
          <w:szCs w:val="24"/>
        </w:rPr>
        <w:t xml:space="preserve"> 16, no. 1 (2009): 34–94.</w:t>
      </w:r>
      <w:r w:rsidRPr="00E31FCD">
        <w:rPr>
          <w:rFonts w:asciiTheme="majorBidi" w:hAnsiTheme="majorBidi" w:cstheme="majorBidi"/>
          <w:sz w:val="24"/>
          <w:szCs w:val="24"/>
        </w:rPr>
        <w:fldChar w:fldCharType="end"/>
      </w:r>
    </w:p>
    <w:p w14:paraId="696DDD9F" w14:textId="77777777" w:rsidR="00F40DE8" w:rsidRPr="00E31FCD" w:rsidRDefault="00F40DE8" w:rsidP="00F40DE8">
      <w:pPr>
        <w:pStyle w:val="FootnoteText"/>
        <w:ind w:left="720" w:hanging="720"/>
        <w:jc w:val="both"/>
        <w:rPr>
          <w:rFonts w:asciiTheme="majorBidi" w:hAnsiTheme="majorBidi" w:cstheme="majorBidi"/>
          <w:b/>
          <w:bCs/>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{"citationItems":[{"id":"ITEM-1","itemData":{"ISSN":"2549-3167","author":[{"dropping-particle":"","family":"Harahap","given":"Anwar Sadat","non-dropping-particle":"","parse-names":false,"suffix":""},{"dropping-particle":"","family":"Siregar","given":"Taufik","non-dropping-particle":"","parse-names":false,"suffix":""},{"dropping-particle":"","family":"Mulyono","given":"Hardi","non-dropping-particle":"","parse-names":false,"suffix":""},{"dropping-particle":"","family":"Hasibuan","given":"Ahmad Laut","non-dropping-particle":"","parse-names":false,"suffix":""},{"dropping-particle":"","family":"Harahap","given":"Badrulilmi Mubarak","non-dropping-particle":"","parse-names":false,"suffix":""}],"container-title":"Samarah: Jurnal Hukum Keluarga dan Hukum Islam","id":"ITEM-1","issue":"3","issued":{"date-parts":[["2025"]]},"page":"1594-1618","title":"Resolution of Disputes in Inheritance Through Islamic Law and Surat Tumbaga Holing in The Bataknese Community in South Tapanuli","type":"article-journal","volume":"9"},"uris":["http://www.mendeley.com/documents/?uuid=5b40adf0-746d-4f60-9e3e-ad7608ea2002"]}],"mendeley":{"formattedCitation":"Anwar Sadat Harahap et al., “Resolution of Disputes in Inheritance Through Islamic Law and Surat Tumbaga Holing in The Bataknese Community in South Tapanuli,” &lt;i&gt;Samarah: Jurnal Hukum Keluarga Dan Hukum Islam&lt;/i&gt; 9, no. 3 (2025): 1594–1618.","plainTextFormattedCitation":"Anwar Sadat Harahap et al., “Resolution of Disputes in Inheritance Through Islamic Law and Surat Tumbaga Holing in The Bataknese Community in South Tapanuli,” Samarah: Jurnal Hukum Keluarga Dan Hukum Islam 9, no. 3 (2025): 1594–1618.","previouslyFormattedCitation":"Anwar Sadat Harahap et al., “Resolution of Disputes in Inheritance Through Islamic Law and Surat Tumbaga Holing in The Bataknese Community in South Tapanuli,” &lt;i&gt;Samarah: Jurnal Hukum Keluarga Dan Hukum Islam&lt;/i&gt; 9, no. 3 (2025): 1594–1618."},"properties":{"noteIndex":21},"schema":"https://github.com/citation-style-language/schema/raw/master/csl-citation.json"}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Anwar Sadat Harahap et al., “Resolution of Disputes in Inheritance Through Islamic Law and Surat Tumbaga Holing in The Bataknese Community in South Tapanuli,” </w:t>
      </w:r>
      <w:r w:rsidRPr="00E31FCD">
        <w:rPr>
          <w:rFonts w:asciiTheme="majorBidi" w:hAnsiTheme="majorBidi" w:cstheme="majorBidi"/>
          <w:i/>
          <w:noProof/>
          <w:sz w:val="24"/>
          <w:szCs w:val="24"/>
        </w:rPr>
        <w:t>Samarah: Jurnal Hukum Keluarga Dan Hukum Islam</w:t>
      </w:r>
      <w:r w:rsidRPr="00E31FCD">
        <w:rPr>
          <w:rFonts w:asciiTheme="majorBidi" w:hAnsiTheme="majorBidi" w:cstheme="majorBidi"/>
          <w:noProof/>
          <w:sz w:val="24"/>
          <w:szCs w:val="24"/>
        </w:rPr>
        <w:t xml:space="preserve"> 9, no. 3 (2025): 1594–1618.</w:t>
      </w:r>
      <w:r w:rsidRPr="00E31FCD">
        <w:rPr>
          <w:rFonts w:asciiTheme="majorBidi" w:hAnsiTheme="majorBidi" w:cstheme="majorBidi"/>
          <w:sz w:val="24"/>
          <w:szCs w:val="24"/>
        </w:rPr>
        <w:fldChar w:fldCharType="end"/>
      </w:r>
      <w:hyperlink r:id="rId12" w:history="1">
        <w:r w:rsidRPr="00E31FCD">
          <w:rPr>
            <w:rStyle w:val="Hyperlink"/>
            <w:rFonts w:asciiTheme="majorBidi" w:hAnsiTheme="majorBidi" w:cstheme="majorBidi"/>
            <w:color w:val="auto"/>
            <w:sz w:val="24"/>
            <w:szCs w:val="24"/>
          </w:rPr>
          <w:t>https://doi.org/10.22373/sjhk.v9.i3.22829</w:t>
        </w:r>
      </w:hyperlink>
    </w:p>
    <w:p w14:paraId="36DC00A4"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{"citationItems":[{"id":"ITEM-1","itemData":{"ISSN":"2502-3616","author":[{"dropping-particle":"","family":"Hasibuan","given":"Armyn","non-dropping-particle":"","parse-names":false,"suffix":""},{"dropping-particle":"","family":"Mumtaz","given":"Nadhif Muhammad","non-dropping-particle":"","parse-names":false,"suffix":""},{"dropping-particle":"","family":"Anwar","given":"Khairul","non-dropping-particle":"","parse-names":false,"suffix":""},{"dropping-particle":"","family":"Haq","given":"Moh Mansur Abdul","non-dropping-particle":"","parse-names":false,"suffix":""},{"dropping-particle":"","family":"Nurjaman","given":"Andri","non-dropping-particle":"","parse-names":false,"suffix":""}],"container-title":"MIQOT: Jurnal Ilmu-ilmu Keislaman","id":"ITEM-1","issue":"1","issued":{"date-parts":[["2025"]]},"page":"184-204","title":"SUFISTIC APPROACH OF CHARACTER EDUCATION IN AN INDONESIAN ISLAMIC BOARDING SCHOOL","type":"article-journal","volume":"49"},"uris":["http://www.mendeley.com/documents/?uuid=efc53909-fcd1-48c2-ab51-7de2710e5675"]}],"mendeley":{"formattedCitation":"Armyn Hasibuan et al., “SUFISTIC APPROACH OF CHARACTER EDUCATION IN AN INDONESIAN ISLAMIC BOARDING SCHOOL,” &lt;i&gt;MIQOT: Jurnal Ilmu-Ilmu Keislaman&lt;/i&gt; 49, no. 1 (2025): 184–204.","plainTextFormattedCitation":"Armyn Hasibuan et al., “SUFISTIC APPROACH OF CHARACTER EDUCATION IN AN INDONESIAN ISLAMIC BOARDING SCHOOL,” MIQOT: Jurnal Ilmu-Ilmu Keislaman 49, no. 1 (2025): 184–204.","previouslyFormattedCitation":"Armyn Hasibuan et al., “SUFISTIC APPROACH OF CHARACTER EDUCATION IN AN INDONESIAN ISLAMIC BOARDING SCHOOL,” &lt;i&gt;MIQOT: Jurnal Ilmu-Ilmu Keislaman&lt;/i&gt; 49, no. 1 (2025): 184–204."},"properties":{"noteIndex":17},"schema":"https://github.com/citation-style-language/schema/raw/master/csl-citation.json"}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Armyn Hasibuan et al., “Sufistic Approach Of Character Education In An Indonesian Islamic Boarding School,” </w:t>
      </w:r>
      <w:r w:rsidRPr="00E31FCD">
        <w:rPr>
          <w:rFonts w:asciiTheme="majorBidi" w:hAnsiTheme="majorBidi" w:cstheme="majorBidi"/>
          <w:i/>
          <w:noProof/>
          <w:sz w:val="24"/>
          <w:szCs w:val="24"/>
        </w:rPr>
        <w:t>MIQOT: Jurnal Ilmu-Ilmu Keislaman</w:t>
      </w:r>
      <w:r w:rsidRPr="00E31FCD">
        <w:rPr>
          <w:rFonts w:asciiTheme="majorBidi" w:hAnsiTheme="majorBidi" w:cstheme="majorBidi"/>
          <w:noProof/>
          <w:sz w:val="24"/>
          <w:szCs w:val="24"/>
        </w:rPr>
        <w:t xml:space="preserve"> 49, no. 1 (2025): 184–204.</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13" w:history="1">
        <w:r w:rsidRPr="00E31FCD">
          <w:rPr>
            <w:rStyle w:val="Hyperlink"/>
            <w:rFonts w:asciiTheme="majorBidi" w:hAnsiTheme="majorBidi" w:cstheme="majorBidi"/>
            <w:color w:val="auto"/>
            <w:sz w:val="24"/>
            <w:szCs w:val="24"/>
          </w:rPr>
          <w:t>http://dx.doi.org/10.30821/miqot.v49i1.1332</w:t>
        </w:r>
      </w:hyperlink>
    </w:p>
    <w:p w14:paraId="3111724A"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{"citationItems":[{"id":"ITEM-1","itemData":{"ISSN":"2962-861X","author":[{"dropping-particle":"","family":"Najamudin","given":"Atho’ilah Aly","non-dropping-particle":"","parse-names":false,"suffix":""},{"dropping-particle":"","family":"Iqbal","given":"Mohammad","non-dropping-particle":"","parse-names":false,"suffix":""}],"container-title":"Islamic Economics And Finance Journal","id":"ITEM-1","issue":"1","issued":{"date-parts":[["2023"]]},"page":"48-54","title":"Eksistensi Pelaku Umkm Batik: Life Story Pembaktik Desa Banjar Banyuwangi","type":"article-journal","volume":"2"},"uris":["http://www.mendeley.com/documents/?uuid=5a091c0f-c478-4490-9bd2-e363e01114d9"]}],"mendeley":{"formattedCitation":"Atho’ilah Aly Najamudin and Mohammad Iqbal, “Eksistensi Pelaku Umkm Batik: Life Story Pembaktik Desa Banjar Banyuwangi,” &lt;i&gt;Islamic Economics And Finance Journal&lt;/i&gt; 2, no. 1 (2023): 48–54.","plainTextFormattedCitation":"Atho’ilah Aly Najamudin and Mohammad Iqbal, “Eksistensi Pelaku Umkm Batik: Life Story Pembaktik Desa Banjar Banyuwangi,” Islamic Economics And Finance Journal 2, no. 1 (2023): 48–54.","previouslyFormattedCitation":"Atho’ilah Aly Najamudin and Mohammad Iqbal, “Eksistensi Pelaku Umkm Batik: Life Story Pembaktik Desa Banjar Banyuwangi,” &lt;i&gt;Islamic Economics And Finance Journal&lt;/i&gt; 2, no. 1 (2023): 48–54."},"properties":{"noteIndex":46},"schema":"https://github.com/citation-style-language/schema/raw/master/csl-citation.json"}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Atho’ilah Aly Najamudin and Mohammad Iqbal, “Eksistensi Pelaku Umkm Batik: Life Story Pembaktik Desa Banjar Banyuwangi,” </w:t>
      </w:r>
      <w:r w:rsidRPr="00E31FCD">
        <w:rPr>
          <w:rFonts w:asciiTheme="majorBidi" w:hAnsiTheme="majorBidi" w:cstheme="majorBidi"/>
          <w:i/>
          <w:noProof/>
          <w:sz w:val="24"/>
          <w:szCs w:val="24"/>
        </w:rPr>
        <w:t>Islamic Economics And Finance Journal</w:t>
      </w:r>
      <w:r w:rsidRPr="00E31FCD">
        <w:rPr>
          <w:rFonts w:asciiTheme="majorBidi" w:hAnsiTheme="majorBidi" w:cstheme="majorBidi"/>
          <w:noProof/>
          <w:sz w:val="24"/>
          <w:szCs w:val="24"/>
        </w:rPr>
        <w:t xml:space="preserve"> 2, no. 1 (2023): 48–54.</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14" w:history="1">
        <w:r w:rsidRPr="00E31FCD">
          <w:rPr>
            <w:rStyle w:val="Hyperlink"/>
            <w:rFonts w:asciiTheme="majorBidi" w:hAnsiTheme="majorBidi" w:cstheme="majorBidi"/>
            <w:color w:val="auto"/>
            <w:sz w:val="24"/>
            <w:szCs w:val="24"/>
          </w:rPr>
          <w:t>https://doi.org/10.62005/iseco.v2i1.33</w:t>
        </w:r>
      </w:hyperlink>
    </w:p>
    <w:p w14:paraId="055A4B24"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{"citationItems":[{"id":"ITEM-1","itemData":{"author":[{"dropping-particle":"","family":"Tobing","given":"Bima Ardiansyah Lumban","non-dropping-particle":"","parse-names":false,"suffix":""},{"dropping-particle":"","family":"Simatupang","given":"Helga Yohana","non-dropping-particle":"","parse-names":false,"suffix":""}],"container-title":"Journal of Global Perspective","id":"ITEM-1","issue":"1","issued":{"date-parts":[["2024"]]},"page":"85-97","title":"Peran Tradisi dan Budaya Dalam Menciptakan Ketidakadilan Terhadap Wanita India","type":"article-journal","volume":"2"},"uris":["http://www.mendeley.com/documents/?uuid=6fa37e33-6dc6-489d-9532-bbe90848210a"]}],"mendeley":{"formattedCitation":"Bima Ardiansyah Lumban Tobing and Helga Yohana Simatupang, “Peran Tradisi Dan Budaya Dalam Menciptakan Ketidakadilan Terhadap Wanita India,” &lt;i&gt;Journal of Global Perspective&lt;/i&gt; 2, no. 1 (2024): 85–97.","plainTextFormattedCitation":"Bima Ardiansyah Lumban Tobing and Helga Yohana Simatupang, “Peran Tradisi Dan Budaya Dalam Menciptakan Ketidakadilan Terhadap Wanita India,” Journal of Global Perspective 2, no. 1 (2024): 85–97.","previouslyFormattedCitation":"Bima Ardiansyah Lumban Tobing and Helga Yohana Simatupang, “Peran Tradisi Dan Budaya Dalam Menciptakan Ketidakadilan Terhadap Wanita India,” &lt;i&gt;Journal of Global Perspective&lt;/i&gt; 2, no. 1 (2024): 85–97."},"properties":{"noteIndex":60},"schema":"https://github.com/citation-style-language/schema/raw/master/csl-citation.json"}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Bima Ardiansyah Lumban Tobing and Helga Yohana Simatupang, “Peran Tradisi Dan Budaya Dalam Menciptakan Ketidakadilan Terhadap Wanita India,” </w:t>
      </w:r>
      <w:r w:rsidRPr="00E31FCD">
        <w:rPr>
          <w:rFonts w:asciiTheme="majorBidi" w:hAnsiTheme="majorBidi" w:cstheme="majorBidi"/>
          <w:i/>
          <w:noProof/>
          <w:sz w:val="24"/>
          <w:szCs w:val="24"/>
        </w:rPr>
        <w:t>Journal of Global Perspective</w:t>
      </w:r>
      <w:r w:rsidRPr="00E31FCD">
        <w:rPr>
          <w:rFonts w:asciiTheme="majorBidi" w:hAnsiTheme="majorBidi" w:cstheme="majorBidi"/>
          <w:noProof/>
          <w:sz w:val="24"/>
          <w:szCs w:val="24"/>
        </w:rPr>
        <w:t xml:space="preserve"> 2, no. 1 (2024): 85–97.</w:t>
      </w:r>
      <w:r w:rsidRPr="00E31FCD">
        <w:rPr>
          <w:rFonts w:asciiTheme="majorBidi" w:hAnsiTheme="majorBidi" w:cstheme="majorBidi"/>
          <w:sz w:val="24"/>
          <w:szCs w:val="24"/>
        </w:rPr>
        <w:fldChar w:fldCharType="end"/>
      </w:r>
    </w:p>
    <w:p w14:paraId="740157C7"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lastRenderedPageBreak/>
        <w:fldChar w:fldCharType="begin" w:fldLock="1"/>
      </w:r>
      <w:r w:rsidRPr="00E31FCD">
        <w:rPr>
          <w:rFonts w:asciiTheme="majorBidi" w:hAnsiTheme="majorBidi" w:cstheme="majorBidi"/>
          <w:sz w:val="24"/>
          <w:szCs w:val="24"/>
        </w:rPr>
        <w:instrText>ADDIN CSL_CITATION {"citationItems":[{"id":"ITEM-1","itemData":{"DOI":"10.1080/13642529.2022.2037864","ISSN":"13642529","abstract":"The concept ‘patriarchy’ has endured decline in use by historians despite calls for its redemption. One of the main reasons is that uses of ‘patriarchy’ fall into potentially clashing categories: There are theories of ‘patriarchy’ as hierarchical authority in the family and there are theories of ‘patriarchy’ as a ubiquitous or universal structure through which men dominate women. I suggest that the first is more useful because it allows for a better historically situated understanding of patriarchal power. Yet, patriarchy as hierarchical authority is less applicable as a toolbox to understand gender history diachronically, something patriarchy as universal structure aspired to, and a project that we should not abandon along with the abandonment of patriarchy as universal structure. Instead, I argue for an understanding of patriarchal power as something that can help us think about how gendered bodies move through time. By turning more explicitly to the way in which patriarchal power appropriates the body and claims natural and universal status, it can be a potential conceptual tool in the historian’s toolbox that helps us address the challenge of diachronic history of gendered bodies without resorting to a biological essentialism.","author":[{"dropping-particle":"","family":"Pierik","given":"Bob","non-dropping-particle":"","parse-names":false,"suffix":""}],"container-title":"Rethinking History","id":"ITEM-1","issue":"1","issued":{"date-parts":[["2022"]]},"page":"71-92","publisher":"Routledge","title":"Patriarchal power as a conceptual tool for gender history","type":"article-journal","volume":"26"},"uris":["http://www.mendeley.com/documents/?uuid=0bab7990-126c-4cb9-9c7d-ea86a6287ad8","http://www.mendeley.com/documents/?uuid=f1ccc599-104b-4e1e-883a-1b16b7d51174"]}],"mendeley":{"formattedCitation":"Bob Pierik, “Patriarchal Power as a Conceptual Tool for Gender History,” &lt;i&gt;Rethinking History&lt;/i&gt; 26, no. 1 (2022): 71–92, https://doi.org/10.1080/13642529.2022.2037864.","plainTextFormattedCitation":"Bob Pierik, “Patriarchal Power as a Conceptual Tool for Gender History,” Rethinking History 26, no. 1 (2022): 71–92, https://doi.org/10.1080/13642529.2022.2037864.","previouslyFormattedCitation":"Bob Pierik, “Patriarchal Power as a Conceptual Tool for Gender History,” &lt;i&gt;Rethinking History&lt;/i&gt; 26, no. 1 (2022): 71–92, https://doi.org/10.1080/13642529.2022.2037864."},"properties":{"noteIndex":51},"schema":"https://github.com/citation-style-language/schema/raw/master/csl-citation.json"}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Bob Pierik, “Patriarchal Power as a Conceptual Tool for Gender History,” </w:t>
      </w:r>
      <w:r w:rsidRPr="00E31FCD">
        <w:rPr>
          <w:rFonts w:asciiTheme="majorBidi" w:hAnsiTheme="majorBidi" w:cstheme="majorBidi"/>
          <w:i/>
          <w:noProof/>
          <w:sz w:val="24"/>
          <w:szCs w:val="24"/>
        </w:rPr>
        <w:t>Rethinking History</w:t>
      </w:r>
      <w:r w:rsidRPr="00E31FCD">
        <w:rPr>
          <w:rFonts w:asciiTheme="majorBidi" w:hAnsiTheme="majorBidi" w:cstheme="majorBidi"/>
          <w:noProof/>
          <w:sz w:val="24"/>
          <w:szCs w:val="24"/>
        </w:rPr>
        <w:t xml:space="preserve"> 26, no. 1 (2022): 71–92, https://doi.org/10.1080/13642529.2022.2037864.</w:t>
      </w:r>
      <w:r w:rsidRPr="00E31FCD">
        <w:rPr>
          <w:rFonts w:asciiTheme="majorBidi" w:hAnsiTheme="majorBidi" w:cstheme="majorBidi"/>
          <w:sz w:val="24"/>
          <w:szCs w:val="24"/>
        </w:rPr>
        <w:fldChar w:fldCharType="end"/>
      </w:r>
    </w:p>
    <w:p w14:paraId="729153DE"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{"citationItems":[{"id":"ITEM-1","itemData":{"DOI":"10.1080/13642529.2022.2037864","ISSN":"13642529","abstract":"The concept ‘patriarchy’ has endured decline in use by historians despite calls for its redemption. One of the main reasons is that uses of ‘patriarchy’ fall into potentially clashing categories: There are theories of ‘patriarchy’ as hierarchical authority in the family and there are theories of ‘patriarchy’ as a ubiquitous or universal structure through which men dominate women. I suggest that the first is more useful because it allows for a better historically situated understanding of patriarchal power. Yet, patriarchy as hierarchical authority is less applicable as a toolbox to understand gender history diachronically, something patriarchy as universal structure aspired to, and a project that we should not abandon along with the abandonment of patriarchy as universal structure. Instead, I argue for an understanding of patriarchal power as something that can help us think about how gendered bodies move through time. By turning more explicitly to the way in which patriarchal power appropriates the body and claims natural and universal status, it can be a potential conceptual tool in the historian’s toolbox that helps us address the challenge of diachronic history of gendered bodies without resorting to a biological essentialism.","author":[{"dropping-particle":"","family":"Pierik","given":"Bob","non-dropping-particle":"","parse-names":false,"suffix":""}],"container-title":"Rethinking History","id":"ITEM-1","issue":"1","issued":{"date-parts":[["2022"]]},"page":"71-92","publisher":"Routledge","title":"Patriarchal power as a conceptual tool for gender history","type":"article-journal","volume":"26"},"uris":["http://www.mendeley.com/documents/?uuid=0bab7990-126c-4cb9-9c7d-ea86a6287ad8","http://www.mendeley.com/documents/?uuid=f1ccc599-104b-4e1e-883a-1b16b7d51174"]}],"mendeley":{"formattedCitation":"Bob Pierik, “Patriarchal Power as a Conceptual Tool for Gender History,” &lt;i&gt;Rethinking History&lt;/i&gt; 26, no. 1 (2022): 71–92, https://doi.org/10.1080/13642529.2022.2037864.","plainTextFormattedCitation":"Bob Pierik, “Patriarchal Power as a Conceptual Tool for Gender History,” Rethinking History 26, no. 1 (2022): 71–92, https://doi.org/10.1080/13642529.2022.2037864.","previouslyFormattedCitation":"Bob Pierik, “Patriarchal Power as a Conceptual Tool for Gender History,” &lt;i&gt;Rethinking History&lt;/i&gt; 26, no. 1 (2022): 71–92, https://doi.org/10.1080/13642529.2022.2037864."},"properties":{"noteIndex":51},"schema":"https://github.com/citation-style-language/schema/raw/master/csl-citation.json"}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Bob Pierik, “Patriarchal Power as a Conceptual Tool for Gender History,” </w:t>
      </w:r>
      <w:r w:rsidRPr="00E31FCD">
        <w:rPr>
          <w:rFonts w:asciiTheme="majorBidi" w:hAnsiTheme="majorBidi" w:cstheme="majorBidi"/>
          <w:i/>
          <w:noProof/>
          <w:sz w:val="24"/>
          <w:szCs w:val="24"/>
        </w:rPr>
        <w:t>Rethinking History</w:t>
      </w:r>
      <w:r w:rsidRPr="00E31FCD">
        <w:rPr>
          <w:rFonts w:asciiTheme="majorBidi" w:hAnsiTheme="majorBidi" w:cstheme="majorBidi"/>
          <w:noProof/>
          <w:sz w:val="24"/>
          <w:szCs w:val="24"/>
        </w:rPr>
        <w:t xml:space="preserve"> 26, no. 1 (2022): 71–92, https://doi.org/10.1080/13642529.2022.2037864.</w:t>
      </w:r>
      <w:r w:rsidRPr="00E31FCD">
        <w:rPr>
          <w:rFonts w:asciiTheme="majorBidi" w:hAnsiTheme="majorBidi" w:cstheme="majorBidi"/>
          <w:sz w:val="24"/>
          <w:szCs w:val="24"/>
        </w:rPr>
        <w:fldChar w:fldCharType="end"/>
      </w:r>
    </w:p>
    <w:p w14:paraId="4C4B5F1D" w14:textId="77777777" w:rsidR="00F40DE8" w:rsidRPr="00E31FCD" w:rsidRDefault="00F40DE8" w:rsidP="00F40DE8">
      <w:pPr>
        <w:pStyle w:val="FootnoteText"/>
        <w:ind w:left="720" w:hanging="720"/>
        <w:jc w:val="both"/>
        <w:rPr>
          <w:rFonts w:asciiTheme="majorBidi" w:hAnsiTheme="majorBidi" w:cstheme="majorBidi"/>
          <w:sz w:val="24"/>
          <w:szCs w:val="24"/>
          <w:lang w:val="fi-FI"/>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lang w:val="fi-FI"/>
        </w:rPr>
        <w:instrText>ADDIN CSL_CITATION {"citationItems":[{"id":"ITEM-1","itemData":{"ISSN":"2776-6454","author":[{"dropping-particle":"","family":"Silitonga","given":"Boy Anto Ando","non-dropping-particle":"","parse-names":false,"suffix":""},{"dropping-particle":"","family":"Messakh","given":"Jefrit Johanis","non-dropping-particle":"","parse-names":false,"suffix":""},{"dropping-particle":"","family":"Naibaho","given":"Lamhot","non-dropping-particle":"","parse-names":false,"suffix":""}],"container-title":"Harati","id":"ITEM-1","issue":"2","issued":{"date-parts":[["2023"]]},"page":"189-204","publisher":"Fakultas Keguruan dan Ilmu Pendidikan Kristen Institut Agama Kristen Negeri …","title":"Analisis Kapitalisme Max Weber sebagai Jalan Pendidikan Agama Kristen Menghadapi Kemiskinan","type":"article-journal","volume":"3"},"uris":["http://www.mendeley.com/documents/?uuid=7c3e7b98-382a-47fc-92f1-8b3cc2453211"]}],"mendeley":{"formattedCitation":"Boy Anto Ando Silitonga, Jefrit Johanis Messakh, and Lamhot Naibaho, “Analisis Kapitalisme Max Weber Sebagai Jalan Pendidikan Agama Kristen Menghadapi Kemiskinan,” &lt;i&gt;Harati&lt;/i&gt; 3, no. 2 (2023): 189–204.","plainTextFormattedCitation":"Boy Anto Ando Silitonga, Jefrit Johanis Messakh, and Lamhot Naibaho, “Analisis Kapitalisme Max Weber Sebagai Jalan Pendidikan Agama Kristen Menghadapi Kemiskinan,” Harati 3, no. 2 (2023): 189–204.","previouslyFormattedCitation":"Boy Anto Ando Silitonga, Jefrit Johanis Messakh, and Lamhot Naibaho, “Analisis Kapitalisme Max Weber Sebagai Jalan Pendidikan Agama Kristen Menghadapi Kemiskinan,” &lt;i&gt;Harati&lt;/i&gt; 3, no. 2 (2023): 189–204."},"properties":{"noteIndex":79},"schema":"https://github.com/citation-style-language/schema/raw/master/csl-citation.json"}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lang w:val="fi-FI"/>
        </w:rPr>
        <w:t xml:space="preserve">Boy Anto Ando Silitonga, Jefrit Johanis Messakh, and Lamhot Naibaho, “Analisis Kapitalisme Max Weber Sebagai Jalan Pendidikan Agama Kristen Menghadapi Kemiskinan,” </w:t>
      </w:r>
      <w:r w:rsidRPr="00E31FCD">
        <w:rPr>
          <w:rFonts w:asciiTheme="majorBidi" w:hAnsiTheme="majorBidi" w:cstheme="majorBidi"/>
          <w:i/>
          <w:noProof/>
          <w:sz w:val="24"/>
          <w:szCs w:val="24"/>
          <w:lang w:val="fi-FI"/>
        </w:rPr>
        <w:t>Harati</w:t>
      </w:r>
      <w:r w:rsidRPr="00E31FCD">
        <w:rPr>
          <w:rFonts w:asciiTheme="majorBidi" w:hAnsiTheme="majorBidi" w:cstheme="majorBidi"/>
          <w:noProof/>
          <w:sz w:val="24"/>
          <w:szCs w:val="24"/>
          <w:lang w:val="fi-FI"/>
        </w:rPr>
        <w:t xml:space="preserve"> 3, no. 2 (2023): 189–204.</w:t>
      </w:r>
      <w:r w:rsidRPr="00E31FCD">
        <w:rPr>
          <w:rFonts w:asciiTheme="majorBidi" w:hAnsiTheme="majorBidi" w:cstheme="majorBidi"/>
          <w:sz w:val="24"/>
          <w:szCs w:val="24"/>
        </w:rPr>
        <w:fldChar w:fldCharType="end"/>
      </w:r>
    </w:p>
    <w:p w14:paraId="028CB1EE"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lang w:val="fi-FI"/>
        </w:rPr>
        <w:instrText>ADDIN CSL_CITATION {"citationItems":[{"id":"ITEM-1","itemData":{"ISSN":"2550-0813","author":[{"dropping-particle":"","family":"Tan","given":"David","non-dropping-particle":"","parse-names":false,"suffix":""}],"container-title":"Nusantara: Jurnal Ilmu Pengetahuan Sosial","id":"ITEM-1","issue":"8","issued":{"date-parts":[["2021"]]},"page":"2463-2478","title":"Metode penelitian hukum: Mengupas dan mengulas metodologi dalam menyelenggarakan penelitian hukum","type":"article-journal","volume":"8"},"uris":["http://www.mendeley.com/documents/?uuid=9eeba66e-12fe-4c66-91d4-152caa2a0566"]}],"mendeley":{"formattedCitation":"David Tan, “Metode Penelitian Hukum: Mengupas Dan Mengulas Metodologi Dalam Menyelenggarakan Penelitian Hukum,” &lt;i&gt;Nusantara: Jurnal Ilmu Pengetahuan Sosial&lt;/i&gt; 8, no. 8 (2021): 2463–78.","plainTextFormattedCitation":"David Tan, “Metode Penelitian Hukum: Mengupas Dan Mengulas Metodologi Dalam Menyelenggarakan Penelitian Hukum,” Nusantara: Jurnal Ilmu Pengetahuan Sosial 8, no. 8 (2021): 2463–78.","previouslyFormattedCitation":"David Tan, “Metode Penelitian Hukum: Mengupas Dan Mengulas Metodologi Dalam Menyelenggarakan Penelitian Hukum,” &lt;i&gt;Nusantara: Jurnal Ilmu Pengetahuan Sosial&lt;/i&gt; 8, no. 8 (2021): 2463–78."},"properties":{"noteIndex":33},"schema":"https://github.com/citation-style-language/schema/raw/master/csl-citation.json"}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lang w:val="fi-FI"/>
        </w:rPr>
        <w:t xml:space="preserve">David Tan, “Metode Penelitian Hukum: Mengupas Dan Mengulas Metodologi Dalam Menyelenggarakan Penelitian Hukum,” </w:t>
      </w:r>
      <w:r w:rsidRPr="00E31FCD">
        <w:rPr>
          <w:rFonts w:asciiTheme="majorBidi" w:hAnsiTheme="majorBidi" w:cstheme="majorBidi"/>
          <w:i/>
          <w:noProof/>
          <w:sz w:val="24"/>
          <w:szCs w:val="24"/>
          <w:lang w:val="fi-FI"/>
        </w:rPr>
        <w:t>Nusantara: Jurnal Ilmu Pengetahuan Sosial</w:t>
      </w:r>
      <w:r w:rsidRPr="00E31FCD">
        <w:rPr>
          <w:rFonts w:asciiTheme="majorBidi" w:hAnsiTheme="majorBidi" w:cstheme="majorBidi"/>
          <w:noProof/>
          <w:sz w:val="24"/>
          <w:szCs w:val="24"/>
          <w:lang w:val="fi-FI"/>
        </w:rPr>
        <w:t xml:space="preserve"> 8, no. 8 (2021): 2463–78.</w:t>
      </w:r>
      <w:r w:rsidRPr="00E31FCD">
        <w:rPr>
          <w:rFonts w:asciiTheme="majorBidi" w:hAnsiTheme="majorBidi" w:cstheme="majorBidi"/>
          <w:sz w:val="24"/>
          <w:szCs w:val="24"/>
        </w:rPr>
        <w:fldChar w:fldCharType="end"/>
      </w:r>
      <w:r w:rsidRPr="00E31FCD">
        <w:rPr>
          <w:rFonts w:asciiTheme="majorBidi" w:hAnsiTheme="majorBidi" w:cstheme="majorBidi"/>
          <w:sz w:val="24"/>
          <w:szCs w:val="24"/>
          <w:lang w:val="fi-FI"/>
        </w:rPr>
        <w:t xml:space="preserve"> </w:t>
      </w:r>
      <w:hyperlink r:id="rId15" w:history="1">
        <w:r w:rsidRPr="00E31FCD">
          <w:rPr>
            <w:rStyle w:val="Hyperlink"/>
            <w:rFonts w:asciiTheme="majorBidi" w:hAnsiTheme="majorBidi" w:cstheme="majorBidi"/>
            <w:color w:val="auto"/>
            <w:sz w:val="24"/>
            <w:szCs w:val="24"/>
          </w:rPr>
          <w:t>https://doi.org/10.31604/jips.v8i8.2021.2463-2478</w:t>
        </w:r>
      </w:hyperlink>
    </w:p>
    <w:p w14:paraId="6A92BB7E"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{"citationItems":[{"id":"ITEM-1","itemData":{"author":[{"dropping-particle":"","family":"Matanari","given":"Debora","non-dropping-particle":"","parse-names":false,"suffix":""},{"dropping-particle":"","family":"Sihombing","given":"Ruth Hanna Apriani","non-dropping-particle":"","parse-names":false,"suffix":""},{"dropping-particle":"","family":"Manalu","given":"Agnes Elisabeth","non-dropping-particle":"","parse-names":false,"suffix":""},{"dropping-particle":"","family":"Adriani","given":"Natasya","non-dropping-particle":"","parse-names":false,"suffix":""},{"dropping-particle":"","family":"Munthe","given":"Carlo","non-dropping-particle":"","parse-names":false,"suffix":""},{"dropping-particle":"","family":"Arianto","given":"Tomi","non-dropping-particle":"","parse-names":false,"suffix":""},{"dropping-particle":"","family":"Saih","given":"Saih","non-dropping-particle":"","parse-names":false,"suffix":""}],"container-title":"Social Integrity Journal","id":"ITEM-1","issue":"2","issued":{"date-parts":[["2024"]]},"page":"148-158","title":"Nilai Luhur dan Problematika dalam Adat Sulang Silima Suku Pak-Pak Pegagan Marga Matanari di Desa Hutagugung Kabupaten Dairi","type":"article-journal","volume":"1"},"uris":["http://www.mendeley.com/documents/?uuid=1dfbc844-757a-404d-a8aa-88f6f93e59e5"]}],"mendeley":{"formattedCitation":"Debora Matanari et al., “Nilai Luhur Dan Problematika Dalam Adat Sulang Silima Suku Pak-Pak Pegagan Marga Matanari Di Desa Hutagugung Kabupaten Dairi,” &lt;i&gt;Social Integrity Journal&lt;/i&gt; 1, no. 2 (2024): 148–58.","plainTextFormattedCitation":"Debora Matanari et al., “Nilai Luhur Dan Problematika Dalam Adat Sulang Silima Suku Pak-Pak Pegagan Marga Matanari Di Desa Hutagugung Kabupaten Dairi,” Social Integrity Journal 1, no. 2 (2024): 148–58.","previouslyFormattedCitation":"Debora Matanari et al., “Nilai Luhur Dan Problematika Dalam Adat Sulang Silima Suku Pak-Pak Pegagan Marga Matanari Di Desa Hutagugung Kabupaten Dairi,” &lt;i&gt;Social Integrity Journal&lt;/i&gt; 1, no. 2 (2024): 148–58."},"properties":{"noteIndex":7},"schema":"https://github.com/citation-style-language/schema/raw/master/csl-citation.json"}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Debora Matanari et al., “Nilai Luhur Dan Problematika Dalam Adat Sulang Silima Suku Pak-Pak Pegagan Marga Matanari Di Desa Hutagugung Kabupaten Dairi,” </w:t>
      </w:r>
      <w:r w:rsidRPr="00E31FCD">
        <w:rPr>
          <w:rFonts w:asciiTheme="majorBidi" w:hAnsiTheme="majorBidi" w:cstheme="majorBidi"/>
          <w:i/>
          <w:noProof/>
          <w:sz w:val="24"/>
          <w:szCs w:val="24"/>
        </w:rPr>
        <w:t>Social Integrity Journal</w:t>
      </w:r>
      <w:r w:rsidRPr="00E31FCD">
        <w:rPr>
          <w:rFonts w:asciiTheme="majorBidi" w:hAnsiTheme="majorBidi" w:cstheme="majorBidi"/>
          <w:noProof/>
          <w:sz w:val="24"/>
          <w:szCs w:val="24"/>
        </w:rPr>
        <w:t xml:space="preserve"> 1, no. 2 (2024): 148–58.</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16" w:history="1">
        <w:r w:rsidRPr="00E31FCD">
          <w:rPr>
            <w:rStyle w:val="Hyperlink"/>
            <w:rFonts w:asciiTheme="majorBidi" w:hAnsiTheme="majorBidi" w:cstheme="majorBidi"/>
            <w:color w:val="auto"/>
            <w:sz w:val="24"/>
            <w:szCs w:val="24"/>
          </w:rPr>
          <w:t>https://doi.org/10.63462/7m085r66</w:t>
        </w:r>
      </w:hyperlink>
    </w:p>
    <w:p w14:paraId="1A2FCE49"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{"citationItems":[{"id":"ITEM-1","itemData":{"author":[{"dropping-particle":"","family":"Rahayu","given":"Derita Prapti","non-dropping-particle":"","parse-names":false,"suffix":""},{"dropping-particle":"","family":"SH","given":"M","non-dropping-particle":"","parse-names":false,"suffix":""},{"dropping-particle":"","family":"Ke","given":"Sesi","non-dropping-particle":"","parse-names":false,"suffix":""}],"container-title":"Yogyakarta: Thafa Media","id":"ITEM-1","issued":{"date-parts":[["2020"]]},"title":"Metode Penelitian Hukum","type":"article-journal"},"uris":["http://www.mendeley.com/documents/?uuid=a0d2edc5-5c33-4072-99d7-93e63947674b"]}],"mendeley":{"formattedCitation":"Derita Prapti Rahayu, M SH, and Sesi Ke, “Metode Penelitian Hukum,” &lt;i&gt;Yogyakarta: Thafa Media&lt;/i&gt;, 2020.","plainTextFormattedCitation":"Derita Prapti Rahayu, M SH, and Sesi Ke, “Metode Penelitian Hukum,” Yogyakarta: Thafa Media, 2020.","previouslyFormattedCitation":"Derita Prapti Rahayu, M SH, and Sesi Ke, “Metode Penelitian Hukum,” &lt;i&gt;Yogyakarta: Thafa Media&lt;/i&gt;, 2020."},"properties":{"noteIndex":31},"schema":"https://github.com/citation-style-language/schema/raw/master/csl-citation.json"}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Derita Prapti Rahayu, M SH, and Sesi Ke, “Metode Penelitian Hukum,” </w:t>
      </w:r>
      <w:r w:rsidRPr="00E31FCD">
        <w:rPr>
          <w:rFonts w:asciiTheme="majorBidi" w:hAnsiTheme="majorBidi" w:cstheme="majorBidi"/>
          <w:i/>
          <w:noProof/>
        </w:rPr>
        <w:t>Yogyakarta: Thafa Media</w:t>
      </w:r>
      <w:r w:rsidRPr="00E31FCD">
        <w:rPr>
          <w:rFonts w:asciiTheme="majorBidi" w:hAnsiTheme="majorBidi" w:cstheme="majorBidi"/>
          <w:noProof/>
        </w:rPr>
        <w:t>, 2020.</w:t>
      </w:r>
      <w:r w:rsidRPr="00E31FCD">
        <w:rPr>
          <w:rFonts w:asciiTheme="majorBidi" w:hAnsiTheme="majorBidi" w:cstheme="majorBidi"/>
        </w:rPr>
        <w:fldChar w:fldCharType="end"/>
      </w:r>
    </w:p>
    <w:p w14:paraId="37097427" w14:textId="77777777" w:rsidR="00F40DE8" w:rsidRPr="00E31FCD" w:rsidRDefault="00F40DE8" w:rsidP="00F40DE8">
      <w:pPr>
        <w:pStyle w:val="FootnoteText"/>
        <w:ind w:left="720" w:hanging="720"/>
        <w:jc w:val="both"/>
        <w:rPr>
          <w:rFonts w:asciiTheme="majorBidi" w:hAnsiTheme="majorBidi" w:cstheme="majorBidi"/>
          <w:b/>
          <w:bCs/>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2988-5795","author":[{"dropping-particle":"","family":"Salsabila","given":"Destya","non-dropping-particle":"","parse-names":false,"suffix":""},{"dropping-particle":"","family":"Budhi","given":"Setia","non-dropping-particle":"","parse-names":false,"suffix":""}],"container-title":"Huma: Jurnal Sosiologi","id":"ITEM-1","issue":"1","issued":{"date-parts":[["2024"]]},"page":"29-39","title":"Antara stigma dan realitas sosial: Status janda dalam pandangan masyarakat desa","type":"article-journal","volume":"3"},"uris":["http://www.mendeley.com/documents/?uuid=87b307e9-bb71-420f-b90d-27fef1c4c874"]}],"mendeley":{"formattedCitation":"Destya Salsabila and Setia Budhi, “Antara Stigma Dan Realitas Sosial: Status Janda Dalam Pandangan Masyarakat Desa,” &lt;i&gt;Huma: Jurnal Sosiologi&lt;/i&gt; 3, no. 1 (2024): 29–39.","plainTextFormattedCitation":"Destya Salsabila and Setia Budhi, “Antara Stigma Dan Realitas Sosial: Status Janda Dalam Pandangan Masyarakat Desa,” Huma: Jurnal Sosiologi 3, no. 1 (2024): 29–39.","previouslyFormattedCitation":"Destya Salsabila and Setia Budhi, “Antara Stigma Dan Realitas Sosial: Status Janda Dalam Pandangan Masyarakat Desa,” &lt;i&gt;Huma: Jurnal Sosiologi&lt;/i&gt; 3, no. 1 (2024): 29–39."},"properties":{"noteIndex":38},"schema":"https://github.com/citation-style-language/schema/raw/master/csl-citation.json"}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Destya Salsabila and Setia Budhi, “Antara Stigma Dan Realitas Sosial: Status Janda Dalam Pandangan Masyarakat Desa,” </w:t>
      </w:r>
      <w:r w:rsidRPr="00E31FCD">
        <w:rPr>
          <w:rFonts w:asciiTheme="majorBidi" w:hAnsiTheme="majorBidi" w:cstheme="majorBidi"/>
          <w:i/>
          <w:noProof/>
          <w:sz w:val="24"/>
          <w:szCs w:val="24"/>
        </w:rPr>
        <w:t>Huma: Jurnal Sosiologi</w:t>
      </w:r>
      <w:r w:rsidRPr="00E31FCD">
        <w:rPr>
          <w:rFonts w:asciiTheme="majorBidi" w:hAnsiTheme="majorBidi" w:cstheme="majorBidi"/>
          <w:noProof/>
          <w:sz w:val="24"/>
          <w:szCs w:val="24"/>
        </w:rPr>
        <w:t xml:space="preserve"> 3, no. 1 (2024): 29–39.</w:t>
      </w:r>
      <w:r w:rsidRPr="00E31FCD">
        <w:rPr>
          <w:rFonts w:asciiTheme="majorBidi" w:hAnsiTheme="majorBidi" w:cstheme="majorBidi"/>
          <w:sz w:val="24"/>
          <w:szCs w:val="24"/>
        </w:rPr>
        <w:fldChar w:fldCharType="end"/>
      </w:r>
      <w:hyperlink r:id="rId17" w:history="1">
        <w:r w:rsidRPr="00E31FCD">
          <w:rPr>
            <w:rStyle w:val="Hyperlink"/>
            <w:rFonts w:asciiTheme="majorBidi" w:hAnsiTheme="majorBidi" w:cstheme="majorBidi"/>
            <w:color w:val="auto"/>
            <w:sz w:val="24"/>
            <w:szCs w:val="24"/>
          </w:rPr>
          <w:t>https://doi.org/10.20527/h-js.v3i1.210</w:t>
        </w:r>
      </w:hyperlink>
    </w:p>
    <w:p w14:paraId="00B9C766"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{"citationItems":[{"id":"ITEM-1","itemData":{"ISSN":"2798-1878","author":[{"dropping-particle":"","family":"Sitompul","given":"Diah Rahmadhaniah","non-dropping-particle":"","parse-names":false,"suffix":""}],"container-title":"Jurnal Budaya Etnika","id":"ITEM-1","issue":"1","issued":{"date-parts":[["2022"]]},"page":"19-28","title":"Fungsi Kekerabatan Kelompok Marga dalam Integrasi Ssosial pada Masyarakat di Dusun Jumamangkat Desa Pegagan Julu X Kabupaten Dairi","type":"article-journal","volume":"6"},"uris":["http://www.mendeley.com/documents/?uuid=db00b725-aec0-4672-92d5-c4636110b296"]}],"mendeley":{"formattedCitation":"Diah Rahmadhaniah Sitompul, “Fungsi Kekerabatan Kelompok Marga Dalam Integrasi Ssosial Pada Masyarakat Di Dusun Jumamangkat Desa Pegagan Julu X Kabupaten Dairi,” &lt;i&gt;Jurnal Budaya Etnika&lt;/i&gt; 6, no. 1 (2022): 19–28.","plainTextFormattedCitation":"Diah Rahmadhaniah Sitompul, “Fungsi Kekerabatan Kelompok Marga Dalam Integrasi Ssosial Pada Masyarakat Di Dusun Jumamangkat Desa Pegagan Julu X Kabupaten Dairi,” Jurnal Budaya Etnika 6, no. 1 (2022): 19–28.","previouslyFormattedCitation":"Diah Rahmadhaniah Sitompul, “Fungsi Kekerabatan Kelompok Marga Dalam Integrasi Ssosial Pada Masyarakat Di Dusun Jumamangkat Desa Pegagan Julu X Kabupaten Dairi,” &lt;i&gt;Jurnal Budaya Etnika&lt;/i&gt; 6, no. 1 (2022): 19–28."},"properties":{"noteIndex":8},"schema":"https://github.com/citation-style-language/schema/raw/master/csl-citation.json"}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Diah Rahmadhaniah Sitompul, “Fungsi Kekerabatan Kelompok Marga Dalam Integrasi Ssosial Pada Masyarakat Di Dusun Jumamangkat Desa Pegagan Julu X Kabupaten Dairi,” </w:t>
      </w:r>
      <w:r w:rsidRPr="00E31FCD">
        <w:rPr>
          <w:rFonts w:asciiTheme="majorBidi" w:hAnsiTheme="majorBidi" w:cstheme="majorBidi"/>
          <w:i/>
          <w:noProof/>
          <w:sz w:val="24"/>
          <w:szCs w:val="24"/>
        </w:rPr>
        <w:t>Jurnal Budaya Etnika</w:t>
      </w:r>
      <w:r w:rsidRPr="00E31FCD">
        <w:rPr>
          <w:rFonts w:asciiTheme="majorBidi" w:hAnsiTheme="majorBidi" w:cstheme="majorBidi"/>
          <w:noProof/>
          <w:sz w:val="24"/>
          <w:szCs w:val="24"/>
        </w:rPr>
        <w:t xml:space="preserve"> 6, no. 1 (2022): 19–28.</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18" w:history="1">
        <w:r w:rsidRPr="00E31FCD">
          <w:rPr>
            <w:rStyle w:val="Hyperlink"/>
            <w:rFonts w:asciiTheme="majorBidi" w:hAnsiTheme="majorBidi" w:cstheme="majorBidi"/>
            <w:color w:val="auto"/>
            <w:sz w:val="24"/>
            <w:szCs w:val="24"/>
          </w:rPr>
          <w:t>https://doi.org/10.26742/jbe.v6i1.2076</w:t>
        </w:r>
      </w:hyperlink>
    </w:p>
    <w:p w14:paraId="7223559D" w14:textId="77777777" w:rsidR="00F40DE8" w:rsidRPr="00F40DE8"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{"citationItems":[{"id":"ITEM-1","itemData":{"ISSN":"2621-5977","author":[{"dropping-particle":"","family":"Naila","given":"Elsa","non-dropping-particle":"","parse-names":false,"suffix":""},{"dropping-particle":"","family":"Chynta","given":"Nazwa Archika","non-dropping-particle":"","parse-names":false,"suffix":""},{"dropping-particle":"","family":"Supena","given":"Ahmad","non-dropping-particle":"","parse-names":false,"suffix":""}],"container-title":"Jurnal Basataka (JBT)","id":"ITEM-1","issue":"1","issued":{"date-parts":[["2025"]]},"page":"564-572","title":"DOMINASI PATRIARKI DAN PERLAWANAN PEREMPUAN: STUDI FEMINISME TERHADAP NOVEL YUNI","type":"article-journal","volume":"8"},"uris":["http://www.mendeley.com/documents/?uuid=bc0c555a-2a66-4f4c-a303-218e315bf0fa"]}],"mendeley":{"formattedCitation":"Elsa Naila, Nazwa Archika Chynta, and Ahmad Supena, “DOMINASI PATRIARKI DAN PERLAWANAN PEREMPUAN: STUDI FEMINISME TERHADAP NOVEL YUNI,” &lt;i&gt;Jurnal Basataka (JBT)&lt;/i&gt; 8, no. 1 (2025): 564–72.","plainTextFormattedCitation":"Elsa Naila, Nazwa Archika Chynta, and Ahmad Supena, “DOMINASI PATRIARKI DAN PERLAWANAN PEREMPUAN: STUDI FEMINISME TERHADAP NOVEL YUNI,” Jurnal Basataka (JBT) 8, no. 1 (2025): 564–72.","previouslyFormattedCitation":"Elsa Naila, Nazwa Archika Chynta, and Ahmad Supena, “DOMINASI PATRIARKI DAN PERLAWANAN PEREMPUAN: STUDI FEMINISME TERHADAP NOVEL YUNI,” &lt;i&gt;Jurnal Basataka (JBT)&lt;/i&gt; 8, no. 1 (2025): 564–72."},"properties":{"noteIndex":57},"schema":"https://github.com/citation-style-language/schema/raw/master/csl-citation.json"}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Elsa Naila, Nazwa Archika Chynta, and Ahmad Supena, “Dominasi Patriarki Dan Perlawanan Perempuan: Studi Feminisme Terhadap Novel Yuni,” </w:t>
      </w:r>
      <w:r w:rsidRPr="00E31FCD">
        <w:rPr>
          <w:rFonts w:asciiTheme="majorBidi" w:hAnsiTheme="majorBidi" w:cstheme="majorBidi"/>
          <w:i/>
          <w:noProof/>
        </w:rPr>
        <w:t>Jurnal Basataka (JBT)</w:t>
      </w:r>
      <w:r w:rsidRPr="00E31FCD">
        <w:rPr>
          <w:rFonts w:asciiTheme="majorBidi" w:hAnsiTheme="majorBidi" w:cstheme="majorBidi"/>
          <w:noProof/>
        </w:rPr>
        <w:t xml:space="preserve"> 8, no. 1 (2025): 564–72.</w:t>
      </w:r>
      <w:r w:rsidRPr="00E31FCD">
        <w:rPr>
          <w:rFonts w:asciiTheme="majorBidi" w:hAnsiTheme="majorBidi" w:cstheme="majorBidi"/>
        </w:rPr>
        <w:fldChar w:fldCharType="end"/>
      </w:r>
      <w:r w:rsidRPr="00E31FCD">
        <w:rPr>
          <w:rFonts w:asciiTheme="majorBidi" w:hAnsiTheme="majorBidi" w:cstheme="majorBidi"/>
        </w:rPr>
        <w:t xml:space="preserve"> </w:t>
      </w:r>
      <w:hyperlink r:id="rId19" w:history="1">
        <w:r w:rsidRPr="00F40DE8">
          <w:rPr>
            <w:rStyle w:val="Hyperlink"/>
            <w:rFonts w:asciiTheme="majorBidi" w:hAnsiTheme="majorBidi" w:cstheme="majorBidi"/>
            <w:color w:val="auto"/>
          </w:rPr>
          <w:t>https://doi.org/10.36277/basataka.v8i1.732</w:t>
        </w:r>
      </w:hyperlink>
    </w:p>
    <w:p w14:paraId="509865C4"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2599-3046","author":[{"dropping-particle":"","family":"Sumiati","given":"Endang","non-dropping-particle":"","parse-names":false,"suffix":""},{"dropping-particle":"","family":"Tekke","given":"Mustafa","non-dropping-particle":"","parse-names":false,"suffix":""}],"container-title":"Al-Hayat: Journal of Islamic Education","id":"ITEM-1","issue":"4","issued":{"date-parts":[["2024"]]},"page":"1399-1417","title":"Transformation of Islamic Higher Education: Policy Strategy, Challenges, and Opportunities","type":"article-journal","volume":"8"},"uris":["http://www.mendeley.com/documents/?uuid=6e271acc-18fe-4a3b-b245-3f3c3ab6d47c"]}],"mendeley":{"formattedCitation":"Endang Sumiati and Mustafa Tekke, “Transformation of Islamic Higher Education: Policy Strategy, Challenges, and Opportunities,” &lt;i&gt;Al-Hayat: Journal of Islamic Education&lt;/i&gt; 8, no. 4 (2024): 1399–1417.","plainTextFormattedCitation":"Endang Sumiati and Mustafa Tekke, “Transformation of Islamic Higher Education: Policy Strategy, Challenges, and Opportunities,” Al-Hayat: Journal of Islamic Education 8, no. 4 (2024): 1399–1417.","previouslyFormattedCitation":"Endang Sumiati and Mustafa Tekke, “Transformation of Islamic Higher Education: Policy Strategy, Challenges, and Opportunities,” &lt;i&gt;Al-Hayat: Journal of Islamic Education&lt;/i&gt; 8, no. 4 (2024): 1399–1417."},"properties":{"noteIndex":18},"schema":"https://github.com/citation-style-language/schema/raw/master/csl-citation.json"}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Endang Sumiati and Mustafa Tekke, “Transformation of Islamic Higher Education: Policy Strategy, Challenges, and Opportunities,” </w:t>
      </w:r>
      <w:r w:rsidRPr="00E31FCD">
        <w:rPr>
          <w:rFonts w:asciiTheme="majorBidi" w:hAnsiTheme="majorBidi" w:cstheme="majorBidi"/>
          <w:i/>
          <w:noProof/>
          <w:sz w:val="24"/>
          <w:szCs w:val="24"/>
        </w:rPr>
        <w:t>Al-Hayat: Journal of Islamic Education</w:t>
      </w:r>
      <w:r w:rsidRPr="00E31FCD">
        <w:rPr>
          <w:rFonts w:asciiTheme="majorBidi" w:hAnsiTheme="majorBidi" w:cstheme="majorBidi"/>
          <w:noProof/>
          <w:sz w:val="24"/>
          <w:szCs w:val="24"/>
        </w:rPr>
        <w:t xml:space="preserve"> 8, no. 4 (2024): 1399–1417.</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20" w:history="1">
        <w:r w:rsidRPr="00E31FCD">
          <w:rPr>
            <w:rStyle w:val="Hyperlink"/>
            <w:rFonts w:asciiTheme="majorBidi" w:hAnsiTheme="majorBidi" w:cstheme="majorBidi"/>
            <w:color w:val="auto"/>
            <w:sz w:val="24"/>
            <w:szCs w:val="24"/>
          </w:rPr>
          <w:t>https://doi.org/10.35723/ajie.v8i4.46</w:t>
        </w:r>
      </w:hyperlink>
    </w:p>
    <w:p w14:paraId="0184EDA5"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2085-1618","author":[{"dropping-particle":"","family":"Fadil","given":"Fadil","non-dropping-particle":"","parse-names":false,"suffix":""},{"dropping-particle":"","family":"Mazidah","given":"Zidna","non-dropping-particle":"","parse-names":false,"suffix":""},{"dropping-particle":"","family":"Mahmudi","given":"Zaenul","non-dropping-particle":"","parse-names":false,"suffix":""}],"container-title":"De Jure: Jurnal Hukum dan Syari'ah","id":"ITEM-1","issue":"1","issued":{"date-parts":[["2024"]]},"page":"1-20","publisher":"Unit P3M Fakultas Syariah UIN Maulana Malik Ibrahim Malang","title":"Fulfillment of women's rights after divorce dynamics and transformation in the legal journey","type":"article-journal","volume":"16"},"uris":["http://www.mendeley.com/documents/?uuid=cfb8470d-d4cc-40c4-a943-60ae013c6b2b"]}],"mendeley":{"formattedCitation":"Fadil Fadil, Zidna Mazidah, and Zaenul Mahmudi, “Fulfillment of Women’s Rights after Divorce Dynamics and Transformation in the Legal Journey,” &lt;i&gt;De Jure: Jurnal Hukum Dan Syari’ah&lt;/i&gt; 16, no. 1 (2024): 1–20.","plainTextFormattedCitation":"Fadil Fadil, Zidna Mazidah, and Zaenul Mahmudi, “Fulfillment of Women’s Rights after Divorce Dynamics and Transformation in the Legal Journey,” De Jure: Jurnal Hukum Dan Syari’ah 16, no. 1 (2024): 1–20."},"properties":{"noteIndex":36},"schema":"https://github.com/citation-style-language/schema/raw/master/csl-citation.json"}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Fadil Fadil, Zidna Mazidah, and Zaenul Mahmudi, “Fulfillment of Women’s Rights after Divorce Dynamics and Transformation in the Legal Journey,” </w:t>
      </w:r>
      <w:r w:rsidRPr="00E31FCD">
        <w:rPr>
          <w:rFonts w:asciiTheme="majorBidi" w:hAnsiTheme="majorBidi" w:cstheme="majorBidi"/>
          <w:i/>
          <w:noProof/>
          <w:sz w:val="24"/>
          <w:szCs w:val="24"/>
        </w:rPr>
        <w:t>De Jure: Jurnal Hukum Dan Syari’ah</w:t>
      </w:r>
      <w:r w:rsidRPr="00E31FCD">
        <w:rPr>
          <w:rFonts w:asciiTheme="majorBidi" w:hAnsiTheme="majorBidi" w:cstheme="majorBidi"/>
          <w:noProof/>
          <w:sz w:val="24"/>
          <w:szCs w:val="24"/>
        </w:rPr>
        <w:t xml:space="preserve"> 16, no. 1 (2024): 1–20.</w:t>
      </w:r>
      <w:r w:rsidRPr="00E31FCD">
        <w:rPr>
          <w:rFonts w:asciiTheme="majorBidi" w:hAnsiTheme="majorBidi" w:cstheme="majorBidi"/>
          <w:sz w:val="24"/>
          <w:szCs w:val="24"/>
        </w:rPr>
        <w:fldChar w:fldCharType="end"/>
      </w:r>
    </w:p>
    <w:p w14:paraId="639D7375"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2809-4034","author":[{"dropping-particle":"","family":"Faqihatin","given":"Faqihatin","non-dropping-particle":"","parse-names":false,"suffix":""},{"dropping-particle":"","family":"Faizah","given":"Nur","non-dropping-particle":"","parse-names":false,"suffix":""},{"dropping-particle":"","family":"Ainiyah","given":"Maslakhatul","non-dropping-particle":"","parse-names":false,"suffix":""}],"container-title":"KNOWLEDGE: Jurnal Inovasi Hasil Penelitian dan Pengembangan","id":"ITEM-1","issue":"2","issued":{"date-parts":[["2025"]]},"page":"417-424","title":"PEMBERDAYAAN PEREMPUAN KEPALA KELUARGA DALAM PENINGKATAN EKONOMI KELUARGA MELALUI PROGRAM BUNDA PUSPA","type":"article-journal","volume":"5"},"uris":["http://www.mendeley.com/documents/?uuid=ba850d2a-9f26-416f-ae43-02677ca4afe2"]}],"mendeley":{"formattedCitation":"Faqihatin Faqihatin, Nur Faizah, and Maslakhatul Ainiyah, “PEMBERDAYAAN PEREMPUAN KEPALA KELUARGA DALAM PENINGKATAN EKONOMI KELUARGA MELALUI PROGRAM BUNDA PUSPA,” &lt;i&gt;KNOWLEDGE: Jurnal Inovasi Hasil Penelitian Dan Pengembangan&lt;/i&gt; 5, no. 2 (2025): 417–24.","plainTextFormattedCitation":"Faqihatin Faqihatin, Nur Faizah, and Maslakhatul Ainiyah, “PEMBERDAYAAN PEREMPUAN KEPALA KELUARGA DALAM PENINGKATAN EKONOMI KELUARGA MELALUI PROGRAM BUNDA PUSPA,” KNOWLEDGE: Jurnal Inovasi Hasil Penelitian Dan Pengembangan 5, no. 2 (2025): 417–24.","previouslyFormattedCitation":"Faqihatin Faqihatin, Nur Faizah, and Maslakhatul Ainiyah, “PEMBERDAYAAN PEREMPUAN KEPALA KELUARGA DALAM PENINGKATAN EKONOMI KELUARGA MELALUI PROGRAM BUNDA PUSPA,” &lt;i&gt;KNOWLEDGE: Jurnal Inovasi Hasil Penelitian Dan Pengembangan&lt;/i&gt; 5, no. 2 (2025): 417–24."},"properties":{"noteIndex":14},"schema":"https://github.com/citation-style-language/schema/raw/master/csl-citation.json"}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Faqihatin Faqihatin, Nur Faizah, and Maslakhatul Ainiyah, “Pemberdayaan Perempuan Kepala Keluarga Dalam Peningkatan Ekonomi Keluarga Melalui Program Bunda Puspa,” </w:t>
      </w:r>
      <w:r w:rsidRPr="00E31FCD">
        <w:rPr>
          <w:rFonts w:asciiTheme="majorBidi" w:hAnsiTheme="majorBidi" w:cstheme="majorBidi"/>
          <w:i/>
          <w:noProof/>
          <w:sz w:val="24"/>
          <w:szCs w:val="24"/>
        </w:rPr>
        <w:t>KNOWLEDGE: Jurnal Inovasi Hasil Penelitian Dan Pengembangan</w:t>
      </w:r>
      <w:r w:rsidRPr="00E31FCD">
        <w:rPr>
          <w:rFonts w:asciiTheme="majorBidi" w:hAnsiTheme="majorBidi" w:cstheme="majorBidi"/>
          <w:noProof/>
          <w:sz w:val="24"/>
          <w:szCs w:val="24"/>
        </w:rPr>
        <w:t xml:space="preserve"> 5, no. 2 (2025): 417–24.</w:t>
      </w:r>
      <w:r w:rsidRPr="00E31FCD">
        <w:rPr>
          <w:rFonts w:asciiTheme="majorBidi" w:hAnsiTheme="majorBidi" w:cstheme="majorBidi"/>
          <w:sz w:val="24"/>
          <w:szCs w:val="24"/>
        </w:rPr>
        <w:fldChar w:fldCharType="end"/>
      </w:r>
    </w:p>
    <w:p w14:paraId="2A634944"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2502-3209","author":[{"dropping-particle":"","family":"Muntaqo","given":"Firman","non-dropping-particle":"","parse-names":false,"suffix":""},{"dropping-particle":"","family":"Mashudi","given":"Mashudi","non-dropping-particle":"","parse-names":false,"suffix":""},{"dropping-particle":"","family":"Pratama","given":"Alip Dian","non-dropping-particle":"","parse-names":false,"suffix":""},{"dropping-particle":"","family":"Ilmi","given":"Abdullah Rosikh Fil","non-dropping-particle":"","parse-names":false,"suffix":""},{"dropping-particle":"","family":"Rumesten","given":"Iza","non-dropping-particle":"","parse-names":false,"suffix":""}],"container-title":"Al-Ahkam","id":"ITEM-1","issue":"2","issued":{"date-parts":[["2025"]]},"page":"287-312","title":"The Transformation of Land Law in Indonesia: From Commodification to Maqāṣid and Social Justice","type":"article-journal","volume":"35"},"uris":["http://www.mendeley.com/documents/?uuid=ce70fc70-e6a9-429a-a932-a603ef9d501e"]}],"mendeley":{"formattedCitation":"Firman Muntaqo et al., “The Transformation of Land Law in Indonesia: From Commodification to Maqāṣid and Social Justice,” &lt;i&gt;Al-Ahkam&lt;/i&gt; 35, no. 2 (2025): 287–312.","plainTextFormattedCitation":"Firman Muntaqo et al., “The Transformation of Land Law in Indonesia: From Commodification to Maqāṣid and Social Justice,” Al-Ahkam 35, no. 2 (2025): 287–312.","previouslyFormattedCitation":"Firman Muntaqo et al., “The Transformation of Land Law in Indonesia: From Commodification to Maqāṣid and Social Justice,” &lt;i&gt;Al-Ahkam&lt;/i&gt; 35, no. 2 (2025): 287–312."},"properties":{"noteIndex":26},"schema":"https://github.com/citation-style-language/schema/raw/master/csl-citation.json"}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Firman Muntaqo et al., “The Transformation of Land Law in Indonesia: From Commodification to Maqāṣid and Social Justice,” </w:t>
      </w:r>
      <w:r w:rsidRPr="00E31FCD">
        <w:rPr>
          <w:rFonts w:asciiTheme="majorBidi" w:hAnsiTheme="majorBidi" w:cstheme="majorBidi"/>
          <w:i/>
          <w:noProof/>
          <w:sz w:val="24"/>
          <w:szCs w:val="24"/>
        </w:rPr>
        <w:t>Al-Ahkam</w:t>
      </w:r>
      <w:r w:rsidRPr="00E31FCD">
        <w:rPr>
          <w:rFonts w:asciiTheme="majorBidi" w:hAnsiTheme="majorBidi" w:cstheme="majorBidi"/>
          <w:noProof/>
          <w:sz w:val="24"/>
          <w:szCs w:val="24"/>
        </w:rPr>
        <w:t xml:space="preserve"> 35, no. 2 (2025): 287–312.</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21" w:history="1">
        <w:r w:rsidRPr="00E31FCD">
          <w:rPr>
            <w:rStyle w:val="Hyperlink"/>
            <w:rFonts w:asciiTheme="majorBidi" w:hAnsiTheme="majorBidi" w:cstheme="majorBidi"/>
            <w:color w:val="auto"/>
            <w:sz w:val="24"/>
            <w:szCs w:val="24"/>
          </w:rPr>
          <w:t>https://doi.org/10.21580/ahkam.2025.35.2.25605</w:t>
        </w:r>
      </w:hyperlink>
    </w:p>
    <w:p w14:paraId="3DFE7B03"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{"citationItems":[{"id":"ITEM-1","itemData":{"ISSN":"2828-0245","author":[{"dropping-particle":"","family":"Purnamasari","given":"Gazlina Nur","non-dropping-particle":"","parse-names":false,"suffix":""}],"container-title":"SPECTRUM: Journal of Gender and Children Studies","id":"ITEM-1","issue":"1","issued":{"date-parts":[["2025"]]},"page":"43-58","title":"Mengatasi Ketimpangan Gender dengan Keterlibatan Ayah di Budaya Patriarkis Indonesia","type":"article-journal","volume":"5"},"uris":["http://www.mendeley.com/documents/?uuid=a0d9cdf2-4e9d-4613-8aff-7209a2d66664"]}],"mendeley":{"formattedCitation":"Gazlina Nur Purnamasari, “Mengatasi Ketimpangan Gender Dengan Keterlibatan Ayah Di Budaya Patriarkis Indonesia,” &lt;i&gt;SPECTRUM: Journal of Gender and Children Studies&lt;/i&gt; 5, no. 1 (2025): 43–58.","plainTextFormattedCitation":"Gazlina Nur Purnamasari, “Mengatasi Ketimpangan Gender Dengan Keterlibatan Ayah Di Budaya Patriarkis Indonesia,” SPECTRUM: Journal of Gender and Children Studies 5, no. 1 (2025): 43–58.","previouslyFormattedCitation":"Gazlina Nur Purnamasari, “Mengatasi Ketimpangan Gender Dengan Keterlibatan Ayah Di Budaya Patriarkis Indonesia,” &lt;i&gt;SPECTRUM: Journal of Gender and Children Studies&lt;/i&gt; 5, no. 1 (2025): 43–58."},"properties":{"noteIndex":81},"schema":"https://github.com/citation-style-language/schema/raw/master/csl-citation.json"}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Gazlina Nur Purnamasari, “Mengatasi Ketimpangan Gender Dengan Keterlibatan Ayah Di Budaya Patriarkis Indonesia,” </w:t>
      </w:r>
      <w:r w:rsidRPr="00E31FCD">
        <w:rPr>
          <w:rFonts w:asciiTheme="majorBidi" w:hAnsiTheme="majorBidi" w:cstheme="majorBidi"/>
          <w:i/>
          <w:noProof/>
        </w:rPr>
        <w:t>SPECTRUM: Journal of Gender and Children Studies</w:t>
      </w:r>
      <w:r w:rsidRPr="00E31FCD">
        <w:rPr>
          <w:rFonts w:asciiTheme="majorBidi" w:hAnsiTheme="majorBidi" w:cstheme="majorBidi"/>
          <w:noProof/>
        </w:rPr>
        <w:t xml:space="preserve"> 5, no. 1 (2025): 43–58.</w:t>
      </w:r>
      <w:r w:rsidRPr="00E31FCD">
        <w:rPr>
          <w:rFonts w:asciiTheme="majorBidi" w:hAnsiTheme="majorBidi" w:cstheme="majorBidi"/>
        </w:rPr>
        <w:fldChar w:fldCharType="end"/>
      </w:r>
      <w:r w:rsidRPr="00E31FCD">
        <w:rPr>
          <w:rFonts w:asciiTheme="majorBidi" w:hAnsiTheme="majorBidi" w:cstheme="majorBidi"/>
        </w:rPr>
        <w:t xml:space="preserve"> </w:t>
      </w:r>
      <w:hyperlink r:id="rId22" w:history="1">
        <w:r w:rsidRPr="00E31FCD">
          <w:rPr>
            <w:rStyle w:val="Hyperlink"/>
            <w:rFonts w:asciiTheme="majorBidi" w:hAnsiTheme="majorBidi" w:cstheme="majorBidi"/>
            <w:color w:val="auto"/>
          </w:rPr>
          <w:t>https://doi.org/10.30984/spectrum.v5i1.1400</w:t>
        </w:r>
      </w:hyperlink>
    </w:p>
    <w:p w14:paraId="66C1FC9A"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{"citationItems":[{"id":"ITEM-1","itemData":{"DOI":"10.1016/j.cpa.2023.102625","ISSN":"10959955","abstract":"There are fewer women in the upper echelons of accounting academia in Italy than in other European countries, and fewer female full professors than in other disciplines at Italian universities. The purpose of this research is to investigate the barriers experienced by Italian women in accounting academia and contributes with suggestions to alleviate these. The paper adopts a phenomenographic approach to identify the ways in which a group of 24 Italian women, at different hierarchical levels, experienced barriers to their academic careers. The study identifies different categories of barriers that combine to prevent female perspectives and progression within accounting academia. Underpinning these barriers is a patriarchal culture that has a significant influence on women's careers in academia. The patriarchal structure in both the workplace and society, engenders difficulties in maintaining work-life balance, and shapes male and female roles in the academic workplace. The paper contributes to the literature on gender in the academic accounting discipline, exploring women's experiences of accounting academia, linking findings of a persistence of patriarchy, and arguing for a more feminist academic organisation. This is the first research in this area to use a phenomenographic method to investigate the barriers to career progression for Italian female academics in accounting and in examining the experience of women at different career levels, including those who have left accounting academia. The paper contributes to research on women's barriers to career advancement, bringing new insights to the understanding of the gender gap in accounting academia and in making suggestions for structural change.","author":[{"dropping-particle":"","family":"Galizzi","given":"Giovanna","non-dropping-particle":"","parse-names":false,"suffix":""},{"dropping-particle":"","family":"McBride","given":"Karen","non-dropping-particle":"","parse-names":false,"suffix":""},{"dropping-particle":"","family":"Siboni","given":"Benedetta","non-dropping-particle":"","parse-names":false,"suffix":""}],"container-title":"Critical Perspectives on Accounting","id":"ITEM-1","issued":{"date-parts":[["2024"]]},"page":"1-19","publisher":"Elsevier Ltd","title":"Patriarchy persists: Experiences of barriers to women's career progression in Italian accounting academia","type":"article-journal","volume":"99"},"uris":["http://www.mendeley.com/documents/?uuid=f9576ab8-6ba2-42e1-b814-b934757179cd","http://www.mendeley.com/documents/?uuid=78450330-ec67-4342-840e-5a6ca93c50d6"]}],"mendeley":{"formattedCitation":"Giovanna Galizzi, Karen McBride, and Benedetta Siboni, “Patriarchy Persists: Experiences of Barriers to Women’s Career Progression in Italian Accounting Academia,” &lt;i&gt;Critical Perspectives on Accounting&lt;/i&gt; 99 (2024): 1–19, https://doi.org/10.1016/j.cpa.2023.102625.","plainTextFormattedCitation":"Giovanna Galizzi, Karen McBride, and Benedetta Siboni, “Patriarchy Persists: Experiences of Barriers to Women’s Career Progression in Italian Accounting Academia,” Critical Perspectives on Accounting 99 (2024): 1–19, https://doi.org/10.1016/j.cpa.2023.102625.","previouslyFormattedCitation":"Giovanna Galizzi, Karen McBride, and Benedetta Siboni, “Patriarchy Persists: Experiences of Barriers to Women’s Career Progression in Italian Accounting Academia,” &lt;i&gt;Critical Perspectives on Accounting&lt;/i&gt; 99 (2024): 1–19, https://doi.org/10.1016/j.cpa.2023.102625."},"properties":{"noteIndex":52},"schema":"https://github.com/citation-style-language/schema/raw/master/csl-citation.json"}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Giovanna Galizzi, Karen McBride, and Benedetta Siboni, “Patriarchy Persists: Experiences of Barriers to Women’s Career Progression in Italian Accounting Academia,” </w:t>
      </w:r>
      <w:r w:rsidRPr="00E31FCD">
        <w:rPr>
          <w:rFonts w:asciiTheme="majorBidi" w:hAnsiTheme="majorBidi" w:cstheme="majorBidi"/>
          <w:i/>
          <w:noProof/>
          <w:sz w:val="24"/>
          <w:szCs w:val="24"/>
        </w:rPr>
        <w:t>Critical Perspectives on Accounting</w:t>
      </w:r>
      <w:r w:rsidRPr="00E31FCD">
        <w:rPr>
          <w:rFonts w:asciiTheme="majorBidi" w:hAnsiTheme="majorBidi" w:cstheme="majorBidi"/>
          <w:noProof/>
          <w:sz w:val="24"/>
          <w:szCs w:val="24"/>
        </w:rPr>
        <w:t xml:space="preserve"> 99 (2024): 1–19, https://doi.org/10.1016/j.cpa.2023.102625.</w:t>
      </w:r>
      <w:r w:rsidRPr="00E31FCD">
        <w:rPr>
          <w:rFonts w:asciiTheme="majorBidi" w:hAnsiTheme="majorBidi" w:cstheme="majorBidi"/>
          <w:sz w:val="24"/>
          <w:szCs w:val="24"/>
        </w:rPr>
        <w:fldChar w:fldCharType="end"/>
      </w:r>
    </w:p>
    <w:p w14:paraId="3B0489F8"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lastRenderedPageBreak/>
        <w:fldChar w:fldCharType="begin" w:fldLock="1"/>
      </w:r>
      <w:r w:rsidRPr="00E31FCD">
        <w:rPr>
          <w:rFonts w:asciiTheme="majorBidi" w:hAnsiTheme="majorBidi" w:cstheme="majorBidi"/>
          <w:sz w:val="24"/>
          <w:szCs w:val="24"/>
        </w:rPr>
        <w:instrText>ADDIN CSL_CITATION {"citationItems":[{"id":"ITEM-1","itemData":{"DOI":"10.1016/j.cpa.2023.102625","ISSN":"10959955","abstract":"There are fewer women in the upper echelons of accounting academia in Italy than in other European countries, and fewer female full professors than in other disciplines at Italian universities. The purpose of this research is to investigate the barriers experienced by Italian women in accounting academia and contributes with suggestions to alleviate these. The paper adopts a phenomenographic approach to identify the ways in which a group of 24 Italian women, at different hierarchical levels, experienced barriers to their academic careers. The study identifies different categories of barriers that combine to prevent female perspectives and progression within accounting academia. Underpinning these barriers is a patriarchal culture that has a significant influence on women's careers in academia. The patriarchal structure in both the workplace and society, engenders difficulties in maintaining work-life balance, and shapes male and female roles in the academic workplace. The paper contributes to the literature on gender in the academic accounting discipline, exploring women's experiences of accounting academia, linking findings of a persistence of patriarchy, and arguing for a more feminist academic organisation. This is the first research in this area to use a phenomenographic method to investigate the barriers to career progression for Italian female academics in accounting and in examining the experience of women at different career levels, including those who have left accounting academia. The paper contributes to research on women's barriers to career advancement, bringing new insights to the understanding of the gender gap in accounting academia and in making suggestions for structural change.","author":[{"dropping-particle":"","family":"Galizzi","given":"Giovanna","non-dropping-particle":"","parse-names":false,"suffix":""},{"dropping-particle":"","family":"McBride","given":"Karen","non-dropping-particle":"","parse-names":false,"suffix":""},{"dropping-particle":"","family":"Siboni","given":"Benedetta","non-dropping-particle":"","parse-names":false,"suffix":""}],"container-title":"Critical Perspectives on Accounting","id":"ITEM-1","issued":{"date-parts":[["2024"]]},"page":"1-19","publisher":"Elsevier Ltd","title":"Patriarchy persists: Experiences of barriers to women's career progression in Italian accounting academia","type":"article-journal","volume":"99"},"uris":["http://www.mendeley.com/documents/?uuid=f9576ab8-6ba2-42e1-b814-b934757179cd","http://www.mendeley.com/documents/?uuid=78450330-ec67-4342-840e-5a6ca93c50d6"]}],"mendeley":{"formattedCitation":"Giovanna Galizzi, Karen McBride, and Benedetta Siboni, “Patriarchy Persists: Experiences of Barriers to Women’s Career Progression in Italian Accounting Academia,” &lt;i&gt;Critical Perspectives on Accounting&lt;/i&gt; 99 (2024): 1–19, https://doi.org/10.1016/j.cpa.2023.102625.","plainTextFormattedCitation":"Giovanna Galizzi, Karen McBride, and Benedetta Siboni, “Patriarchy Persists: Experiences of Barriers to Women’s Career Progression in Italian Accounting Academia,” Critical Perspectives on Accounting 99 (2024): 1–19, https://doi.org/10.1016/j.cpa.2023.102625.","previouslyFormattedCitation":"Giovanna Galizzi, Karen McBride, and Benedetta Siboni, “Patriarchy Persists: Experiences of Barriers to Women’s Career Progression in Italian Accounting Academia,” &lt;i&gt;Critical Perspectives on Accounting&lt;/i&gt; 99 (2024): 1–19, https://doi.org/10.1016/j.cpa.2023.102625."},"properties":{"noteIndex":52},"schema":"https://github.com/citation-style-language/schema/raw/master/csl-citation.json"}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Giovanna Galizzi, Karen McBride, and Benedetta Siboni, “Patriarchy Persists: Experiences of Barriers to Women’s Career Progression in Italian Accounting Academia,” </w:t>
      </w:r>
      <w:r w:rsidRPr="00E31FCD">
        <w:rPr>
          <w:rFonts w:asciiTheme="majorBidi" w:hAnsiTheme="majorBidi" w:cstheme="majorBidi"/>
          <w:i/>
          <w:noProof/>
          <w:sz w:val="24"/>
          <w:szCs w:val="24"/>
        </w:rPr>
        <w:t>Critical Perspectives on Accounting</w:t>
      </w:r>
      <w:r w:rsidRPr="00E31FCD">
        <w:rPr>
          <w:rFonts w:asciiTheme="majorBidi" w:hAnsiTheme="majorBidi" w:cstheme="majorBidi"/>
          <w:noProof/>
          <w:sz w:val="24"/>
          <w:szCs w:val="24"/>
        </w:rPr>
        <w:t xml:space="preserve"> 99 (2024): 1–19, https://doi.org/10.1016/j.cpa.2023.102625.</w:t>
      </w:r>
      <w:r w:rsidRPr="00E31FCD">
        <w:rPr>
          <w:rFonts w:asciiTheme="majorBidi" w:hAnsiTheme="majorBidi" w:cstheme="majorBidi"/>
          <w:sz w:val="24"/>
          <w:szCs w:val="24"/>
        </w:rPr>
        <w:fldChar w:fldCharType="end"/>
      </w:r>
    </w:p>
    <w:p w14:paraId="382DC9C2"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{"citationItems":[{"id":"ITEM-1","itemData":{"ISSN":"2502-3209","author":[{"dropping-particle":"","family":"Muzainah","given":"Gusti","non-dropping-particle":"","parse-names":false,"suffix":""},{"dropping-particle":"","family":"Mansyuroh","given":"Firqah Annajiyah","non-dropping-particle":"","parse-names":false,"suffix":""},{"dropping-particle":"","family":"Rusdiyah","given":"Rusdiyah","non-dropping-particle":"","parse-names":false,"suffix":""},{"dropping-particle":"","family":"Azhar","given":"Alias","non-dropping-particle":"","parse-names":false,"suffix":""}],"container-title":"Al-Ahkam","id":"ITEM-1","issue":"2","issued":{"date-parts":[["2025"]]},"page":"371-400","title":"Female Circumcision in Banjar Culture: Navigating Customary Law, Islamic Law, Human Rights","type":"article-journal","volume":"35"},"uris":["http://www.mendeley.com/documents/?uuid=84a17962-0f87-4d44-840f-771405ddf684"]}],"mendeley":{"formattedCitation":"Gusti Muzainah et al., “Female Circumcision in Banjar Culture: Navigating Customary Law, Islamic Law, Human Rights,” &lt;i&gt;Al-Ahkam&lt;/i&gt; 35, no. 2 (2025): 371–400.","plainTextFormattedCitation":"Gusti Muzainah et al., “Female Circumcision in Banjar Culture: Navigating Customary Law, Islamic Law, Human Rights,” Al-Ahkam 35, no. 2 (2025): 371–400.","previouslyFormattedCitation":"Gusti Muzainah et al., “Female Circumcision in Banjar Culture: Navigating Customary Law, Islamic Law, Human Rights,” &lt;i&gt;Al-Ahkam&lt;/i&gt; 35, no. 2 (2025): 371–400."},"properties":{"noteIndex":27},"schema":"https://github.com/citation-style-language/schema/raw/master/csl-citation.json"}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Gusti Muzainah et al., “Female Circumcision in Banjar Culture: Navigating Customary Law, Islamic Law, Human Rights,” </w:t>
      </w:r>
      <w:r w:rsidRPr="00E31FCD">
        <w:rPr>
          <w:rFonts w:asciiTheme="majorBidi" w:hAnsiTheme="majorBidi" w:cstheme="majorBidi"/>
          <w:i/>
          <w:noProof/>
          <w:sz w:val="24"/>
          <w:szCs w:val="24"/>
        </w:rPr>
        <w:t>Al-Ahkam</w:t>
      </w:r>
      <w:r w:rsidRPr="00E31FCD">
        <w:rPr>
          <w:rFonts w:asciiTheme="majorBidi" w:hAnsiTheme="majorBidi" w:cstheme="majorBidi"/>
          <w:noProof/>
          <w:sz w:val="24"/>
          <w:szCs w:val="24"/>
        </w:rPr>
        <w:t xml:space="preserve"> 35, no. 2 (2025): 371–400.</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23" w:history="1">
        <w:r w:rsidRPr="00E31FCD">
          <w:rPr>
            <w:rStyle w:val="Hyperlink"/>
            <w:rFonts w:asciiTheme="majorBidi" w:hAnsiTheme="majorBidi" w:cstheme="majorBidi"/>
            <w:color w:val="auto"/>
            <w:sz w:val="24"/>
            <w:szCs w:val="24"/>
          </w:rPr>
          <w:t>https://doi.org/10.21580/ahkam.2025.35.2.27814</w:t>
        </w:r>
      </w:hyperlink>
    </w:p>
    <w:p w14:paraId="4FA1E913"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{"citationItems":[{"id":"ITEM-1","itemData":{"author":[{"dropping-particle":"","family":"Munthe","given":"Hadriana Marhaeni","non-dropping-particle":"","parse-names":false,"suffix":""},{"dropping-particle":"","family":"Hafi","given":"Bisru","non-dropping-particle":"","parse-names":false,"suffix":""}],"id":"ITEM-1","issued":{"date-parts":[["0"]]},"title":"PEMBERDAYAAN GENDER PADA TOKOH ADAT UNTUK MENDUKUNG PERAN PEREMPUAN DALAM PEMBAGUNAN DI DESA PEGAGAN JULU VIII, SUMBUL, KABUPATEN DAIRI SUMATERA UTARA","type":"article-journal"},"uris":["http://www.mendeley.com/documents/?uuid=6da981fb-5512-47e9-b591-33bf7fd1c240"]}],"mendeley":{"formattedCitation":"Hadriana Marhaeni Munthe and Bisru Hafi, “PEMBERDAYAAN GENDER PADA TOKOH ADAT UNTUK MENDUKUNG PERAN PEREMPUAN DALAM PEMBAGUNAN DI DESA PEGAGAN JULU VIII, SUMBUL, KABUPATEN DAIRI SUMATERA UTARA,” n.d.","plainTextFormattedCitation":"Hadriana Marhaeni Munthe and Bisru Hafi, “PEMBERDAYAAN GENDER PADA TOKOH ADAT UNTUK MENDUKUNG PERAN PEREMPUAN DALAM PEMBAGUNAN DI DESA PEGAGAN JULU VIII, SUMBUL, KABUPATEN DAIRI SUMATERA UTARA,” n.d.","previouslyFormattedCitation":"Hadriana Marhaeni Munthe and Bisru Hafi, “PEMBERDAYAAN GENDER PADA TOKOH ADAT UNTUK MENDUKUNG PERAN PEREMPUAN DALAM PEMBAGUNAN DI DESA PEGAGAN JULU VIII, SUMBUL, KABUPATEN DAIRI SUMATERA UTARA,” n.d."},"properties":{"noteIndex":9},"schema":"https://github.com/citation-style-language/schema/raw/master/csl-citation.json"}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Hadriana Marhaeni Munthe and Bisru Hafi, “Pemberdayaan Gender Pada Tokoh Adat Untuk Mendukung Peran Perempuan Dalam Pembagunan Di Desa Pegagan Julu Viii, Sumbul, Kabupaten Dairi Sumatera Utara,” n.d.</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24" w:history="1">
        <w:r w:rsidRPr="00E31FCD">
          <w:rPr>
            <w:rStyle w:val="Hyperlink"/>
            <w:rFonts w:asciiTheme="majorBidi" w:hAnsiTheme="majorBidi" w:cstheme="majorBidi"/>
            <w:color w:val="auto"/>
            <w:sz w:val="24"/>
            <w:szCs w:val="24"/>
          </w:rPr>
          <w:t>https://doi.org/10.32734/abdimastalenta.v3i2.4163</w:t>
        </w:r>
      </w:hyperlink>
    </w:p>
    <w:p w14:paraId="11775054"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{"citationItems":[{"id":"ITEM-1","itemData":{"ISSN":"2614-3135","author":[{"dropping-particle":"","family":"Munthe","given":"Hadriana Marhaeni","non-dropping-particle":"","parse-names":false,"suffix":""},{"dropping-particle":"","family":"Daulay","given":"Harmona","non-dropping-particle":"","parse-names":false,"suffix":""},{"dropping-particle":"","family":"Napsiah","given":"Napsiah","non-dropping-particle":"","parse-names":false,"suffix":""}],"container-title":"KURIOS (Jurnal Teologi dan Pendidikan Agama Kristen)","id":"ITEM-1","issue":"2","issued":{"date-parts":[["2020"]]},"page":"380-396","title":"Kebertahanan Janda Kristen Batak Toba dalam Hidup Menjanda Setelah Cerai Mati dan Cerai Hidup","type":"article-journal","volume":"6"},"uris":["http://www.mendeley.com/documents/?uuid=4e436c0a-776a-4dad-8ab8-8c329d39b724"]}],"mendeley":{"formattedCitation":"Hadriana Marhaeni Munthe, Harmona Daulay, and Napsiah Napsiah, “Kebertahanan Janda Kristen Batak Toba Dalam Hidup Menjanda Setelah Cerai Mati Dan Cerai Hidup,” &lt;i&gt;KURIOS (Jurnal Teologi Dan Pendidikan Agama Kristen)&lt;/i&gt; 6, no. 2 (2020): 380–96.","plainTextFormattedCitation":"Hadriana Marhaeni Munthe, Harmona Daulay, and Napsiah Napsiah, “Kebertahanan Janda Kristen Batak Toba Dalam Hidup Menjanda Setelah Cerai Mati Dan Cerai Hidup,” KURIOS (Jurnal Teologi Dan Pendidikan Agama Kristen) 6, no. 2 (2020): 380–96.","previouslyFormattedCitation":"Hadriana Marhaeni Munthe, Harmona Daulay, and Napsiah Napsiah, “Kebertahanan Janda Kristen Batak Toba Dalam Hidup Menjanda Setelah Cerai Mati Dan Cerai Hidup,” &lt;i&gt;KURIOS (Jurnal Teologi Dan Pendidikan Agama Kristen)&lt;/i&gt; 6, no. 2 (2020): 380–96."},"properties":{"noteIndex":48},"schema":"https://github.com/citation-style-language/schema/raw/master/csl-citation.json"}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Hadriana Marhaeni Munthe, Harmona Daulay, and Napsiah Napsiah, “Kebertahanan Janda Kristen Batak Toba Dalam Hidup Menjanda Setelah Cerai Mati Dan Cerai Hidup,” </w:t>
      </w:r>
      <w:r w:rsidRPr="00E31FCD">
        <w:rPr>
          <w:rFonts w:asciiTheme="majorBidi" w:hAnsiTheme="majorBidi" w:cstheme="majorBidi"/>
          <w:i/>
          <w:noProof/>
          <w:sz w:val="24"/>
          <w:szCs w:val="24"/>
        </w:rPr>
        <w:t>KURIOS (Jurnal Teologi Dan Pendidikan Agama Kristen)</w:t>
      </w:r>
      <w:r w:rsidRPr="00E31FCD">
        <w:rPr>
          <w:rFonts w:asciiTheme="majorBidi" w:hAnsiTheme="majorBidi" w:cstheme="majorBidi"/>
          <w:noProof/>
          <w:sz w:val="24"/>
          <w:szCs w:val="24"/>
        </w:rPr>
        <w:t xml:space="preserve"> 6, no. 2 (2020): 380–96.</w:t>
      </w:r>
      <w:r w:rsidRPr="00E31FCD">
        <w:rPr>
          <w:rFonts w:asciiTheme="majorBidi" w:hAnsiTheme="majorBidi" w:cstheme="majorBidi"/>
          <w:sz w:val="24"/>
          <w:szCs w:val="24"/>
        </w:rPr>
        <w:fldChar w:fldCharType="end"/>
      </w:r>
    </w:p>
    <w:p w14:paraId="29515280"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{"citationItems":[{"id":"ITEM-1","itemData":{"ISSN":"2614-3135","author":[{"dropping-particle":"","family":"Munthe","given":"Hadriana Marhaeni","non-dropping-particle":"","parse-names":false,"suffix":""},{"dropping-particle":"","family":"Daulay","given":"Harmona","non-dropping-particle":"","parse-names":false,"suffix":""},{"dropping-particle":"","family":"Napsiah","given":"Napsiah","non-dropping-particle":"","parse-names":false,"suffix":""}],"container-title":"KURIOS (Jurnal Teologi dan Pendidikan Agama Kristen)","id":"ITEM-1","issue":"2","issued":{"date-parts":[["2020"]]},"page":"380-396","title":"Kebertahanan Janda Kristen Batak Toba dalam Hidup Menjanda Setelah Cerai Mati dan Cerai Hidup","type":"article-journal","volume":"6"},"uris":["http://www.mendeley.com/documents/?uuid=4e436c0a-776a-4dad-8ab8-8c329d39b724"]}],"mendeley":{"formattedCitation":"Hadriana Marhaeni Munthe, Harmona Daulay, and Napsiah Napsiah, “Kebertahanan Janda Kristen Batak Toba Dalam Hidup Menjanda Setelah Cerai Mati Dan Cerai Hidup,” &lt;i&gt;KURIOS (Jurnal Teologi Dan Pendidikan Agama Kristen)&lt;/i&gt; 6, no. 2 (2020): 380–96.","plainTextFormattedCitation":"Hadriana Marhaeni Munthe, Harmona Daulay, and Napsiah Napsiah, “Kebertahanan Janda Kristen Batak Toba Dalam Hidup Menjanda Setelah Cerai Mati Dan Cerai Hidup,” KURIOS (Jurnal Teologi Dan Pendidikan Agama Kristen) 6, no. 2 (2020): 380–96.","previouslyFormattedCitation":"Hadriana Marhaeni Munthe, Harmona Daulay, and Napsiah Napsiah, “Kebertahanan Janda Kristen Batak Toba Dalam Hidup Menjanda Setelah Cerai Mati Dan Cerai Hidup,” &lt;i&gt;KURIOS (Jurnal Teologi Dan Pendidikan Agama Kristen)&lt;/i&gt; 6, no. 2 (2020): 380–96."},"properties":{"noteIndex":48},"schema":"https://github.com/citation-style-language/schema/raw/master/csl-citation.json"}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Hadriana Marhaeni Munthe, Harmona Daulay, and Napsiah Napsiah, “Kebertahanan Janda Kristen Batak Toba Dalam Hidup Menjanda Setelah Cerai Mati Dan Cerai Hidup,” </w:t>
      </w:r>
      <w:r w:rsidRPr="00E31FCD">
        <w:rPr>
          <w:rFonts w:asciiTheme="majorBidi" w:hAnsiTheme="majorBidi" w:cstheme="majorBidi"/>
          <w:i/>
          <w:noProof/>
          <w:sz w:val="24"/>
          <w:szCs w:val="24"/>
        </w:rPr>
        <w:t>KURIOS (Jurnal Teologi Dan Pendidikan Agama Kristen)</w:t>
      </w:r>
      <w:r w:rsidRPr="00E31FCD">
        <w:rPr>
          <w:rFonts w:asciiTheme="majorBidi" w:hAnsiTheme="majorBidi" w:cstheme="majorBidi"/>
          <w:noProof/>
          <w:sz w:val="24"/>
          <w:szCs w:val="24"/>
        </w:rPr>
        <w:t xml:space="preserve"> 6, no. 2 (2020): 380–96.</w:t>
      </w:r>
      <w:r w:rsidRPr="00E31FCD">
        <w:rPr>
          <w:rFonts w:asciiTheme="majorBidi" w:hAnsiTheme="majorBidi" w:cstheme="majorBidi"/>
          <w:sz w:val="24"/>
          <w:szCs w:val="24"/>
        </w:rPr>
        <w:fldChar w:fldCharType="end"/>
      </w:r>
    </w:p>
    <w:p w14:paraId="2FD6C3E1" w14:textId="77777777" w:rsidR="00F40DE8" w:rsidRPr="00F40DE8"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{"citationItems":[{"id":"ITEM-1","itemData":{"ISSN":"2503-4596","author":[{"dropping-particle":"","family":"Anam","given":"Haikal Fadhil","non-dropping-particle":"","parse-names":false,"suffix":""}],"container-title":"Musãwa Jurnal Studi Gender Dan Islam","id":"ITEM-1","issue":"1","issued":{"date-parts":[["2020"]]},"page":"43-56","title":"Poligami Dalam Hermeneutika Feminis Amina Wadud","type":"article-journal","volume":"19"},"uris":["http://www.mendeley.com/documents/?uuid=fc8e019e-bf9b-4cf3-bf0f-b575e21a92b7"]}],"mendeley":{"formattedCitation":"Haikal Fadhil Anam, “Poligami Dalam Hermeneutika Feminis Amina Wadud,” &lt;i&gt;Musãwa Jurnal Studi Gender Dan Islam&lt;/i&gt; 19, no. 1 (2020): 43–56.","plainTextFormattedCitation":"Haikal Fadhil Anam, “Poligami Dalam Hermeneutika Feminis Amina Wadud,” Musãwa Jurnal Studi Gender Dan Islam 19, no. 1 (2020): 43–56.","previouslyFormattedCitation":"Haikal Fadhil Anam, “Poligami Dalam Hermeneutika Feminis Amina Wadud,” &lt;i&gt;Musãwa Jurnal Studi Gender Dan Islam&lt;/i&gt; 19, no. 1 (2020): 43–56."},"properties":{"noteIndex":78},"schema":"https://github.com/citation-style-language/schema/raw/master/csl-citation.json"}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Haikal Fadhil Anam, “Poligami Dalam Hermeneutika Feminis Amina Wadud,” </w:t>
      </w:r>
      <w:r w:rsidRPr="00E31FCD">
        <w:rPr>
          <w:rFonts w:asciiTheme="majorBidi" w:hAnsiTheme="majorBidi" w:cstheme="majorBidi"/>
          <w:i/>
          <w:noProof/>
          <w:sz w:val="24"/>
          <w:szCs w:val="24"/>
        </w:rPr>
        <w:t>Musãwa Jurnal Studi Gender Dan Islam</w:t>
      </w:r>
      <w:r w:rsidRPr="00E31FCD">
        <w:rPr>
          <w:rFonts w:asciiTheme="majorBidi" w:hAnsiTheme="majorBidi" w:cstheme="majorBidi"/>
          <w:noProof/>
          <w:sz w:val="24"/>
          <w:szCs w:val="24"/>
        </w:rPr>
        <w:t xml:space="preserve"> 19, no. 1 (2020): 43–56.</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25" w:history="1">
        <w:r w:rsidRPr="00F40DE8">
          <w:rPr>
            <w:rStyle w:val="Hyperlink"/>
            <w:rFonts w:asciiTheme="majorBidi" w:hAnsiTheme="majorBidi" w:cstheme="majorBidi"/>
            <w:color w:val="auto"/>
            <w:sz w:val="24"/>
            <w:szCs w:val="24"/>
          </w:rPr>
          <w:t>https://doi.org/10.14421/musawa.2020.191.43-56</w:t>
        </w:r>
      </w:hyperlink>
    </w:p>
    <w:p w14:paraId="5D255E3C"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{"citationItems":[{"id":"ITEM-1","itemData":{"ISSN":"2986-528X","author":[{"dropping-particle":"","family":"Yuniardi","given":"Harry","non-dropping-particle":"","parse-names":false,"suffix":""},{"dropping-particle":"","family":"Sa’diah","given":"Diah Siti","non-dropping-particle":"","parse-names":false,"suffix":""},{"dropping-particle":"","family":"Sholeh","given":"Aziz","non-dropping-particle":"","parse-names":false,"suffix":""},{"dropping-particle":"","family":"Ziaharah","given":"Lena Ishelmiany","non-dropping-particle":"","parse-names":false,"suffix":""},{"dropping-particle":"","family":"Cason","given":"Christopher Michael","non-dropping-particle":"","parse-names":false,"suffix":""}],"container-title":"MILRev: Metro Islamic Law Review","id":"ITEM-1","issue":"2","issued":{"date-parts":[["2025"]]},"page":"899-932","title":"Between Tradition and Sharia: Endogamous Marriage Practices in the Pesantren Community of Bandung Regency from a Contemporary Islamic Legal Perspective","type":"article-journal","volume":"4"},"uris":["http://www.mendeley.com/documents/?uuid=4599e1b0-56c2-4bf3-b5d1-214b16a7622d"]}],"mendeley":{"formattedCitation":"Harry Yuniardi et al., “Between Tradition and Sharia: Endogamous Marriage Practices in the Pesantren Community of Bandung Regency from a Contemporary Islamic Legal Perspective,” &lt;i&gt;MILRev: Metro Islamic Law Review&lt;/i&gt; 4, no. 2 (2025): 899–932.","plainTextFormattedCitation":"Harry Yuniardi et al., “Between Tradition and Sharia: Endogamous Marriage Practices in the Pesantren Community of Bandung Regency from a Contemporary Islamic Legal Perspective,” MILRev: Metro Islamic Law Review 4, no. 2 (2025): 899–932.","previouslyFormattedCitation":"Harry Yuniardi et al., “Between Tradition and Sharia: Endogamous Marriage Practices in the Pesantren Community of Bandung Regency from a Contemporary Islamic Legal Perspective,” &lt;i&gt;MILRev: Metro Islamic Law Review&lt;/i&gt; 4, no. 2 (2025): 899–932."},"properties":{"noteIndex":32},"schema":"https://github.com/citation-style-language/schema/raw/master/csl-citation.json"}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Harry Yuniardi et al., “Between Tradition and Sharia: Endogamous Marriage Practices in the Pesantren Community of Bandung Regency from a Contemporary Islamic Legal Perspective,” </w:t>
      </w:r>
      <w:r w:rsidRPr="00E31FCD">
        <w:rPr>
          <w:rFonts w:asciiTheme="majorBidi" w:hAnsiTheme="majorBidi" w:cstheme="majorBidi"/>
          <w:i/>
          <w:noProof/>
          <w:sz w:val="24"/>
          <w:szCs w:val="24"/>
        </w:rPr>
        <w:t>MILRev: Metro Islamic Law Review</w:t>
      </w:r>
      <w:r w:rsidRPr="00E31FCD">
        <w:rPr>
          <w:rFonts w:asciiTheme="majorBidi" w:hAnsiTheme="majorBidi" w:cstheme="majorBidi"/>
          <w:noProof/>
          <w:sz w:val="24"/>
          <w:szCs w:val="24"/>
        </w:rPr>
        <w:t xml:space="preserve"> 4, no. 2 (2025): 899–932.</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26" w:history="1">
        <w:r w:rsidRPr="00E31FCD">
          <w:rPr>
            <w:rStyle w:val="Hyperlink"/>
            <w:rFonts w:asciiTheme="majorBidi" w:hAnsiTheme="majorBidi" w:cstheme="majorBidi"/>
            <w:color w:val="auto"/>
            <w:sz w:val="24"/>
            <w:szCs w:val="24"/>
          </w:rPr>
          <w:t>https://doi.org/10.32332/milrev.v4i2.10624</w:t>
        </w:r>
      </w:hyperlink>
    </w:p>
    <w:p w14:paraId="7D9D1948"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{"citationItems":[{"id":"ITEM-1","itemData":{"ISSN":"2580-8842","author":[{"dropping-particle":"","family":"Siregar","given":"Helmi Suryana","non-dropping-particle":"","parse-names":false,"suffix":""}],"container-title":"Jurnal Ius Constituendum","id":"ITEM-1","issue":"1","issued":{"date-parts":[["2021"]]},"page":"252-268","title":"Perubahan Kedudukan Perempuan Pada Masyarakat Batak Angkola","type":"article-journal","volume":"6"},"uris":["http://www.mendeley.com/documents/?uuid=49013edf-afc2-4c0d-96bc-84c99cc2bc43"]}],"mendeley":{"formattedCitation":"Helmi Suryana Siregar, “Perubahan Kedudukan Perempuan Pada Masyarakat Batak Angkola,” &lt;i&gt;Jurnal Ius Constituendum&lt;/i&gt; 6, no. 1 (2021): 252–68.","plainTextFormattedCitation":"Helmi Suryana Siregar, “Perubahan Kedudukan Perempuan Pada Masyarakat Batak Angkola,” Jurnal Ius Constituendum 6, no. 1 (2021): 252–68.","previouslyFormattedCitation":"Helmi Suryana Siregar, “Perubahan Kedudukan Perempuan Pada Masyarakat Batak Angkola,” &lt;i&gt;Jurnal Ius Constituendum&lt;/i&gt; 6, no. 1 (2021): 252–68."},"properties":{"noteIndex":40},"schema":"https://github.com/citation-style-language/schema/raw/master/csl-citation.json"}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Helmi Suryana Siregar, “Perubahan Kedudukan Perempuan Pada Masyarakat Batak Angkola,” </w:t>
      </w:r>
      <w:r w:rsidRPr="00E31FCD">
        <w:rPr>
          <w:rFonts w:asciiTheme="majorBidi" w:hAnsiTheme="majorBidi" w:cstheme="majorBidi"/>
          <w:i/>
          <w:noProof/>
          <w:sz w:val="24"/>
          <w:szCs w:val="24"/>
        </w:rPr>
        <w:t>Jurnal Ius Constituendum</w:t>
      </w:r>
      <w:r w:rsidRPr="00E31FCD">
        <w:rPr>
          <w:rFonts w:asciiTheme="majorBidi" w:hAnsiTheme="majorBidi" w:cstheme="majorBidi"/>
          <w:noProof/>
          <w:sz w:val="24"/>
          <w:szCs w:val="24"/>
        </w:rPr>
        <w:t xml:space="preserve"> 6, no. 1 (2021): 252–68.</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27" w:history="1">
        <w:r w:rsidRPr="00E31FCD">
          <w:rPr>
            <w:rStyle w:val="Hyperlink"/>
            <w:rFonts w:asciiTheme="majorBidi" w:hAnsiTheme="majorBidi" w:cstheme="majorBidi"/>
            <w:color w:val="auto"/>
            <w:sz w:val="24"/>
            <w:szCs w:val="24"/>
          </w:rPr>
          <w:t>https://doi.org/10.26623/jic.v6i1.3281</w:t>
        </w:r>
      </w:hyperlink>
    </w:p>
    <w:p w14:paraId="0EDFD82B"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{"citationItems":[{"id":"ITEM-1","itemData":{"author":[{"dropping-particle":"","family":"Hidayati","given":"Niswatul","non-dropping-particle":"","parse-names":false,"suffix":""}],"container-title":"Memahami Teori Hukum: Percikan Pemikiran Ilmu Hukum Lintas Mazhab","id":"ITEM-1","issued":{"date-parts":[["2022"]]},"publisher":"Q Media","title":"Rasionalitas Hukum dalam Pandangan Max Weber","type":"article-journal","volume":"113"},"uris":["http://www.mendeley.com/documents/?uuid=c820410a-b6ab-4e83-928e-6d0bb8c08cb1"]}],"mendeley":{"formattedCitation":"Hidayati, “Rasionalitas Hukum Dalam Pandangan Max Weber.”","plainTextFormattedCitation":"Hidayati, “Rasionalitas Hukum Dalam Pandangan Max Weber.”","previouslyFormattedCitation":"Hidayati, “Rasionalitas Hukum Dalam Pandangan Max Weber.”"},"properties":{"noteIndex":69},"schema":"https://github.com/citation-style-language/schema/raw/master/csl-citation.json"}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Hidayati, “Rasionalitas Hukum Dalam Pandangan Max Weber.”</w:t>
      </w:r>
      <w:r w:rsidRPr="00E31FCD">
        <w:rPr>
          <w:rFonts w:asciiTheme="majorBidi" w:hAnsiTheme="majorBidi" w:cstheme="majorBidi"/>
        </w:rPr>
        <w:fldChar w:fldCharType="end"/>
      </w:r>
    </w:p>
    <w:p w14:paraId="3C74AA96"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{"citationItems":[{"id":"ITEM-1","itemData":{"author":[{"dropping-particle":"","family":"Rohmati","given":"Hudiya","non-dropping-particle":"","parse-names":false,"suffix":""}],"id":"ITEM-1","issued":{"date-parts":[["2025"]]},"publisher":"Universitas Islam Indonesia","title":"Penerapan Konsep Kesetaraan Gender dalam Rumah Tangga Sebagai Bentuk Ketahanan Keluarga Sakinah Mawadah Warahmah (Studi Kasus di Dusun Gubuk Bangsal Desa Mekar Bersatu Kecamatan Batukliang Kabupaten Lombok Tengah)","type":"article"},"uris":["http://www.mendeley.com/documents/?uuid=2c6cb24d-8cdd-4288-acd2-148476f70fea"]}],"mendeley":{"formattedCitation":"Hudiya Rohmati, “Penerapan Konsep Kesetaraan Gender Dalam Rumah Tangga Sebagai Bentuk Ketahanan Keluarga Sakinah Mawadah Warahmah (Studi Kasus Di Dusun Gubuk Bangsal Desa Mekar Bersatu Kecamatan Batukliang Kabupaten Lombok Tengah)” (Universitas Islam Indonesia, 2025).","plainTextFormattedCitation":"Hudiya Rohmati, “Penerapan Konsep Kesetaraan Gender Dalam Rumah Tangga Sebagai Bentuk Ketahanan Keluarga Sakinah Mawadah Warahmah (Studi Kasus Di Dusun Gubuk Bangsal Desa Mekar Bersatu Kecamatan Batukliang Kabupaten Lombok Tengah)” (Universitas Islam Indonesia, 2025).","previouslyFormattedCitation":"Hudiya Rohmati, “Penerapan Konsep Kesetaraan Gender Dalam Rumah Tangga Sebagai Bentuk Ketahanan Keluarga Sakinah Mawadah Warahmah (Studi Kasus Di Dusun Gubuk Bangsal Desa Mekar Bersatu Kecamatan Batukliang Kabupaten Lombok Tengah)” (Universitas Islam Indonesia, 2025)."},"properties":{"noteIndex":10},"schema":"https://github.com/citation-style-language/schema/raw/master/csl-citation.json"}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Hudiya Rohmati, “Penerapan Konsep Kesetaraan Gender Dalam Rumah Tangga Sebagai Bentuk Ketahanan Keluarga Sakinah Mawadah Warahmah (Studi Kasus Di Dusun Gubuk Bangsal Desa Mekar Bersatu Kecamatan Batukliang Kabupaten Lombok Tengah)” (Universitas Islam Indonesia, 2025).</w:t>
      </w:r>
      <w:r w:rsidRPr="00E31FCD">
        <w:rPr>
          <w:rFonts w:asciiTheme="majorBidi" w:hAnsiTheme="majorBidi" w:cstheme="majorBidi"/>
          <w:sz w:val="24"/>
          <w:szCs w:val="24"/>
        </w:rPr>
        <w:fldChar w:fldCharType="end"/>
      </w:r>
    </w:p>
    <w:p w14:paraId="62C10279"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{"citationItems":[{"id":"ITEM-1","itemData":{"ISSN":"6235003684","author":[{"dropping-particle":"","family":"Atikah","given":"Ika","non-dropping-particle":"","parse-names":false,"suffix":""},{"dropping-particle":"","family":"Rizkia","given":"Nanda Dwi","non-dropping-particle":"","parse-names":false,"suffix":""},{"dropping-particle":"","family":"Basri","given":"Basri","non-dropping-particle":"","parse-names":false,"suffix":""},{"dropping-particle":"","family":"Monteiro","given":"Josef Mario","non-dropping-particle":"","parse-names":false,"suffix":""},{"dropping-particle":"","family":"Jaelani","given":"Elan","non-dropping-particle":"","parse-names":false,"suffix":""},{"dropping-particle":"","family":"Silapurna","given":"Endah Labati","non-dropping-particle":"","parse-names":false,"suffix":""}],"id":"ITEM-1","issued":{"date-parts":[["2024"]]},"publisher":"CV Widina Media Utama","title":"Pengantar Metode Penelitian Hukum Sosio-Legal","type":"article-journal"},"uris":["http://www.mendeley.com/documents/?uuid=4b8a79ba-4925-440a-89a1-233f183754f7"]}],"mendeley":{"formattedCitation":"Ika Atikah et al., “Pengantar Metode Penelitian Hukum Sosio-Legal,” 2024.","plainTextFormattedCitation":"Ika Atikah et al., “Pengantar Metode Penelitian Hukum Sosio-Legal,” 2024.","previouslyFormattedCitation":"Ika Atikah et al., “Pengantar Metode Penelitian Hukum Sosio-Legal,” 2024."},"properties":{"noteIndex":35},"schema":"https://github.com/citation-style-language/schema/raw/master/csl-citation.json"}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Ika Atikah et al., “Pengantar Metode Penelitian Hukum Sosio-Legal,” 2024.</w:t>
      </w:r>
      <w:r w:rsidRPr="00E31FCD">
        <w:rPr>
          <w:rFonts w:asciiTheme="majorBidi" w:hAnsiTheme="majorBidi" w:cstheme="majorBidi"/>
          <w:sz w:val="24"/>
          <w:szCs w:val="24"/>
        </w:rPr>
        <w:fldChar w:fldCharType="end"/>
      </w:r>
    </w:p>
    <w:p w14:paraId="2188CED3" w14:textId="77777777" w:rsidR="00F40DE8" w:rsidRPr="00F40DE8" w:rsidRDefault="00F40DE8" w:rsidP="00F40DE8">
      <w:pPr>
        <w:pStyle w:val="FootnoteText"/>
        <w:ind w:left="720" w:hanging="720"/>
        <w:jc w:val="both"/>
        <w:rPr>
          <w:rFonts w:asciiTheme="majorBidi" w:hAnsiTheme="majorBidi" w:cstheme="majorBidi"/>
          <w:b/>
          <w:bCs/>
          <w:sz w:val="24"/>
          <w:szCs w:val="24"/>
          <w:lang w:val="fi-FI"/>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{"citationItems":[{"id":"ITEM-1","itemData":{"ISSN":"2503-1465","author":[{"dropping-particle":"","family":"Isdiyanto","given":"Ilham Yuli","non-dropping-particle":"","parse-names":false,"suffix":""}],"container-title":"Jurnal Hukum &amp; Pembangunan","id":"ITEM-1","issue":"2","issued":{"date-parts":[["2025"]]},"page":"209-230","title":"Max Weber vs Émile Durkheim: Pertarungan Paradigma dalam Sosiologi Hukum di Indonesia","type":"article-journal","volume":"55"},"uris":["http://www.mendeley.com/documents/?uuid=e27e73ff-2552-4895-a87a-b972d5bcf19d"]}],"mendeley":{"formattedCitation":"Ilham Yuli Isdiyanto, “Max Weber vs Émile Durkheim: Pertarungan Paradigma Dalam Sosiologi Hukum Di Indonesia,” &lt;i&gt;Jurnal Hukum &amp; Pembangunan&lt;/i&gt; 55, no. 2 (2025): 209–30.","plainTextFormattedCitation":"Ilham Yuli Isdiyanto, “Max Weber vs Émile Durkheim: Pertarungan Paradigma Dalam Sosiologi Hukum Di Indonesia,” Jurnal Hukum &amp; Pembangunan 55, no. 2 (2025): 209–30.","previouslyFormattedCitation":"Ilham Yuli Isdiyanto, “Max Weber vs Émile Durkheim: Pertarungan Paradigma Dalam Sosiologi Hukum Di Indonesia,” &lt;i&gt;Jurnal Hukum &amp; Pembangunan&lt;/i&gt; 55, no. 2 (2025): 209–30."},"properties":{"noteIndex":66},"schema":"https://github.com/citation-style-language/schema/raw/master/csl-citation.json"}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Ilham Yuli Isdiyanto, “Max Weber vs Émile Durkheim: Pertarungan Paradigma Dalam Sosiologi Hukum Di Indonesia,” </w:t>
      </w:r>
      <w:r w:rsidRPr="00E31FCD">
        <w:rPr>
          <w:rFonts w:asciiTheme="majorBidi" w:hAnsiTheme="majorBidi" w:cstheme="majorBidi"/>
          <w:i/>
          <w:noProof/>
          <w:sz w:val="24"/>
          <w:szCs w:val="24"/>
        </w:rPr>
        <w:t>Jurnal Hukum &amp; Pembangunan</w:t>
      </w:r>
      <w:r w:rsidRPr="00E31FCD">
        <w:rPr>
          <w:rFonts w:asciiTheme="majorBidi" w:hAnsiTheme="majorBidi" w:cstheme="majorBidi"/>
          <w:noProof/>
          <w:sz w:val="24"/>
          <w:szCs w:val="24"/>
        </w:rPr>
        <w:t xml:space="preserve"> 55, no. 2 (2025): 209–30.</w:t>
      </w:r>
      <w:r w:rsidRPr="00E31FCD">
        <w:rPr>
          <w:rFonts w:asciiTheme="majorBidi" w:hAnsiTheme="majorBidi" w:cstheme="majorBidi"/>
          <w:sz w:val="24"/>
          <w:szCs w:val="24"/>
        </w:rPr>
        <w:fldChar w:fldCharType="end"/>
      </w:r>
      <w:r w:rsidRPr="00E31FCD">
        <w:rPr>
          <w:rFonts w:asciiTheme="majorBidi" w:eastAsia="Times New Roman" w:hAnsiTheme="majorBidi" w:cstheme="majorBidi"/>
          <w:b/>
          <w:bCs/>
          <w:kern w:val="0"/>
          <w:sz w:val="24"/>
          <w:szCs w:val="24"/>
          <w14:ligatures w14:val="none"/>
        </w:rPr>
        <w:t xml:space="preserve"> </w:t>
      </w:r>
      <w:r w:rsidRPr="00F40DE8">
        <w:rPr>
          <w:rFonts w:asciiTheme="majorBidi" w:hAnsiTheme="majorBidi" w:cstheme="majorBidi"/>
          <w:sz w:val="24"/>
          <w:szCs w:val="24"/>
          <w:lang w:val="fi-FI"/>
        </w:rPr>
        <w:t>https://doi.org</w:t>
      </w:r>
      <w:r w:rsidRPr="00F40DE8">
        <w:rPr>
          <w:rFonts w:asciiTheme="majorBidi" w:hAnsiTheme="majorBidi" w:cstheme="majorBidi"/>
          <w:b/>
          <w:bCs/>
          <w:sz w:val="24"/>
          <w:szCs w:val="24"/>
          <w:lang w:val="fi-FI"/>
        </w:rPr>
        <w:t>/</w:t>
      </w:r>
      <w:r w:rsidRPr="00F40DE8">
        <w:rPr>
          <w:rFonts w:asciiTheme="majorBidi" w:hAnsiTheme="majorBidi" w:cstheme="majorBidi"/>
          <w:sz w:val="24"/>
          <w:szCs w:val="24"/>
          <w:lang w:val="fi-FI"/>
        </w:rPr>
        <w:t>10.21143/jhp.vol55.no.2.1782</w:t>
      </w:r>
    </w:p>
    <w:p w14:paraId="18733997"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lang w:val="fi-FI"/>
        </w:rPr>
        <w:instrText>ADDIN CSL_CITATION {"citationItems":[{"id":"ITEM-1","itemData":{"ISSN":"2685-5712","author":[{"dropping-particle":"","family":"Sulistiani","given":"Ino","non-dropping-particle":"","parse-names":false,"suffix":""}],"container-title":"AN-NISA","id":"ITEM-1","issue":"1","issued":{"date-parts":[["2024"]]},"page":"1-20","publisher":"Institut Agama Islam Negeri (IAIN) Bone-Indonesia","title":"Representasi diri perempuan, pembungkaman kapasitas diri perempuan, dan literasi media sebagai sedikit fenomena masalah gender dan solusinya","type":"article-journal","volume":"17"},"uris":["http://www.mendeley.com/documents/?uuid=1eb33f0c-a320-417d-9153-bdb0c4743043"]}],"mendeley":{"formattedCitation":"Ino Sulistiani, “Representasi Diri Perempuan, Pembungkaman Kapasitas Diri Perempuan, Dan Literasi Media Sebagai Sedikit Fenomena Masalah Gender Dan Solusinya,” &lt;i&gt;AN-NISA&lt;/i&gt; 17, no. 1 (2024): 1–20.","plainTextFormattedCitation":"Ino Sulistiani, “Representasi Diri Perempuan, Pembungkaman Kapasitas Diri Perempuan, Dan Literasi Media Sebagai Sedikit Fenomena Masalah Gender Dan Solusinya,” AN-NISA 17, no. 1 (2024): 1–20.","previouslyFormattedCitation":"Ino Sulistiani, “Representasi Diri Perempuan, Pembungkaman Kapasitas Diri Perempuan, Dan Literasi Media Sebagai Sedikit Fenomena Masalah Gender Dan Solusinya,” &lt;i&gt;AN-NISA&lt;/i&gt; 17, no. 1 (2024): 1–20."},"properties":{"noteIndex":2},"schema":"https://github.com/citation-style-language/schema/raw/master/csl-citation.json"}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lang w:val="fi-FI"/>
        </w:rPr>
        <w:t xml:space="preserve">Ino Sulistiani, “Representasi Diri Perempuan, Pembungkaman Kapasitas Diri Perempuan, Dan Literasi Media Sebagai Sedikit Fenomena Masalah Gender Dan Solusinya,” </w:t>
      </w:r>
      <w:r w:rsidRPr="00E31FCD">
        <w:rPr>
          <w:rFonts w:asciiTheme="majorBidi" w:hAnsiTheme="majorBidi" w:cstheme="majorBidi"/>
          <w:i/>
          <w:noProof/>
          <w:sz w:val="24"/>
          <w:szCs w:val="24"/>
          <w:lang w:val="fi-FI"/>
        </w:rPr>
        <w:t>AN-NISA</w:t>
      </w:r>
      <w:r w:rsidRPr="00E31FCD">
        <w:rPr>
          <w:rFonts w:asciiTheme="majorBidi" w:hAnsiTheme="majorBidi" w:cstheme="majorBidi"/>
          <w:noProof/>
          <w:sz w:val="24"/>
          <w:szCs w:val="24"/>
          <w:lang w:val="fi-FI"/>
        </w:rPr>
        <w:t xml:space="preserve"> 17, no. 1 (2024): 1–20.</w:t>
      </w:r>
      <w:r w:rsidRPr="00E31FCD">
        <w:rPr>
          <w:rFonts w:asciiTheme="majorBidi" w:hAnsiTheme="majorBidi" w:cstheme="majorBidi"/>
          <w:sz w:val="24"/>
          <w:szCs w:val="24"/>
        </w:rPr>
        <w:fldChar w:fldCharType="end"/>
      </w:r>
      <w:r w:rsidRPr="00E31FCD">
        <w:rPr>
          <w:rFonts w:asciiTheme="majorBidi" w:hAnsiTheme="majorBidi" w:cstheme="majorBidi"/>
          <w:sz w:val="24"/>
          <w:szCs w:val="24"/>
          <w:lang w:val="fi-FI"/>
        </w:rPr>
        <w:t xml:space="preserve"> </w:t>
      </w:r>
      <w:hyperlink r:id="rId28" w:history="1">
        <w:r w:rsidRPr="00E31FCD">
          <w:rPr>
            <w:rStyle w:val="Hyperlink"/>
            <w:rFonts w:asciiTheme="majorBidi" w:hAnsiTheme="majorBidi" w:cstheme="majorBidi"/>
            <w:color w:val="auto"/>
            <w:sz w:val="24"/>
            <w:szCs w:val="24"/>
          </w:rPr>
          <w:t>https://doi.org/10.30863/an.v17i1.6720</w:t>
        </w:r>
      </w:hyperlink>
    </w:p>
    <w:p w14:paraId="17750D88"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2654-9042","author":[{"dropping-particle":"","family":"Jalili","given":"Ismail","non-dropping-particle":"","parse-names":false,"suffix":""},{"dropping-particle":"","family":"Syukri","given":"Ilham","non-dropping-particle":"","parse-names":false,"suffix":""}],"container-title":"istinbath","id":"ITEM-1","issue":"1","issued":{"date-parts":[["2025"]]},"page":"51-65","title":"UTILIZING QAWĀ’ID FIQHIYYAH IN LEGAL ANALYSIS: A REVIEW OF THEIR EVOLUTION AND APPLICATION IN INDONESIAN ISLAMIC JURISPRUDENCE","type":"article-journal","volume":"24"},"uris":["http://www.mendeley.com/documents/?uuid=5029063a-6677-4bb0-a9b0-4b4c3676f250"]}],"mendeley":{"formattedCitation":"Ismail Jalili and Ilham Syukri, “UTILIZING QAWĀ’ID FIQHIYYAH IN LEGAL ANALYSIS: A REVIEW OF THEIR EVOLUTION AND APPLICATION IN INDONESIAN ISLAMIC JURISPRUDENCE,” &lt;i&gt;Istinbath&lt;/i&gt; 24, no. 1 (2025): 51–65.","plainTextFormattedCitation":"Ismail Jalili and Ilham Syukri, “UTILIZING QAWĀ’ID FIQHIYYAH IN LEGAL ANALYSIS: A REVIEW OF THEIR EVOLUTION AND APPLICATION IN INDONESIAN ISLAMIC JURISPRUDENCE,” Istinbath 24, no. 1 (2025): 51–65.","previouslyFormattedCitation":"Ismail Jalili and Ilham Syukri, “UTILIZING QAWĀ’ID FIQHIYYAH IN LEGAL ANALYSIS: A REVIEW OF THEIR EVOLUTION AND APPLICATION IN INDONESIAN ISLAMIC JURISPRUDENCE,” &lt;i&gt;Istinbath&lt;/i&gt; 24, no. 1 (2025): 51–65."},"properties":{"noteIndex":28},"schema":"https://github.com/citation-style-language/schema/raw/master/csl-citation.json"}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Ismail Jalili and Ilham Syukri, “Utilizing Qawā’id Fiqhiyyah In Legal Analysis: A Review Of Their Evolution And Application In Indonesian Islamic Jurisprudence,” </w:t>
      </w:r>
      <w:r w:rsidRPr="00E31FCD">
        <w:rPr>
          <w:rFonts w:asciiTheme="majorBidi" w:hAnsiTheme="majorBidi" w:cstheme="majorBidi"/>
          <w:i/>
          <w:noProof/>
          <w:sz w:val="24"/>
          <w:szCs w:val="24"/>
        </w:rPr>
        <w:t>Istinbath</w:t>
      </w:r>
      <w:r w:rsidRPr="00E31FCD">
        <w:rPr>
          <w:rFonts w:asciiTheme="majorBidi" w:hAnsiTheme="majorBidi" w:cstheme="majorBidi"/>
          <w:noProof/>
          <w:sz w:val="24"/>
          <w:szCs w:val="24"/>
        </w:rPr>
        <w:t xml:space="preserve"> 24, no. 1 (2025): 51–65.</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29" w:history="1">
        <w:r w:rsidRPr="00E31FCD">
          <w:rPr>
            <w:rStyle w:val="Hyperlink"/>
            <w:rFonts w:asciiTheme="majorBidi" w:hAnsiTheme="majorBidi" w:cstheme="majorBidi"/>
            <w:color w:val="auto"/>
            <w:sz w:val="24"/>
            <w:szCs w:val="24"/>
          </w:rPr>
          <w:t>https://doi.org/10.20414/ijhi.v24i1.776</w:t>
        </w:r>
      </w:hyperlink>
    </w:p>
    <w:p w14:paraId="0094CC50" w14:textId="77777777" w:rsidR="00F40DE8" w:rsidRPr="00F40DE8"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{"citationItems":[{"id":"ITEM-1","itemData":{"ISSN":"2656-940X","author":[{"dropping-particle":"","family":"Bahardur","given":"Iswadi","non-dropping-particle":"","parse-names":false,"suffix":""}],"container-title":"Ideas: Jurnal Pendidikan, Sosial, dan Budaya","id":"ITEM-1","issue":"1","issued":{"date-parts":[["2023"]]},"page":"1-8","title":"Perempuan Korban Kekerasan Berbasis Gender dalam Novel Orang-Orang Blanti Karya Wisran Hadi","type":"article-journal","volume":"9"},"uris":["http://www.mendeley.com/documents/?uuid=222a7ef6-09a7-4fb9-b1f5-8c01a14b4e76"]}],"mendeley":{"formattedCitation":"Iswadi Bahardur, “Perempuan Korban Kekerasan Berbasis Gender Dalam Novel Orang-Orang Blanti Karya Wisran Hadi,” &lt;i&gt;Ideas: Jurnal Pendidikan, Sosial, Dan Budaya&lt;/i&gt; 9, no. 1 (2023): 1–8.","plainTextFormattedCitation":"Iswadi Bahardur, “Perempuan Korban Kekerasan Berbasis Gender Dalam Novel Orang-Orang Blanti Karya Wisran Hadi,” Ideas: Jurnal Pendidikan, Sosial, Dan Budaya 9, no. 1 (2023): 1–8.","previouslyFormattedCitation":"Iswadi Bahardur, “Perempuan Korban Kekerasan Berbasis Gender Dalam Novel Orang-Orang Blanti Karya Wisran Hadi,” &lt;i&gt;Ideas: Jurnal Pendidikan, Sosial, Dan Budaya&lt;/i&gt; 9, no. 1 (2023): 1–8."},"properties":{"noteIndex":1},"schema":"https://github.com/citation-style-language/schema/raw/master/csl-citation.json"}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Iswadi Bahardur, “Perempuan Korban Kekerasan Berbasis Gender Dalam Novel Orang-Orang Blanti Karya Wisran Hadi,” </w:t>
      </w:r>
      <w:r w:rsidRPr="00E31FCD">
        <w:rPr>
          <w:rFonts w:asciiTheme="majorBidi" w:hAnsiTheme="majorBidi" w:cstheme="majorBidi"/>
          <w:i/>
          <w:noProof/>
          <w:sz w:val="24"/>
          <w:szCs w:val="24"/>
        </w:rPr>
        <w:t>Ideas: Jurnal Pendidikan, Sosial, Dan Budaya</w:t>
      </w:r>
      <w:r w:rsidRPr="00E31FCD">
        <w:rPr>
          <w:rFonts w:asciiTheme="majorBidi" w:hAnsiTheme="majorBidi" w:cstheme="majorBidi"/>
          <w:noProof/>
          <w:sz w:val="24"/>
          <w:szCs w:val="24"/>
        </w:rPr>
        <w:t xml:space="preserve"> 9, no. 1 (2023): 1–8.</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30" w:history="1">
        <w:r w:rsidRPr="00F40DE8">
          <w:rPr>
            <w:rStyle w:val="Hyperlink"/>
            <w:rFonts w:asciiTheme="majorBidi" w:hAnsiTheme="majorBidi" w:cstheme="majorBidi"/>
            <w:color w:val="auto"/>
            <w:sz w:val="24"/>
            <w:szCs w:val="24"/>
          </w:rPr>
          <w:t>https://doi.org/10.32884/ideas.v9i1.1188</w:t>
        </w:r>
      </w:hyperlink>
    </w:p>
    <w:p w14:paraId="676ECB7D" w14:textId="77777777" w:rsidR="00F40DE8" w:rsidRPr="00F40DE8"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F40DE8">
        <w:rPr>
          <w:rFonts w:asciiTheme="majorBidi" w:hAnsiTheme="majorBidi" w:cstheme="majorBidi"/>
        </w:rPr>
        <w:instrText>ADDIN CSL_CITATION {"citationItems":[{"id":"ITEM-1","itemData":{"ISBN":"2775-9121","author":[{"dropping-particle":"","family":"Saputra","given":"Johan","non-dropping-particle":"","parse-names":false,"suffix":""},{"dropping-particle":"","family":"Wardhana","given":"Indra Jaya Kusuma","non-dropping-particle":"","parse-names":false,"suffix":""},{"dropping-particle":"","family":"Pranata","given":"Arie Wahyu","non-dropping-particle":"","parse-names":false,"suffix":""}],"container-title":"Prosiding SeNSosio (Seminar Nasional Prodi Sosiologi)","id":"ITEM-1","issue":"1","issued":{"date-parts":[["2025"]]},"page":"471-479","title":"Reproduksi Sosial Dan Praktik Pernikahan Dini: Analisis Struktur Kemiskinan, Budaya, Dan Akses Pendidikan Masyarakat Pesisir Sampang Madura","type":"paper-conference","volume":"6"},"uris":["http://www.mendeley.com/documents/?uuid=6e5d8514-15a5-42de-9b8e-aabc4bb89542"]}],"mendeley":{"formattedCitation":"Johan Saputra, Indra Jaya Kusuma Wardhana, and Arie Wahyu Pranata, “Reproduksi Sosial Dan Praktik Pernikahan Dini: Analisis Struktur Kemiskinan, Budaya, Dan Akses Pendidikan Masyarakat Pesisir Sampang Madura,” in &lt;i&gt;Prosiding SeNSosio (Seminar Nasional Prodi Sosiologi)&lt;/i&gt;, vol. 6, 2025, 471–79.","plainTextFormattedCitation":"Johan Saputra, Indra Jaya Kusuma Wardhana, and Arie Wahyu Pranata, “Reproduksi Sosial Dan Praktik Pernikahan Dini: Analisis Struktur Kemiskinan, Budaya, Dan Akses Pendidikan Masyarakat Pesisir Sampang Madura,” in Prosiding SeNSosio (Seminar Nasional Prodi Sosiologi), vol. 6, 2025, 471–79.","previouslyFormattedCitation":"Johan Saputra, Indra Jaya Kusuma Wardhana, and Arie Wahyu Pranata, “Reproduksi Sosial Dan Praktik Pernikahan Dini: Analisis Struktur Kemiskinan, Budaya, Dan Akses Pendidikan Masyarakat Pesisir Sampang Madura,” in &lt;i&gt;Prosiding SeNSosio (Seminar Nasional Prodi Sosiologi)&lt;/i&gt;, vol. 6, 2025, 471–79."},"properties":{"noteIndex":45},"schema":"https://github.com/citation-style-language/schema/raw/master/csl-citation.json"}</w:instrText>
      </w:r>
      <w:r w:rsidRPr="00E31FCD">
        <w:rPr>
          <w:rFonts w:asciiTheme="majorBidi" w:hAnsiTheme="majorBidi" w:cstheme="majorBidi"/>
        </w:rPr>
        <w:fldChar w:fldCharType="separate"/>
      </w:r>
      <w:r w:rsidRPr="00F40DE8">
        <w:rPr>
          <w:rFonts w:asciiTheme="majorBidi" w:hAnsiTheme="majorBidi" w:cstheme="majorBidi"/>
          <w:noProof/>
        </w:rPr>
        <w:t xml:space="preserve">Johan Saputra, Indra Jaya Kusuma Wardhana, and Arie Wahyu Pranata, “Reproduksi Sosial Dan Praktik Pernikahan Dini: Analisis Struktur Kemiskinan, Budaya, Dan Akses Pendidikan Masyarakat Pesisir Sampang Madura,” in </w:t>
      </w:r>
      <w:r w:rsidRPr="00F40DE8">
        <w:rPr>
          <w:rFonts w:asciiTheme="majorBidi" w:hAnsiTheme="majorBidi" w:cstheme="majorBidi"/>
          <w:i/>
          <w:noProof/>
        </w:rPr>
        <w:t>Prosiding SeNSosio (Seminar Nasional Prodi Sosiologi)</w:t>
      </w:r>
      <w:r w:rsidRPr="00F40DE8">
        <w:rPr>
          <w:rFonts w:asciiTheme="majorBidi" w:hAnsiTheme="majorBidi" w:cstheme="majorBidi"/>
          <w:noProof/>
        </w:rPr>
        <w:t>, vol. 6, 2025, 471–79.</w:t>
      </w:r>
      <w:r w:rsidRPr="00E31FCD">
        <w:rPr>
          <w:rFonts w:asciiTheme="majorBidi" w:hAnsiTheme="majorBidi" w:cstheme="majorBidi"/>
        </w:rPr>
        <w:fldChar w:fldCharType="end"/>
      </w:r>
    </w:p>
    <w:p w14:paraId="20815D9E" w14:textId="77777777" w:rsidR="00F40DE8" w:rsidRPr="00E31FCD" w:rsidRDefault="00F40DE8" w:rsidP="00F40DE8">
      <w:pPr>
        <w:pStyle w:val="FootnoteText"/>
        <w:ind w:left="720" w:hanging="720"/>
        <w:jc w:val="both"/>
        <w:rPr>
          <w:rFonts w:asciiTheme="majorBidi" w:hAnsiTheme="majorBidi" w:cstheme="majorBidi"/>
          <w:sz w:val="24"/>
          <w:szCs w:val="24"/>
          <w:lang w:val="fi-FI"/>
        </w:rPr>
      </w:pPr>
      <w:r w:rsidRPr="00E31FCD">
        <w:rPr>
          <w:rFonts w:asciiTheme="majorBidi" w:hAnsiTheme="majorBidi" w:cstheme="majorBidi"/>
          <w:sz w:val="24"/>
          <w:szCs w:val="24"/>
        </w:rPr>
        <w:lastRenderedPageBreak/>
        <w:fldChar w:fldCharType="begin" w:fldLock="1"/>
      </w:r>
      <w:r w:rsidRPr="00E31FCD">
        <w:rPr>
          <w:rFonts w:asciiTheme="majorBidi" w:hAnsiTheme="majorBidi" w:cstheme="majorBidi"/>
          <w:sz w:val="24"/>
          <w:szCs w:val="24"/>
          <w:lang w:val="fi-FI"/>
        </w:rPr>
        <w:instrText>ADDIN CSL_CITATION {"citationItems":[{"id":"ITEM-1","itemData":{"author":[{"dropping-particle":"","family":"Mks","given":"Kristianti","non-dropping-particle":"","parse-names":false,"suffix":""}],"id":"ITEM-1","issued":{"date-parts":[["2009"]]},"publisher":"UNS (Sebelas Maret University)","title":"Obsesi perempuan dalam menggapai kebebasan dan emansipasi","type":"article-journal"},"uris":["http://www.mendeley.com/documents/?uuid=6db69ff5-e8ef-4a32-849a-6e704927edca"]}],"mendeley":{"formattedCitation":"Kristianti Mks, “Obsesi Perempuan Dalam Menggapai Kebebasan Dan Emansipasi,” 2009.","plainTextFormattedCitation":"Kristianti Mks, “Obsesi Perempuan Dalam Menggapai Kebebasan Dan Emansipasi,” 2009.","previouslyFormattedCitation":"Kristianti Mks, “Obsesi Perempuan Dalam Menggapai Kebebasan Dan Emansipasi,” 2009."},"properties":{"noteIndex":56},"schema":"https://github.com/citation-style-language/schema/raw/master/csl-citation.json"}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lang w:val="fi-FI"/>
        </w:rPr>
        <w:t>Kristianti Mks, “Obsesi Perempuan Dalam Menggapai Kebebasan Dan Emansipasi,” 2009.</w:t>
      </w:r>
      <w:r w:rsidRPr="00E31FCD">
        <w:rPr>
          <w:rFonts w:asciiTheme="majorBidi" w:hAnsiTheme="majorBidi" w:cstheme="majorBidi"/>
          <w:sz w:val="24"/>
          <w:szCs w:val="24"/>
        </w:rPr>
        <w:fldChar w:fldCharType="end"/>
      </w:r>
    </w:p>
    <w:p w14:paraId="1DF14839" w14:textId="77777777" w:rsidR="00F40DE8" w:rsidRPr="00E31FCD" w:rsidRDefault="00F40DE8" w:rsidP="00F40DE8">
      <w:pPr>
        <w:pStyle w:val="FootnoteText"/>
        <w:ind w:left="720" w:hanging="720"/>
        <w:jc w:val="both"/>
        <w:rPr>
          <w:rFonts w:asciiTheme="majorBidi" w:hAnsiTheme="majorBidi" w:cstheme="majorBidi"/>
          <w:sz w:val="24"/>
          <w:szCs w:val="24"/>
          <w:lang w:val="fi-FI"/>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lang w:val="fi-FI"/>
        </w:rPr>
        <w:instrText>ADDIN CSL_CITATION {"citationItems":[{"id":"ITEM-1","itemData":{"author":[{"dropping-particle":"","family":"Utomo","given":"Laksanto","non-dropping-particle":"","parse-names":false,"suffix":""}],"id":"ITEM-1","issued":{"date-parts":[["2025"]]},"publisher":"Lembaga Studi Hukum Indonesia","title":"Hukum Di Balik Teks: Memahami Sosiologi Hukum","type":"book"},"uris":["http://www.mendeley.com/documents/?uuid=e01e8664-da67-4414-aee5-56d815570469"]}],"mendeley":{"formattedCitation":"Laksanto Utomo, &lt;i&gt;Hukum Di Balik Teks: Memahami Sosiologi Hukum&lt;/i&gt; (Lembaga Studi Hukum Indonesia, 2025).","plainTextFormattedCitation":"Laksanto Utomo, Hukum Di Balik Teks: Memahami Sosiologi Hukum (Lembaga Studi Hukum Indonesia, 2025).","previouslyFormattedCitation":"Laksanto Utomo, &lt;i&gt;Hukum Di Balik Teks: Memahami Sosiologi Hukum&lt;/i&gt; (Lembaga Studi Hukum Indonesia, 2025)."},"properties":{"noteIndex":70},"schema":"https://github.com/citation-style-language/schema/raw/master/csl-citation.json"}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lang w:val="fi-FI"/>
        </w:rPr>
        <w:t xml:space="preserve">Laksanto Utomo, </w:t>
      </w:r>
      <w:r w:rsidRPr="00E31FCD">
        <w:rPr>
          <w:rFonts w:asciiTheme="majorBidi" w:hAnsiTheme="majorBidi" w:cstheme="majorBidi"/>
          <w:i/>
          <w:noProof/>
          <w:sz w:val="24"/>
          <w:szCs w:val="24"/>
          <w:lang w:val="fi-FI"/>
        </w:rPr>
        <w:t>Hukum Di Balik Teks: Memahami Sosiologi Hukum</w:t>
      </w:r>
      <w:r w:rsidRPr="00E31FCD">
        <w:rPr>
          <w:rFonts w:asciiTheme="majorBidi" w:hAnsiTheme="majorBidi" w:cstheme="majorBidi"/>
          <w:noProof/>
          <w:sz w:val="24"/>
          <w:szCs w:val="24"/>
          <w:lang w:val="fi-FI"/>
        </w:rPr>
        <w:t xml:space="preserve"> (Lembaga Studi Hukum Indonesia, 2025).</w:t>
      </w:r>
      <w:r w:rsidRPr="00E31FCD">
        <w:rPr>
          <w:rFonts w:asciiTheme="majorBidi" w:hAnsiTheme="majorBidi" w:cstheme="majorBidi"/>
          <w:sz w:val="24"/>
          <w:szCs w:val="24"/>
        </w:rPr>
        <w:fldChar w:fldCharType="end"/>
      </w:r>
    </w:p>
    <w:p w14:paraId="4C6C73AB"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{"citationItems":[{"id":"ITEM-1","itemData":{"ISSN":"2528-1658","author":[{"dropping-particle":"","family":"Santoso","given":"Lukman","non-dropping-particle":"","parse-names":false,"suffix":""},{"dropping-particle":"","family":"Musyayyadah","given":"Ulvi Rohmatul","non-dropping-particle":"","parse-names":false,"suffix":""}],"container-title":"De Jure: Jurnal Hukum dan Syar'iah","id":"ITEM-1","issue":"2","issued":{"date-parts":[["2025"]]},"page":"675-696","title":"Challenging Legal Injustice against Children in Incest Cases: A Progressive and Islamic Human Rights Approach","type":"article-journal","volume":"17"},"uris":["http://www.mendeley.com/documents/?uuid=871b1246-9544-44b8-8913-ee22cf989d66"]}],"mendeley":{"formattedCitation":"Lukman Santoso and Ulvi Rohmatul Musyayyadah, “Challenging Legal Injustice against Children in Incest Cases: A Progressive and Islamic Human Rights Approach,” &lt;i&gt;De Jure: Jurnal Hukum Dan Syar’iah&lt;/i&gt; 17, no. 2 (2025): 675–96.","plainTextFormattedCitation":"Lukman Santoso and Ulvi Rohmatul Musyayyadah, “Challenging Legal Injustice against Children in Incest Cases: A Progressive and Islamic Human Rights Approach,” De Jure: Jurnal Hukum Dan Syar’iah 17, no. 2 (2025): 675–96.","previouslyFormattedCitation":"Lukman Santoso and Ulvi Rohmatul Musyayyadah, “Challenging Legal Injustice against Children in Incest Cases: A Progressive and Islamic Human Rights Approach,” &lt;i&gt;De Jure: Jurnal Hukum Dan Syar’iah&lt;/i&gt; 17, no. 2 (2025): 675–96."},"properties":{"noteIndex":44},"schema":"https://github.com/citation-style-language/schema/raw/master/csl-citation.json"}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Lukman Santoso and Ulvi Rohmatul Musyayyadah, “Challenging Legal Injustice against Children in Incest Cases: A Progressive and Islamic Human Rights Approach,” </w:t>
      </w:r>
      <w:r w:rsidRPr="00E31FCD">
        <w:rPr>
          <w:rFonts w:asciiTheme="majorBidi" w:hAnsiTheme="majorBidi" w:cstheme="majorBidi"/>
          <w:i/>
          <w:noProof/>
          <w:sz w:val="24"/>
          <w:szCs w:val="24"/>
        </w:rPr>
        <w:t>De Jure: Jurnal Hukum Dan Syar’iah</w:t>
      </w:r>
      <w:r w:rsidRPr="00E31FCD">
        <w:rPr>
          <w:rFonts w:asciiTheme="majorBidi" w:hAnsiTheme="majorBidi" w:cstheme="majorBidi"/>
          <w:noProof/>
          <w:sz w:val="24"/>
          <w:szCs w:val="24"/>
        </w:rPr>
        <w:t xml:space="preserve"> 17, no. 2 (2025): 675–96.</w:t>
      </w:r>
      <w:r w:rsidRPr="00E31FCD">
        <w:rPr>
          <w:rFonts w:asciiTheme="majorBidi" w:hAnsiTheme="majorBidi" w:cstheme="majorBidi"/>
          <w:sz w:val="24"/>
          <w:szCs w:val="24"/>
        </w:rPr>
        <w:fldChar w:fldCharType="end"/>
      </w:r>
      <w:r w:rsidRPr="00E31FCD">
        <w:rPr>
          <w:rFonts w:asciiTheme="majorBidi" w:hAnsiTheme="majorBidi" w:cstheme="majorBidi"/>
          <w:sz w:val="24"/>
          <w:szCs w:val="24"/>
          <w:shd w:val="clear" w:color="auto" w:fill="FFFFFF"/>
        </w:rPr>
        <w:t xml:space="preserve"> </w:t>
      </w:r>
      <w:r w:rsidRPr="00E31FCD">
        <w:rPr>
          <w:rFonts w:asciiTheme="majorBidi" w:hAnsiTheme="majorBidi" w:cstheme="majorBidi"/>
          <w:sz w:val="24"/>
          <w:szCs w:val="24"/>
        </w:rPr>
        <w:t> </w:t>
      </w:r>
      <w:hyperlink r:id="rId31" w:history="1">
        <w:r w:rsidRPr="00E31FCD">
          <w:rPr>
            <w:rStyle w:val="Hyperlink"/>
            <w:rFonts w:asciiTheme="majorBidi" w:hAnsiTheme="majorBidi" w:cstheme="majorBidi"/>
            <w:color w:val="auto"/>
            <w:sz w:val="24"/>
            <w:szCs w:val="24"/>
          </w:rPr>
          <w:t>https://doi.org/10.18860/j-fsh.v17i2.36277</w:t>
        </w:r>
      </w:hyperlink>
    </w:p>
    <w:p w14:paraId="779E5377"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Masdin","given":"Masdin","non-dropping-particle":"","parse-names":false,"suffix":""},{"dropping-particle":"","family":"Ilham","given":"Muhammad","non-dropping-particle":"","parse-names":false,"suffix":""},{"dropping-particle":"","family":"Mulu","given":"Beti","non-dropping-particle":"","parse-names":false,"suffix":""},{"dropping-particle":"","family":"Nurfaidah","given":"Sitti","non-dropping-particle":"","parse-names":false,"suffix":""},{"dropping-particle":"","family":"Samrin","given":"Samrin","non-dropping-particle":"","parse-names":false,"suffix":""}],"container-title":"Jurnal Samarah: Jurnal Hukum Keluarga dan Hukum Islam","id":"ITEM-1","issue":"3","issued":{"date-parts":[["2025"]]},"page":"1-23","publisher":"UIN Ar-Raniry","title":"Dynamics of Interdisciplinary Islamic Education Learning in Indonesian High Schools Based on Islamic Law","type":"article-journal","volume":"9"},"uris":["http://www.mendeley.com/documents/?uuid=34ae963c-7261-4b88-89c6-a1e5afaf3ca3"]}],"mendeley":{"formattedCitation":"Masdin Masdin et al., “Dynamics of Interdisciplinary Islamic Education Learning in Indonesian High Schools Based on Islamic Law,” &lt;i&gt;Jurnal Samarah: Jurnal Hukum Keluarga Dan Hukum Islam&lt;/i&gt; 9, no. 3 (2025): 1–23.","plainTextFormattedCitation":"Masdin Masdin et al., “Dynamics of Interdisciplinary Islamic Education Learning in Indonesian High Schools Based on Islamic Law,” Jurnal Samarah: Jurnal Hukum Keluarga Dan Hukum Islam 9, no. 3 (2025): 1–23.","previouslyFormattedCitation":"Masdin Masdin et al., “Dynamics of Interdisciplinary Islamic Education Learning in Indonesian High Schools Based on Islamic Law,” &lt;i&gt;Jurnal Samarah: Jurnal Hukum Keluarga Dan Hukum Islam&lt;/i&gt; 9, no. 3 (2025): 1–23."},"properties":{"noteIndex":19},"schema":"https://github.com/citation-style-language/schema/raw/master/csl-citation.json"}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Masdin Masdin et al., “Dynamics of Interdisciplinary Islamic Education Learning in Indonesian High Schools Based on Islamic Law,” </w:t>
      </w:r>
      <w:r w:rsidRPr="00E31FCD">
        <w:rPr>
          <w:rFonts w:asciiTheme="majorBidi" w:hAnsiTheme="majorBidi" w:cstheme="majorBidi"/>
          <w:i/>
          <w:noProof/>
          <w:sz w:val="24"/>
          <w:szCs w:val="24"/>
        </w:rPr>
        <w:t>Jurnal Samarah: Jurnal Hukum Keluarga Dan Hukum Islam</w:t>
      </w:r>
      <w:r w:rsidRPr="00E31FCD">
        <w:rPr>
          <w:rFonts w:asciiTheme="majorBidi" w:hAnsiTheme="majorBidi" w:cstheme="majorBidi"/>
          <w:noProof/>
          <w:sz w:val="24"/>
          <w:szCs w:val="24"/>
        </w:rPr>
        <w:t xml:space="preserve"> 9, no. 3 (2025): 1–23.</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32" w:history="1">
        <w:r w:rsidRPr="00E31FCD">
          <w:rPr>
            <w:rStyle w:val="Hyperlink"/>
            <w:rFonts w:asciiTheme="majorBidi" w:hAnsiTheme="majorBidi" w:cstheme="majorBidi"/>
            <w:color w:val="auto"/>
            <w:sz w:val="24"/>
            <w:szCs w:val="24"/>
          </w:rPr>
          <w:t>https://doi.org/10.22373/sjhk.v9.i3.30568</w:t>
        </w:r>
      </w:hyperlink>
    </w:p>
    <w:p w14:paraId="0FF4EF19" w14:textId="77777777" w:rsidR="00F40DE8" w:rsidRPr="00E31FCD" w:rsidRDefault="00F40DE8" w:rsidP="00F40DE8">
      <w:pPr>
        <w:pStyle w:val="FootnoteText"/>
        <w:ind w:left="720" w:hanging="720"/>
        <w:jc w:val="both"/>
        <w:rPr>
          <w:rFonts w:asciiTheme="majorBidi" w:hAnsiTheme="majorBidi" w:cstheme="majorBidi"/>
          <w:b/>
          <w:bCs/>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2985-4334","author":[{"dropping-particle":"","family":"Zuliawati","given":"Mei","non-dropping-particle":"","parse-names":false,"suffix":""},{"dropping-particle":"","family":"Jatiningsih","given":"Oksiana","non-dropping-particle":"","parse-names":false,"suffix":""}],"container-title":"Kajian Moral dan Kewarganegaraan","id":"ITEM-1","issue":"1","issued":{"date-parts":[["2023"]]},"page":"114-129","title":"Persepsi Suami Dan Istri Terkait Beban Ganda Istri Dalam Keluarga Buruh Tambak Di Desa Pangkah Wetan Kecamatan Ujungpangkah Kabupaten Gresik","type":"article-journal","volume":"11"},"uris":["http://www.mendeley.com/documents/?uuid=dbfe4258-8bb5-453f-95e2-9a2ed8eec003"]}],"mendeley":{"formattedCitation":"Mei Zuliawati and Oksiana Jatiningsih, “Persepsi Suami Dan Istri Terkait Beban Ganda Istri Dalam Keluarga Buruh Tambak Di Desa Pangkah Wetan Kecamatan Ujungpangkah Kabupaten Gresik,” &lt;i&gt;Kajian Moral Dan Kewarganegaraan&lt;/i&gt; 11, no. 1 (2023): 114–29.","plainTextFormattedCitation":"Mei Zuliawati and Oksiana Jatiningsih, “Persepsi Suami Dan Istri Terkait Beban Ganda Istri Dalam Keluarga Buruh Tambak Di Desa Pangkah Wetan Kecamatan Ujungpangkah Kabupaten Gresik,” Kajian Moral Dan Kewarganegaraan 11, no. 1 (2023): 114–29.","previouslyFormattedCitation":"Mei Zuliawati and Oksiana Jatiningsih, “Persepsi Suami Dan Istri Terkait Beban Ganda Istri Dalam Keluarga Buruh Tambak Di Desa Pangkah Wetan Kecamatan Ujungpangkah Kabupaten Gresik,” &lt;i&gt;Kajian Moral Dan Kewarganegaraan&lt;/i&gt; 11, no. 1 (2023): 114–29."},"properties":{"noteIndex":15},"schema":"https://github.com/citation-style-language/schema/raw/master/csl-citation.json"}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Mei Zuliawati and Oksiana Jatiningsih, “Persepsi Suami Dan Istri Terkait Beban Ganda Istri Dalam Keluarga Buruh Tambak Di Desa Pangkah Wetan Kecamatan Ujungpangkah Kabupaten Gresik,” </w:t>
      </w:r>
      <w:r w:rsidRPr="00E31FCD">
        <w:rPr>
          <w:rFonts w:asciiTheme="majorBidi" w:hAnsiTheme="majorBidi" w:cstheme="majorBidi"/>
          <w:i/>
          <w:noProof/>
          <w:sz w:val="24"/>
          <w:szCs w:val="24"/>
        </w:rPr>
        <w:t>Kajian Moral Dan Kewarganegaraan</w:t>
      </w:r>
      <w:r w:rsidRPr="00E31FCD">
        <w:rPr>
          <w:rFonts w:asciiTheme="majorBidi" w:hAnsiTheme="majorBidi" w:cstheme="majorBidi"/>
          <w:noProof/>
          <w:sz w:val="24"/>
          <w:szCs w:val="24"/>
        </w:rPr>
        <w:t xml:space="preserve"> 11, no. 1 (2023): 114–29.</w:t>
      </w:r>
      <w:r w:rsidRPr="00E31FCD">
        <w:rPr>
          <w:rFonts w:asciiTheme="majorBidi" w:hAnsiTheme="majorBidi" w:cstheme="majorBidi"/>
          <w:sz w:val="24"/>
          <w:szCs w:val="24"/>
        </w:rPr>
        <w:fldChar w:fldCharType="end"/>
      </w:r>
      <w:r w:rsidRPr="00E31FCD">
        <w:rPr>
          <w:rFonts w:asciiTheme="majorBidi" w:eastAsia="Times New Roman" w:hAnsiTheme="majorBidi" w:cstheme="majorBidi"/>
          <w:b/>
          <w:bCs/>
          <w:kern w:val="0"/>
          <w:sz w:val="24"/>
          <w:szCs w:val="24"/>
          <w14:ligatures w14:val="none"/>
        </w:rPr>
        <w:t xml:space="preserve"> </w:t>
      </w:r>
      <w:hyperlink r:id="rId33" w:history="1">
        <w:r w:rsidRPr="00E31FCD">
          <w:rPr>
            <w:rStyle w:val="Hyperlink"/>
            <w:rFonts w:asciiTheme="majorBidi" w:hAnsiTheme="majorBidi" w:cstheme="majorBidi"/>
            <w:color w:val="auto"/>
            <w:sz w:val="24"/>
            <w:szCs w:val="24"/>
          </w:rPr>
          <w:t>https://doi.org/10.26740/kmkn.v11n1.p114-129</w:t>
        </w:r>
      </w:hyperlink>
    </w:p>
    <w:p w14:paraId="42855717"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{"citationItems":[{"id":"ITEM-1","itemData":{"ISSN":"2407-1587","author":[{"dropping-particle":"","family":"Sandora","given":"Meri","non-dropping-particle":"","parse-names":false,"suffix":""}],"container-title":"Marwah: Jurnal Perempuan, Agama dan Jender","id":"ITEM-1","issue":"2","issued":{"date-parts":[["2019"]]},"page":"196-216","title":"Konsep pendidkan anak marginal dalam perspektif pendidikan berbasis masyarakat","type":"article-journal","volume":"18"},"uris":["http://www.mendeley.com/documents/?uuid=5fae8751-2ab1-44c6-b668-2f4f327249ff"]}],"mendeley":{"formattedCitation":"Meri Sandora, “Konsep Pendidkan Anak Marginal Dalam Perspektif Pendidikan Berbasis Masyarakat,” &lt;i&gt;Marwah: Jurnal Perempuan, Agama Dan Jender&lt;/i&gt; 18, no. 2 (2019): 196–216.","plainTextFormattedCitation":"Meri Sandora, “Konsep Pendidkan Anak Marginal Dalam Perspektif Pendidikan Berbasis Masyarakat,” Marwah: Jurnal Perempuan, Agama Dan Jender 18, no. 2 (2019): 196–216.","previouslyFormattedCitation":"Meri Sandora, “Konsep Pendidkan Anak Marginal Dalam Perspektif Pendidikan Berbasis Masyarakat,” &lt;i&gt;Marwah: Jurnal Perempuan, Agama Dan Jender&lt;/i&gt; 18, no. 2 (2019): 196–216."},"properties":{"noteIndex":49},"schema":"https://github.com/citation-style-language/schema/raw/master/csl-citation.json"}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Meri Sandora, “Konsep Pendidkan Anak Marginal Dalam Perspektif Pendidikan Berbasis Masyarakat,” </w:t>
      </w:r>
      <w:r w:rsidRPr="00E31FCD">
        <w:rPr>
          <w:rFonts w:asciiTheme="majorBidi" w:hAnsiTheme="majorBidi" w:cstheme="majorBidi"/>
          <w:i/>
          <w:noProof/>
          <w:sz w:val="24"/>
          <w:szCs w:val="24"/>
        </w:rPr>
        <w:t>Marwah: Jurnal Perempuan, Agama Dan Jender</w:t>
      </w:r>
      <w:r w:rsidRPr="00E31FCD">
        <w:rPr>
          <w:rFonts w:asciiTheme="majorBidi" w:hAnsiTheme="majorBidi" w:cstheme="majorBidi"/>
          <w:noProof/>
          <w:sz w:val="24"/>
          <w:szCs w:val="24"/>
        </w:rPr>
        <w:t xml:space="preserve"> 18, no. 2 (2019): 196–216.</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34" w:history="1">
        <w:r w:rsidRPr="00E31FCD">
          <w:rPr>
            <w:rStyle w:val="Hyperlink"/>
            <w:rFonts w:asciiTheme="majorBidi" w:hAnsiTheme="majorBidi" w:cstheme="majorBidi"/>
            <w:color w:val="auto"/>
            <w:sz w:val="24"/>
            <w:szCs w:val="24"/>
          </w:rPr>
          <w:t>http://dx.doi.org/10.24014/marwah.v18i2.7588</w:t>
        </w:r>
      </w:hyperlink>
    </w:p>
    <w:p w14:paraId="106AF25D" w14:textId="77777777" w:rsidR="00F40DE8" w:rsidRPr="00E31FCD" w:rsidRDefault="00F40DE8" w:rsidP="00F40DE8">
      <w:pPr>
        <w:spacing w:after="0" w:line="240" w:lineRule="auto"/>
        <w:ind w:left="720" w:hanging="720"/>
        <w:jc w:val="both"/>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{"citationItems":[{"id":"ITEM-1","itemData":{"ISSN":"2407-1587","author":[{"dropping-particle":"","family":"Sandora","given":"Meri","non-dropping-particle":"","parse-names":false,"suffix":""}],"container-title":"Marwah: Jurnal Perempuan, Agama dan Jender","id":"ITEM-1","issue":"2","issued":{"date-parts":[["2019"]]},"page":"196-216","title":"Konsep pendidkan anak marginal dalam perspektif pendidikan berbasis masyarakat","type":"article-journal","volume":"18"},"uris":["http://www.mendeley.com/documents/?uuid=5fae8751-2ab1-44c6-b668-2f4f327249ff"]}],"mendeley":{"formattedCitation":"Meri Sandora, “Konsep Pendidkan Anak Marginal Dalam Perspektif Pendidikan Berbasis Masyarakat,” &lt;i&gt;Marwah: Jurnal Perempuan, Agama Dan Jender&lt;/i&gt; 18, no. 2 (2019): 196–216.","plainTextFormattedCitation":"Meri Sandora, “Konsep Pendidkan Anak Marginal Dalam Perspektif Pendidikan Berbasis Masyarakat,” Marwah: Jurnal Perempuan, Agama Dan Jender 18, no. 2 (2019): 196–216.","previouslyFormattedCitation":"Meri Sandora, “Konsep Pendidkan Anak Marginal Dalam Perspektif Pendidikan Berbasis Masyarakat,” &lt;i&gt;Marwah: Jurnal Perempuan, Agama Dan Jender&lt;/i&gt; 18, no. 2 (2019): 196–216."},"properties":{"noteIndex":49},"schema":"https://github.com/citation-style-language/schema/raw/master/csl-citation.json"}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Meri Sandora, “Konsep Pendidkan Anak Marginal Dalam Perspektif Pendidikan Berbasis Masyarakat,” </w:t>
      </w:r>
      <w:r w:rsidRPr="00E31FCD">
        <w:rPr>
          <w:rFonts w:asciiTheme="majorBidi" w:hAnsiTheme="majorBidi" w:cstheme="majorBidi"/>
          <w:i/>
          <w:noProof/>
        </w:rPr>
        <w:t>Marwah: Jurnal Perempuan, Agama Dan Jender</w:t>
      </w:r>
      <w:r w:rsidRPr="00E31FCD">
        <w:rPr>
          <w:rFonts w:asciiTheme="majorBidi" w:hAnsiTheme="majorBidi" w:cstheme="majorBidi"/>
          <w:noProof/>
        </w:rPr>
        <w:t xml:space="preserve"> 18, no. 2 (2019): 196–216.</w:t>
      </w:r>
      <w:r w:rsidRPr="00E31FCD">
        <w:rPr>
          <w:rFonts w:asciiTheme="majorBidi" w:hAnsiTheme="majorBidi" w:cstheme="majorBidi"/>
        </w:rPr>
        <w:fldChar w:fldCharType="end"/>
      </w:r>
    </w:p>
    <w:p w14:paraId="71E08790"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{"citationItems":[{"id":"ITEM-1","itemData":{"ISSN":"2528-1658","author":[{"dropping-particle":"","family":"Hussin","given":"Mohd Norhusairi Mat","non-dropping-particle":"","parse-names":false,"suffix":""},{"dropping-particle":"","family":"Arifah","given":"Risma Nur","non-dropping-particle":"","parse-names":false,"suffix":""},{"dropping-particle":"","family":"Aisyah","given":"Siti","non-dropping-particle":"","parse-names":false,"suffix":""},{"dropping-particle":"","family":"Daud","given":"Mohd Zaidi","non-dropping-particle":"","parse-names":false,"suffix":""},{"dropping-particle":"","family":"Samah","given":"Mahamatayuding","non-dropping-particle":"","parse-names":false,"suffix":""}],"container-title":"De Jure: Jurnal Hukum dan Syar'iah","id":"ITEM-1","issue":"2","issued":{"date-parts":[["2025"]]},"page":"394-416","title":"Local Wisdom and Gender Equality in Joint Property Division: An Islamic Legal Perspective from Malaysia","type":"article-journal","volume":"17"},"uris":["http://www.mendeley.com/documents/?uuid=bfa50a6e-29dc-4a9b-a313-55c19a89886c"]}],"mendeley":{"formattedCitation":"Mohd Norhusairi Mat Hussin et al., “Local Wisdom and Gender Equality in Joint Property Division: An Islamic Legal Perspective from Malaysia,” &lt;i&gt;De Jure: Jurnal Hukum Dan Syar’iah&lt;/i&gt; 17, no. 2 (2025): 394–416.","plainTextFormattedCitation":"Mohd Norhusairi Mat Hussin et al., “Local Wisdom and Gender Equality in Joint Property Division: An Islamic Legal Perspective from Malaysia,” De Jure: Jurnal Hukum Dan Syar’iah 17, no. 2 (2025): 394–416.","previouslyFormattedCitation":"Mohd Norhusairi Mat Hussin et al., “Local Wisdom and Gender Equality in Joint Property Division: An Islamic Legal Perspective from Malaysia,” &lt;i&gt;De Jure: Jurnal Hukum Dan Syar’iah&lt;/i&gt; 17, no. 2 (2025): 394–416."},"properties":{"noteIndex":63},"schema":"https://github.com/citation-style-language/schema/raw/master/csl-citation.json"}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Mohd Norhusairi Mat Hussin et al., “Local Wisdom and Gender Equality in Joint Property Division: An Islamic Legal Perspective from Malaysia,” </w:t>
      </w:r>
      <w:r w:rsidRPr="00E31FCD">
        <w:rPr>
          <w:rFonts w:asciiTheme="majorBidi" w:hAnsiTheme="majorBidi" w:cstheme="majorBidi"/>
          <w:i/>
          <w:noProof/>
        </w:rPr>
        <w:t>De Jure: Jurnal Hukum Dan Syar’iah</w:t>
      </w:r>
      <w:r w:rsidRPr="00E31FCD">
        <w:rPr>
          <w:rFonts w:asciiTheme="majorBidi" w:hAnsiTheme="majorBidi" w:cstheme="majorBidi"/>
          <w:noProof/>
        </w:rPr>
        <w:t xml:space="preserve"> 17, no. 2 (2025): 394–416.</w:t>
      </w:r>
      <w:r w:rsidRPr="00E31FCD">
        <w:rPr>
          <w:rFonts w:asciiTheme="majorBidi" w:hAnsiTheme="majorBidi" w:cstheme="majorBidi"/>
        </w:rPr>
        <w:fldChar w:fldCharType="end"/>
      </w:r>
      <w:r w:rsidRPr="00E31FCD">
        <w:rPr>
          <w:rFonts w:asciiTheme="majorBidi" w:hAnsiTheme="majorBidi" w:cstheme="majorBidi"/>
        </w:rPr>
        <w:t xml:space="preserve"> </w:t>
      </w:r>
      <w:hyperlink r:id="rId35" w:history="1">
        <w:r w:rsidRPr="00E31FCD">
          <w:rPr>
            <w:rStyle w:val="Hyperlink"/>
            <w:rFonts w:asciiTheme="majorBidi" w:hAnsiTheme="majorBidi" w:cstheme="majorBidi"/>
            <w:color w:val="auto"/>
          </w:rPr>
          <w:t>https://doi.org/10.18860/j-fsh.v17i2.31562</w:t>
        </w:r>
      </w:hyperlink>
    </w:p>
    <w:p w14:paraId="4DBD9ED7"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{"citationItems":[{"id":"ITEM-1","itemData":{"ISSN":"2443-2067","author":[{"dropping-particle":"","family":"Muassomah","given":"Muassomah","non-dropping-particle":"","parse-names":false,"suffix":""},{"dropping-particle":"","family":"Yaacob","given":"Salmy Edawati","non-dropping-particle":"","parse-names":false,"suffix":""},{"dropping-particle":"","family":"Khairiah","given":"Khairiah","non-dropping-particle":"","parse-names":false,"suffix":""},{"dropping-particle":"","family":"Yurisa","given":"Penny Respati","non-dropping-particle":"","parse-names":false,"suffix":""},{"dropping-particle":"","family":"Demina","given":"Demina","non-dropping-particle":"","parse-names":false,"suffix":""}],"container-title":"Jurnal Ilmiah Peuradeun","id":"ITEM-1","issue":"3","issued":{"date-parts":[["2025"]]},"page":"1615-1642","publisher":"SCAD Independent","title":"Participatory-based character education: Indonesian school children’s experiences","type":"article-journal","volume":"13"},"uris":["http://www.mendeley.com/documents/?uuid=aea17401-6233-49f1-a277-a34da9a6b88f"]}],"mendeley":{"formattedCitation":"Muassomah Muassomah et al., “Participatory-Based Character Education: Indonesian School Children’s Experiences,” &lt;i&gt;Jurnal Ilmiah Peuradeun&lt;/i&gt; 13, no. 3 (2025): 1615–42.","plainTextFormattedCitation":"Muassomah Muassomah et al., “Participatory-Based Character Education: Indonesian School Children’s Experiences,” Jurnal Ilmiah Peuradeun 13, no. 3 (2025): 1615–42.","previouslyFormattedCitation":"Muassomah Muassomah et al., “Participatory-Based Character Education: Indonesian School Children’s Experiences,” &lt;i&gt;Jurnal Ilmiah Peuradeun&lt;/i&gt; 13, no. 3 (2025): 1615–42."},"properties":{"noteIndex":16},"schema":"https://github.com/citation-style-language/schema/raw/master/csl-citation.json"}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Muassomah Muassomah et al., “Participatory-Based Character Education: Indonesian School Children’s Experiences,” </w:t>
      </w:r>
      <w:r w:rsidRPr="00E31FCD">
        <w:rPr>
          <w:rFonts w:asciiTheme="majorBidi" w:hAnsiTheme="majorBidi" w:cstheme="majorBidi"/>
          <w:i/>
          <w:noProof/>
        </w:rPr>
        <w:t>Jurnal Ilmiah Peuradeun</w:t>
      </w:r>
      <w:r w:rsidRPr="00E31FCD">
        <w:rPr>
          <w:rFonts w:asciiTheme="majorBidi" w:hAnsiTheme="majorBidi" w:cstheme="majorBidi"/>
          <w:noProof/>
        </w:rPr>
        <w:t xml:space="preserve"> 13, no. 3 (2025): 1615–42.</w:t>
      </w:r>
      <w:r w:rsidRPr="00E31FCD">
        <w:rPr>
          <w:rFonts w:asciiTheme="majorBidi" w:hAnsiTheme="majorBidi" w:cstheme="majorBidi"/>
        </w:rPr>
        <w:fldChar w:fldCharType="end"/>
      </w:r>
    </w:p>
    <w:p w14:paraId="7E837DEF"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{"citationItems":[{"id":"ITEM-1","itemData":{"ISSN":"2807-7504","author":[{"dropping-particle":"","family":"Abror","given":"Muchlas","non-dropping-particle":"","parse-names":false,"suffix":""},{"dropping-particle":"","family":"Afrianti","given":"Hanifah Dwi","non-dropping-particle":"","parse-names":false,"suffix":""}],"container-title":"DEIKTIS: Jurnal Pendidikan Bahasa dan Sastra","id":"ITEM-1","issue":"1","issued":{"date-parts":[["2025"]]},"page":"326-347","title":"Representasi Perempuan dalam Lirik Lagu Sal Priadi: Antara Reproduksi dan Tantangan terhadap Norma Gender dalam Budaya Patriarki Indonesia","type":"article-journal","volume":"5"},"uris":["http://www.mendeley.com/documents/?uuid=3f7758ac-590c-4c30-bb05-f3b0813bdb39"]}],"mendeley":{"formattedCitation":"Muchlas Abror and Hanifah Dwi Afrianti, “Representasi Perempuan Dalam Lirik Lagu Sal Priadi: Antara Reproduksi Dan Tantangan Terhadap Norma Gender Dalam Budaya Patriarki Indonesia,” &lt;i&gt;DEIKTIS: Jurnal Pendidikan Bahasa Dan Sastra&lt;/i&gt; 5, no. 1 (2025): 326–47.","plainTextFormattedCitation":"Muchlas Abror and Hanifah Dwi Afrianti, “Representasi Perempuan Dalam Lirik Lagu Sal Priadi: Antara Reproduksi Dan Tantangan Terhadap Norma Gender Dalam Budaya Patriarki Indonesia,” DEIKTIS: Jurnal Pendidikan Bahasa Dan Sastra 5, no. 1 (2025): 326–47.","previouslyFormattedCitation":"Muchlas Abror and Hanifah Dwi Afrianti, “Representasi Perempuan Dalam Lirik Lagu Sal Priadi: Antara Reproduksi Dan Tantangan Terhadap Norma Gender Dalam Budaya Patriarki Indonesia,” &lt;i&gt;DEIKTIS: Jurnal Pendidikan Bahasa Dan Sastra&lt;/i&gt; 5, no. 1 (2025): 326–47."},"properties":{"noteIndex":59},"schema":"https://github.com/citation-style-language/schema/raw/master/csl-citation.json"}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Muchlas Abror and Hanifah Dwi Afrianti, “Representasi Perempuan Dalam Lirik Lagu Sal Priadi: Antara Reproduksi Dan Tantangan Terhadap Norma Gender Dalam Budaya Patriarki Indonesia,” </w:t>
      </w:r>
      <w:r w:rsidRPr="00E31FCD">
        <w:rPr>
          <w:rFonts w:asciiTheme="majorBidi" w:hAnsiTheme="majorBidi" w:cstheme="majorBidi"/>
          <w:i/>
          <w:noProof/>
          <w:sz w:val="24"/>
          <w:szCs w:val="24"/>
        </w:rPr>
        <w:t>DEIKTIS: Jurnal Pendidikan Bahasa Dan Sastra</w:t>
      </w:r>
      <w:r w:rsidRPr="00E31FCD">
        <w:rPr>
          <w:rFonts w:asciiTheme="majorBidi" w:hAnsiTheme="majorBidi" w:cstheme="majorBidi"/>
          <w:noProof/>
          <w:sz w:val="24"/>
          <w:szCs w:val="24"/>
        </w:rPr>
        <w:t xml:space="preserve"> 5, no. 1 (2025): 326–47.</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36" w:history="1">
        <w:r w:rsidRPr="00E31FCD">
          <w:rPr>
            <w:rStyle w:val="Hyperlink"/>
            <w:rFonts w:asciiTheme="majorBidi" w:hAnsiTheme="majorBidi" w:cstheme="majorBidi"/>
            <w:color w:val="auto"/>
            <w:sz w:val="24"/>
            <w:szCs w:val="24"/>
          </w:rPr>
          <w:t>https://doi.org/10.53769/deiktis.v5i1.1395</w:t>
        </w:r>
      </w:hyperlink>
    </w:p>
    <w:p w14:paraId="1583463E"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{"citationItems":[{"id":"ITEM-1","itemData":{"ISSN":"2986-528X","author":[{"dropping-particle":"","family":"Sebyar","given":"Muhamad Hasan","non-dropping-particle":"","parse-names":false,"suffix":""},{"dropping-particle":"","family":"Anisa","given":"Anisa","non-dropping-particle":"","parse-names":false,"suffix":""},{"dropping-particle":"","family":"Asrori","given":"Hadi","non-dropping-particle":"","parse-names":false,"suffix":""},{"dropping-particle":"","family":"Sukiati","given":"Sukiati","non-dropping-particle":"","parse-names":false,"suffix":""},{"dropping-particle":"","family":"Bahy","given":"Moh Buny Andaru","non-dropping-particle":"","parse-names":false,"suffix":""}],"container-title":"MILRev: Metro Islamic Law Review","id":"ITEM-1","issue":"1","issued":{"date-parts":[["2026"]]},"page":"150-177","title":"Revitalising Maskan during ʿIddah: A Fiqh Analysis of Contemporary Post-Divorce Challenges in Indonesia","type":"article-journal","volume":"5"},"uris":["http://www.mendeley.com/documents/?uuid=c3edf9e9-f086-4618-af95-a8c1d2dc365f"]}],"mendeley":{"formattedCitation":"Muhamad Hasan Sebyar et al., “Revitalising Maskan during ʿIddah: A Fiqh Analysis of Contemporary Post-Divorce Challenges in Indonesia,” &lt;i&gt;MILRev: Metro Islamic Law Review&lt;/i&gt; 5, no. 1 (2026): 150–77.","plainTextFormattedCitation":"Muhamad Hasan Sebyar et al., “Revitalising Maskan during ʿIddah: A Fiqh Analysis of Contemporary Post-Divorce Challenges in Indonesia,” MILRev: Metro Islamic Law Review 5, no. 1 (2026): 150–77.","previouslyFormattedCitation":"Muhamad Hasan Sebyar et al., “Revitalising Maskan during ʿIddah: A Fiqh Analysis of Contemporary Post-Divorce Challenges in Indonesia,” &lt;i&gt;MILRev: Metro Islamic Law Review&lt;/i&gt; 5, no. 1 (2026): 150–77."},"properties":{"noteIndex":30},"schema":"https://github.com/citation-style-language/schema/raw/master/csl-citation.json"}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Muhamad Hasan Sebyar et al., “Revitalising Maskan during ʿIddah: A Fiqh Analysis of Contemporary Post-Divorce Challenges in Indonesia,” </w:t>
      </w:r>
      <w:r w:rsidRPr="00E31FCD">
        <w:rPr>
          <w:rFonts w:asciiTheme="majorBidi" w:hAnsiTheme="majorBidi" w:cstheme="majorBidi"/>
          <w:i/>
          <w:noProof/>
          <w:sz w:val="24"/>
          <w:szCs w:val="24"/>
        </w:rPr>
        <w:t>MILRev: Metro Islamic Law Review</w:t>
      </w:r>
      <w:r w:rsidRPr="00E31FCD">
        <w:rPr>
          <w:rFonts w:asciiTheme="majorBidi" w:hAnsiTheme="majorBidi" w:cstheme="majorBidi"/>
          <w:noProof/>
          <w:sz w:val="24"/>
          <w:szCs w:val="24"/>
        </w:rPr>
        <w:t xml:space="preserve"> 5, no. 1 (2026): 150–77.</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37" w:history="1">
        <w:r w:rsidRPr="00E31FCD">
          <w:rPr>
            <w:rStyle w:val="Hyperlink"/>
            <w:rFonts w:asciiTheme="majorBidi" w:hAnsiTheme="majorBidi" w:cstheme="majorBidi"/>
            <w:color w:val="auto"/>
            <w:sz w:val="24"/>
            <w:szCs w:val="24"/>
          </w:rPr>
          <w:t>https://doi.org/10.32332/milrev.v5i1.11534</w:t>
        </w:r>
      </w:hyperlink>
    </w:p>
    <w:p w14:paraId="682A7B48"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{"citationItems":[{"id":"ITEM-1","itemData":{"ISBN":"6236077207","author":[{"dropping-particle":"","family":"Huda","given":"Muhammad Chairul","non-dropping-particle":"","parse-names":false,"suffix":""},{"dropping-particle":"","family":"S HI","given":"M H","non-dropping-particle":"","parse-names":false,"suffix":""}],"id":"ITEM-1","issued":{"date-parts":[["2021"]]},"publisher":"The Mahfud Ridwan Institute","title":"Metode Penelitian Hukum (Pendekatan Yuridis Sosiologis)","type":"book"},"uris":["http://www.mendeley.com/documents/?uuid=602654a3-d7f2-455a-8386-86bf92e78123"]}],"mendeley":{"formattedCitation":"Muhammad Chairul Huda and M H S HI, &lt;i&gt;Metode Penelitian Hukum (Pendekatan Yuridis Sosiologis)&lt;/i&gt; (The Mahfud Ridwan Institute, 2021).","plainTextFormattedCitation":"Muhammad Chairul Huda and M H S HI, Metode Penelitian Hukum (Pendekatan Yuridis Sosiologis) (The Mahfud Ridwan Institute, 2021).","previouslyFormattedCitation":"Muhammad Chairul Huda and M H S HI, &lt;i&gt;Metode Penelitian Hukum (Pendekatan Yuridis Sosiologis)&lt;/i&gt; (The Mahfud Ridwan Institute, 2021)."},"properties":{"noteIndex":34},"schema":"https://github.com/citation-style-language/schema/raw/master/csl-citation.json"}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Muhammad Chairul Huda and M H S HI, </w:t>
      </w:r>
      <w:r w:rsidRPr="00E31FCD">
        <w:rPr>
          <w:rFonts w:asciiTheme="majorBidi" w:hAnsiTheme="majorBidi" w:cstheme="majorBidi"/>
          <w:i/>
          <w:noProof/>
          <w:sz w:val="24"/>
          <w:szCs w:val="24"/>
        </w:rPr>
        <w:t>Metode Penelitian Hukum (Pendekatan Yuridis Sosiologis)</w:t>
      </w:r>
      <w:r w:rsidRPr="00E31FCD">
        <w:rPr>
          <w:rFonts w:asciiTheme="majorBidi" w:hAnsiTheme="majorBidi" w:cstheme="majorBidi"/>
          <w:noProof/>
          <w:sz w:val="24"/>
          <w:szCs w:val="24"/>
        </w:rPr>
        <w:t xml:space="preserve"> (The Mahfud Ridwan Institute, 2021).</w:t>
      </w:r>
      <w:r w:rsidRPr="00E31FCD">
        <w:rPr>
          <w:rFonts w:asciiTheme="majorBidi" w:hAnsiTheme="majorBidi" w:cstheme="majorBidi"/>
          <w:sz w:val="24"/>
          <w:szCs w:val="24"/>
        </w:rPr>
        <w:fldChar w:fldCharType="end"/>
      </w:r>
    </w:p>
    <w:p w14:paraId="40C8734A"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{"citationItems":[{"id":"ITEM-1","itemData":{"author":[{"dropping-particle":"","family":"Ridwan","given":"Muhammad","non-dropping-particle":"","parse-names":false,"suffix":""}],"container-title":"Al-Istinbath: Jurnal Ilmu Hukum Dan Hukum Keluarga Islam","id":"ITEM-1","issue":"1","issued":{"date-parts":[["2024"]]},"page":"11-20","title":"Transformasi Hukum Keluarga Islam Di Era Digital: Analisis Sosiologi Hukum Terhadap Regulasi Perkawinan dan Perceraian Di Indonesia","type":"article-journal","volume":"1"},"uris":["http://www.mendeley.com/documents/?uuid=6bc38155-fb6b-44f6-b650-aa0931f7b0f9"]}],"mendeley":{"formattedCitation":"Muhammad Ridwan, “Transformasi Hukum Keluarga Islam Di Era Digital: Analisis Sosiologi Hukum Terhadap Regulasi Perkawinan Dan Perceraian Di Indonesia,” &lt;i&gt;Al-Istinbath: Jurnal Ilmu Hukum Dan Hukum Keluarga Islam&lt;/i&gt; 1, no. 1 (2024): 11–20.","plainTextFormattedCitation":"Muhammad Ridwan, “Transformasi Hukum Keluarga Islam Di Era Digital: Analisis Sosiologi Hukum Terhadap Regulasi Perkawinan Dan Perceraian Di Indonesia,” Al-Istinbath: Jurnal Ilmu Hukum Dan Hukum Keluarga Islam 1, no. 1 (2024): 11–20.","previouslyFormattedCitation":"Muhammad Ridwan, “Transformasi Hukum Keluarga Islam Di Era Digital: Analisis Sosiologi Hukum Terhadap Regulasi Perkawinan Dan Perceraian Di Indonesia,” &lt;i&gt;Al-Istinbath: Jurnal Ilmu Hukum Dan Hukum Keluarga Islam&lt;/i&gt; 1, no. 1 (2024): 11–20."},"properties":{"noteIndex":68},"schema":"https://github.com/citation-style-language/schema/raw/master/csl-citation.json"}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Muhammad Ridwan, “Transformasi Hukum Keluarga Islam Di Era Digital: Analisis Sosiologi Hukum Terhadap Regulasi Perkawinan Dan Perceraian Di Indonesia,” </w:t>
      </w:r>
      <w:r w:rsidRPr="00E31FCD">
        <w:rPr>
          <w:rFonts w:asciiTheme="majorBidi" w:hAnsiTheme="majorBidi" w:cstheme="majorBidi"/>
          <w:i/>
          <w:noProof/>
          <w:sz w:val="24"/>
          <w:szCs w:val="24"/>
        </w:rPr>
        <w:t>Al-Istinbath: Jurnal Ilmu Hukum Dan Hukum Keluarga Islam</w:t>
      </w:r>
      <w:r w:rsidRPr="00E31FCD">
        <w:rPr>
          <w:rFonts w:asciiTheme="majorBidi" w:hAnsiTheme="majorBidi" w:cstheme="majorBidi"/>
          <w:noProof/>
          <w:sz w:val="24"/>
          <w:szCs w:val="24"/>
        </w:rPr>
        <w:t xml:space="preserve"> 1, no. 1 (2024): 11–20.</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38" w:history="1">
        <w:r w:rsidRPr="00E31FCD">
          <w:rPr>
            <w:rStyle w:val="Hyperlink"/>
            <w:rFonts w:asciiTheme="majorBidi" w:hAnsiTheme="majorBidi" w:cstheme="majorBidi"/>
            <w:color w:val="auto"/>
            <w:sz w:val="24"/>
            <w:szCs w:val="24"/>
          </w:rPr>
          <w:t>https://doi.org/10.71242/akcp9f65</w:t>
        </w:r>
      </w:hyperlink>
    </w:p>
    <w:p w14:paraId="64FBBA91"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{"citationItems":[{"id":"ITEM-1","itemData":{"ISSN":"2502-3616","author":[{"dropping-particle":"","family":"Rusydi","given":"Muhammad","non-dropping-particle":"","parse-names":false,"suffix":""}],"container-title":"MIQOT: Jurnal Ilmu-Ilmu Keislaman","id":"ITEM-1","issue":"2","issued":{"date-parts":[["2014"]]},"title":"Relasi laki-laki dan perempuan dalam al-qur’an menurut Amina Wadud","type":"article-journal","volume":"38"},"uris":["http://www.mendeley.com/documents/?uuid=18fb510a-4d85-482a-bc8d-a16acbf474c3"]}],"mendeley":{"formattedCitation":"Muhammad Rusydi, “Relasi Laki-Laki Dan Perempuan Dalam Al-Qur’an Menurut Amina Wadud,” &lt;i&gt;MIQOT: Jurnal Ilmu-Ilmu Keislaman&lt;/i&gt; 38, no. 2 (2014).","plainTextFormattedCitation":"Muhammad Rusydi, “Relasi Laki-Laki Dan Perempuan Dalam Al-Qur’an Menurut Amina Wadud,” MIQOT: Jurnal Ilmu-Ilmu Keislaman 38, no. 2 (2014).","previouslyFormattedCitation":"Muhammad Rusydi, “Relasi Laki-Laki Dan Perempuan Dalam Al-Qur’an Menurut Amina Wadud,” &lt;i&gt;MIQOT: Jurnal Ilmu-Ilmu Keislaman&lt;/i&gt; 38, no. 2 (2014)."},"properties":{"noteIndex":75},"schema":"https://github.com/citation-style-language/schema/raw/master/csl-citation.json"}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Muhammad Rusydi, “Relasi Laki-Laki Dan Perempuan Dalam Al-Qur’an Menurut Amina Wadud,” </w:t>
      </w:r>
      <w:r w:rsidRPr="00E31FCD">
        <w:rPr>
          <w:rFonts w:asciiTheme="majorBidi" w:hAnsiTheme="majorBidi" w:cstheme="majorBidi"/>
          <w:i/>
          <w:noProof/>
          <w:sz w:val="24"/>
          <w:szCs w:val="24"/>
        </w:rPr>
        <w:t>MIQOT: Jurnal Ilmu-Ilmu Keislaman</w:t>
      </w:r>
      <w:r w:rsidRPr="00E31FCD">
        <w:rPr>
          <w:rFonts w:asciiTheme="majorBidi" w:hAnsiTheme="majorBidi" w:cstheme="majorBidi"/>
          <w:noProof/>
          <w:sz w:val="24"/>
          <w:szCs w:val="24"/>
        </w:rPr>
        <w:t xml:space="preserve"> 38, no. 2 (2014).</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39" w:history="1">
        <w:r w:rsidRPr="00E31FCD">
          <w:rPr>
            <w:rStyle w:val="Hyperlink"/>
            <w:rFonts w:asciiTheme="majorBidi" w:hAnsiTheme="majorBidi" w:cstheme="majorBidi"/>
            <w:color w:val="auto"/>
            <w:sz w:val="24"/>
            <w:szCs w:val="24"/>
          </w:rPr>
          <w:t>http://dx.doi.org/10.30821/miqot.v38i2.60</w:t>
        </w:r>
      </w:hyperlink>
    </w:p>
    <w:p w14:paraId="283140F7"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2549-3167","author":[{"dropping-particle":"","family":"Sultan","given":"Muslihin","non-dropping-particle":"","parse-names":false,"suffix":""},{"dropping-particle":"","family":"Alimin","given":"Alimin","non-dropping-particle":"","parse-names":false,"suffix":""},{"dropping-particle":"","family":"Muttaqin","given":"Ahmad","non-dropping-particle":"","parse-names":false,"suffix":""},{"dropping-particle":"","family":"Hanafi","given":"Syawaluddin","non-dropping-particle":"","parse-names":false,"suffix":""},{"dropping-particle":"","family":"Furqany","given":"Syahril","non-dropping-particle":"","parse-names":false,"suffix":""}],"container-title":"Samarah: Jurnal Hukum Keluarga dan Hukum Islam","id":"ITEM-1","issue":"3","issued":{"date-parts":[["2025"]]},"page":"1491-1517","title":"Female Friendly, Patriarchy, and the Adoption of Arabic Pronouns: Linguistic Analysis of Family Law Verses in the Al-Qur’an","type":"article-journal","volume":"9"},"uris":["http://www.mendeley.com/documents/?uuid=68ca52f1-f425-4c59-95f1-7ba90c73acd7"]}],"mendeley":{"formattedCitation":"Muslihin Sultan et al., “Female Friendly, Patriarchy, and the Adoption of Arabic Pronouns: Linguistic Analysis of Family Law Verses in the Al-Qur’an,” &lt;i&gt;Samarah: Jurnal Hukum Keluarga Dan Hukum Islam&lt;/i&gt; 9, no. 3 (2025): 1491–1517.","plainTextFormattedCitation":"Muslihin Sultan et al., “Female Friendly, Patriarchy, and the Adoption of Arabic Pronouns: Linguistic Analysis of Family Law Verses in the Al-Qur’an,” Samarah: Jurnal Hukum Keluarga Dan Hukum Islam 9, no. 3 (2025): 1491–1517.","previouslyFormattedCitation":"Muslihin Sultan et al., “Female Friendly, Patriarchy, and the Adoption of Arabic Pronouns: Linguistic Analysis of Family Law Verses in the Al-Qur’an,” &lt;i&gt;Samarah: Jurnal Hukum Keluarga Dan Hukum Islam&lt;/i&gt; 9, no. 3 (2025): 1491–1517."},"properties":{"noteIndex":20},"schema":"https://github.com/citation-style-language/schema/raw/master/csl-citation.json"}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Muslihin Sultan et al., “Female Friendly, Patriarchy, and the Adoption of Arabic Pronouns: Linguistic Analysis of Family Law Verses in the Al-Qur’an,” </w:t>
      </w:r>
      <w:r w:rsidRPr="00E31FCD">
        <w:rPr>
          <w:rFonts w:asciiTheme="majorBidi" w:hAnsiTheme="majorBidi" w:cstheme="majorBidi"/>
          <w:i/>
          <w:noProof/>
          <w:sz w:val="24"/>
          <w:szCs w:val="24"/>
        </w:rPr>
        <w:t>Samarah: Jurnal Hukum Keluarga Dan Hukum Islam</w:t>
      </w:r>
      <w:r w:rsidRPr="00E31FCD">
        <w:rPr>
          <w:rFonts w:asciiTheme="majorBidi" w:hAnsiTheme="majorBidi" w:cstheme="majorBidi"/>
          <w:noProof/>
          <w:sz w:val="24"/>
          <w:szCs w:val="24"/>
        </w:rPr>
        <w:t xml:space="preserve"> 9, no. 3 (2025): 1491–1517.</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40" w:history="1">
        <w:r w:rsidRPr="00E31FCD">
          <w:rPr>
            <w:rStyle w:val="Hyperlink"/>
            <w:rFonts w:asciiTheme="majorBidi" w:hAnsiTheme="majorBidi" w:cstheme="majorBidi"/>
            <w:color w:val="auto"/>
            <w:sz w:val="24"/>
            <w:szCs w:val="24"/>
          </w:rPr>
          <w:t>https://doi.org/10.22373/sjhk.v9.i3.29775</w:t>
        </w:r>
      </w:hyperlink>
    </w:p>
    <w:p w14:paraId="049619FA"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lastRenderedPageBreak/>
        <w:fldChar w:fldCharType="begin" w:fldLock="1"/>
      </w:r>
      <w:r w:rsidRPr="00E31FCD">
        <w:rPr>
          <w:rFonts w:asciiTheme="majorBidi" w:hAnsiTheme="majorBidi" w:cstheme="majorBidi"/>
        </w:rPr>
        <w:instrText>ADDIN CSL_CITATION {"citationItems":[{"id":"ITEM-1","itemData":{"ISSN":"3032-1069","author":[{"dropping-particle":"","family":"Qurrata'Ayun","given":"Najwa","non-dropping-particle":"","parse-names":false,"suffix":""},{"dropping-particle":"","family":"eka Pratiwi","given":"Siti","non-dropping-particle":"","parse-names":false,"suffix":""},{"dropping-particle":"","family":"Sari","given":"Dini Asyifa","non-dropping-particle":"","parse-names":false,"suffix":""},{"dropping-particle":"","family":"Noormala","given":"Siti","non-dropping-particle":"","parse-names":false,"suffix":""}],"container-title":"Interdisciplinary Explorations in Research Journal","id":"ITEM-1","issue":"2","issued":{"date-parts":[["2024"]]},"page":"677-694","title":"Menggugat Kekuatan Patriarki: Hak-hak perempuan dalam transformasi menuju kesetaraan gender","type":"article-journal","volume":"2"},"uris":["http://www.mendeley.com/documents/?uuid=93516de4-5df9-45d6-b8cf-5f25628a7c86"]}],"mendeley":{"formattedCitation":"Najwa Qurrata’Ayun et al., “Menggugat Kekuatan Patriarki: Hak-Hak Perempuan Dalam Transformasi Menuju Kesetaraan Gender,” &lt;i&gt;Interdisciplinary Explorations in Research Journal&lt;/i&gt; 2, no. 2 (2024): 677–94.","plainTextFormattedCitation":"Najwa Qurrata’Ayun et al., “Menggugat Kekuatan Patriarki: Hak-Hak Perempuan Dalam Transformasi Menuju Kesetaraan Gender,” Interdisciplinary Explorations in Research Journal 2, no. 2 (2024): 677–94.","previouslyFormattedCitation":"Najwa Qurrata’Ayun et al., “Menggugat Kekuatan Patriarki: Hak-Hak Perempuan Dalam Transformasi Menuju Kesetaraan Gender,” &lt;i&gt;Interdisciplinary Explorations in Research Journal&lt;/i&gt; 2, no. 2 (2024): 677–94."},"properties":{"noteIndex":22},"schema":"https://github.com/citation-style-language/schema/raw/master/csl-citation.json"}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Najwa Qurrata’Ayun et al., “Menggugat Kekuatan Patriarki: Hak-Hak Perempuan Dalam Transformasi Menuju Kesetaraan Gender,” </w:t>
      </w:r>
      <w:r w:rsidRPr="00E31FCD">
        <w:rPr>
          <w:rFonts w:asciiTheme="majorBidi" w:hAnsiTheme="majorBidi" w:cstheme="majorBidi"/>
          <w:i/>
          <w:noProof/>
        </w:rPr>
        <w:t>Interdisciplinary Explorations in Research Journal</w:t>
      </w:r>
      <w:r w:rsidRPr="00E31FCD">
        <w:rPr>
          <w:rFonts w:asciiTheme="majorBidi" w:hAnsiTheme="majorBidi" w:cstheme="majorBidi"/>
          <w:noProof/>
        </w:rPr>
        <w:t xml:space="preserve"> 2, no. 2 (2024): 677–94.</w:t>
      </w:r>
      <w:r w:rsidRPr="00E31FCD">
        <w:rPr>
          <w:rFonts w:asciiTheme="majorBidi" w:hAnsiTheme="majorBidi" w:cstheme="majorBidi"/>
        </w:rPr>
        <w:fldChar w:fldCharType="end"/>
      </w:r>
      <w:r w:rsidRPr="00E31FCD">
        <w:rPr>
          <w:rFonts w:asciiTheme="majorBidi" w:hAnsiTheme="majorBidi" w:cstheme="majorBidi"/>
        </w:rPr>
        <w:t xml:space="preserve"> </w:t>
      </w:r>
      <w:hyperlink r:id="rId41" w:history="1">
        <w:r w:rsidRPr="00E31FCD">
          <w:rPr>
            <w:rStyle w:val="Hyperlink"/>
            <w:rFonts w:asciiTheme="majorBidi" w:hAnsiTheme="majorBidi" w:cstheme="majorBidi"/>
            <w:color w:val="auto"/>
          </w:rPr>
          <w:t>https://doi.org/10.62976/ierj.v2i2.528</w:t>
        </w:r>
      </w:hyperlink>
    </w:p>
    <w:p w14:paraId="0D6F41EC"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{"citationItems":[{"id":"ITEM-1","itemData":{"DOI":"10.1111/gwao.13145","ISSN":"14680432","abstract":"In this paper I analyze 30 years of research on patriarchy in top management and organization studies (MOS) journals, and I map out an agenda for (re)igniting patriarchy as both a topic of study and lens for viewing key MOS issues in a new light. I organize my review (175 articles) around three themes: intersections, subjects, and contexts. By intersections I refer to the nuanced ways that scholars define patriarchy, adopting interdisciplinary and intersectional perspectives to understand the diversity of women's experiences under patriarchal domination. By subjects I refer to the primary focus on women's experiences, and on the ways that women's subjectivities are socially constituted and negotiated within patriarchal discourses of work and organizational life. By contexts I refer to the sites where MOS research has investigated patriarchy, as well as the ways this research has framed patriarchy itself as a context. Based on this thematic review, I outline a future research agenda to further refine the concept in MOS in three key ways. I call for increased research approaches that center the structural/political forces of patriarchy and gender, increased focus on the experiences of men as agents and subjects of patriarchal domination, and increased attention on patriarchy in Western contexts to redress the overrepresentation of research on patriarchy in the Global South. I conclude that patriarchy is an important line of inquiry for MOS, and that further attention to the concept would enable MOS research to contribute more fully to contemporary debates on gender.","author":[{"dropping-particle":"","family":"Ferry","given":"Nicole","non-dropping-particle":"","parse-names":false,"suffix":""}],"container-title":"Gender, Work and Organization","id":"ITEM-1","issue":"1","issued":{"date-parts":[["2025"]]},"page":"302-329","title":"Where is the patriarchy?: A review and research agenda for the concept of patriarchy in management and organization studies","type":"article-journal","volume":"32"},"uris":["http://www.mendeley.com/documents/?uuid=66637a12-8093-4fd3-90a1-f2dc6a7b1a1d","http://www.mendeley.com/documents/?uuid=992c49cd-f55f-4cf3-bd26-b8ee4b147bc8"]}],"mendeley":{"formattedCitation":"Nicole Ferry, “Where Is the Patriarchy?: A Review and Research Agenda for the Concept of Patriarchy in Management and Organization Studies,” &lt;i&gt;Gender, Work and Organization&lt;/i&gt; 32, no. 1 (2025): 302–29, https://doi.org/10.1111/gwao.13145.","plainTextFormattedCitation":"Nicole Ferry, “Where Is the Patriarchy?: A Review and Research Agenda for the Concept of Patriarchy in Management and Organization Studies,” Gender, Work and Organization 32, no. 1 (2025): 302–29, https://doi.org/10.1111/gwao.13145.","previouslyFormattedCitation":"Nicole Ferry, “Where Is the Patriarchy?: A Review and Research Agenda for the Concept of Patriarchy in Management and Organization Studies,” &lt;i&gt;Gender, Work and Organization&lt;/i&gt; 32, no. 1 (2025): 302–29, https://doi.org/10.1111/gwao.13145."},"properties":{"noteIndex":55},"schema":"https://github.com/citation-style-language/schema/raw/master/csl-citation.json"}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Nicole Ferry, “Where Is the Patriarchy?: A Review and Research Agenda for the Concept of Patriarchy in Management and Organization Studies,” </w:t>
      </w:r>
      <w:r w:rsidRPr="00E31FCD">
        <w:rPr>
          <w:rFonts w:asciiTheme="majorBidi" w:hAnsiTheme="majorBidi" w:cstheme="majorBidi"/>
          <w:i/>
          <w:noProof/>
          <w:sz w:val="24"/>
          <w:szCs w:val="24"/>
        </w:rPr>
        <w:t>Gender, Work and Organization</w:t>
      </w:r>
      <w:r w:rsidRPr="00E31FCD">
        <w:rPr>
          <w:rFonts w:asciiTheme="majorBidi" w:hAnsiTheme="majorBidi" w:cstheme="majorBidi"/>
          <w:noProof/>
          <w:sz w:val="24"/>
          <w:szCs w:val="24"/>
        </w:rPr>
        <w:t xml:space="preserve"> 32, no. 1 (2025): 302–29, https://doi.org/10.1111/gwao.13145.</w:t>
      </w:r>
      <w:r w:rsidRPr="00E31FCD">
        <w:rPr>
          <w:rFonts w:asciiTheme="majorBidi" w:hAnsiTheme="majorBidi" w:cstheme="majorBidi"/>
          <w:sz w:val="24"/>
          <w:szCs w:val="24"/>
        </w:rPr>
        <w:fldChar w:fldCharType="end"/>
      </w:r>
    </w:p>
    <w:p w14:paraId="0040B3C2"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{"citationItems":[{"id":"ITEM-1","itemData":{"DOI":"10.1111/gwao.13145","ISSN":"14680432","abstract":"In this paper I analyze 30 years of research on patriarchy in top management and organization studies (MOS) journals, and I map out an agenda for (re)igniting patriarchy as both a topic of study and lens for viewing key MOS issues in a new light. I organize my review (175 articles) around three themes: intersections, subjects, and contexts. By intersections I refer to the nuanced ways that scholars define patriarchy, adopting interdisciplinary and intersectional perspectives to understand the diversity of women's experiences under patriarchal domination. By subjects I refer to the primary focus on women's experiences, and on the ways that women's subjectivities are socially constituted and negotiated within patriarchal discourses of work and organizational life. By contexts I refer to the sites where MOS research has investigated patriarchy, as well as the ways this research has framed patriarchy itself as a context. Based on this thematic review, I outline a future research agenda to further refine the concept in MOS in three key ways. I call for increased research approaches that center the structural/political forces of patriarchy and gender, increased focus on the experiences of men as agents and subjects of patriarchal domination, and increased attention on patriarchy in Western contexts to redress the overrepresentation of research on patriarchy in the Global South. I conclude that patriarchy is an important line of inquiry for MOS, and that further attention to the concept would enable MOS research to contribute more fully to contemporary debates on gender.","author":[{"dropping-particle":"","family":"Ferry","given":"Nicole","non-dropping-particle":"","parse-names":false,"suffix":""}],"container-title":"Gender, Work and Organization","id":"ITEM-1","issue":"1","issued":{"date-parts":[["2025"]]},"page":"302-329","title":"Where is the patriarchy?: A review and research agenda for the concept of patriarchy in management and organization studies","type":"article-journal","volume":"32"},"uris":["http://www.mendeley.com/documents/?uuid=66637a12-8093-4fd3-90a1-f2dc6a7b1a1d","http://www.mendeley.com/documents/?uuid=992c49cd-f55f-4cf3-bd26-b8ee4b147bc8"]}],"mendeley":{"formattedCitation":"Nicole Ferry, “Where Is the Patriarchy?: A Review and Research Agenda for the Concept of Patriarchy in Management and Organization Studies,” &lt;i&gt;Gender, Work and Organization&lt;/i&gt; 32, no. 1 (2025): 302–29, https://doi.org/10.1111/gwao.13145.","plainTextFormattedCitation":"Nicole Ferry, “Where Is the Patriarchy?: A Review and Research Agenda for the Concept of Patriarchy in Management and Organization Studies,” Gender, Work and Organization 32, no. 1 (2025): 302–29, https://doi.org/10.1111/gwao.13145.","previouslyFormattedCitation":"Nicole Ferry, “Where Is the Patriarchy?: A Review and Research Agenda for the Concept of Patriarchy in Management and Organization Studies,” &lt;i&gt;Gender, Work and Organization&lt;/i&gt; 32, no. 1 (2025): 302–29, https://doi.org/10.1111/gwao.13145."},"properties":{"noteIndex":55},"schema":"https://github.com/citation-style-language/schema/raw/master/csl-citation.json"}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Nicole Ferry, “Where Is the Patriarchy?: A Review and Research Agenda for the Concept of Patriarchy in Management and Organization Studies,” </w:t>
      </w:r>
      <w:r w:rsidRPr="00E31FCD">
        <w:rPr>
          <w:rFonts w:asciiTheme="majorBidi" w:hAnsiTheme="majorBidi" w:cstheme="majorBidi"/>
          <w:i/>
          <w:noProof/>
          <w:sz w:val="24"/>
          <w:szCs w:val="24"/>
        </w:rPr>
        <w:t>Gender, Work and Organization</w:t>
      </w:r>
      <w:r w:rsidRPr="00E31FCD">
        <w:rPr>
          <w:rFonts w:asciiTheme="majorBidi" w:hAnsiTheme="majorBidi" w:cstheme="majorBidi"/>
          <w:noProof/>
          <w:sz w:val="24"/>
          <w:szCs w:val="24"/>
        </w:rPr>
        <w:t xml:space="preserve"> 32, no. 1 (2025): 302–29, https://doi.org/10.1111/gwao.13145.</w:t>
      </w:r>
      <w:r w:rsidRPr="00E31FCD">
        <w:rPr>
          <w:rFonts w:asciiTheme="majorBidi" w:hAnsiTheme="majorBidi" w:cstheme="majorBidi"/>
          <w:sz w:val="24"/>
          <w:szCs w:val="24"/>
        </w:rPr>
        <w:fldChar w:fldCharType="end"/>
      </w:r>
    </w:p>
    <w:p w14:paraId="4D3CD5B8"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{"citationItems":[{"id":"ITEM-1","itemData":{"ISBN":"2355-6919","author":[{"dropping-particle":"","family":"Welly","given":"Nifki Setya","non-dropping-particle":"","parse-names":false,"suffix":""},{"dropping-particle":"","family":"Sari","given":"Genny Gustina","non-dropping-particle":"","parse-names":false,"suffix":""}],"id":"ITEM-1","issued":{"date-parts":[["2017"]]},"publisher":"Riau University","title":"Makna Hidup Janda Muda Pelaku Cerai Gugat Di Kota Pekanbaru","type":"article"},"uris":["http://www.mendeley.com/documents/?uuid=fa6360e6-9c0c-491e-9240-cd032375c5de"]}],"mendeley":{"formattedCitation":"Nifki Setya Welly and Genny Gustina Sari, “Makna Hidup Janda Muda Pelaku Cerai Gugat Di Kota Pekanbaru” (Riau University, 2017).","plainTextFormattedCitation":"Nifki Setya Welly and Genny Gustina Sari, “Makna Hidup Janda Muda Pelaku Cerai Gugat Di Kota Pekanbaru” (Riau University, 2017).","previouslyFormattedCitation":"Nifki Setya Welly and Genny Gustina Sari, “Makna Hidup Janda Muda Pelaku Cerai Gugat Di Kota Pekanbaru” (Riau University, 2017)."},"properties":{"noteIndex":39},"schema":"https://github.com/citation-style-language/schema/raw/master/csl-citation.json"}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Nifki Setya Welly and Genny Gustina Sari, “Makna Hidup Janda Muda Pelaku Cerai Gugat Di Kota Pekanbaru” (Riau University, 2017).</w:t>
      </w:r>
      <w:r w:rsidRPr="00E31FCD">
        <w:rPr>
          <w:rFonts w:asciiTheme="majorBidi" w:hAnsiTheme="majorBidi" w:cstheme="majorBidi"/>
          <w:sz w:val="24"/>
          <w:szCs w:val="24"/>
        </w:rPr>
        <w:fldChar w:fldCharType="end"/>
      </w:r>
    </w:p>
    <w:p w14:paraId="31DFCF2F"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{"citationItems":[{"id":"ITEM-1","itemData":{"author":[{"dropping-particle":"","family":"Hidayati","given":"Niswatul","non-dropping-particle":"","parse-names":false,"suffix":""}],"container-title":"Memahami Teori Hukum: Percikan Pemikiran Ilmu Hukum Lintas Mazhab","id":"ITEM-1","issued":{"date-parts":[["2022"]]},"publisher":"Q Media","title":"Rasionalitas Hukum dalam Pandangan Max Weber","type":"article-journal","volume":"113"},"uris":["http://www.mendeley.com/documents/?uuid=c820410a-b6ab-4e83-928e-6d0bb8c08cb1"]}],"mendeley":{"formattedCitation":"Niswatul Hidayati, “Rasionalitas Hukum Dalam Pandangan Max Weber,” &lt;i&gt;Memahami Teori Hukum: Percikan Pemikiran Ilmu Hukum Lintas Mazhab&lt;/i&gt; 113 (2022).","plainTextFormattedCitation":"Niswatul Hidayati, “Rasionalitas Hukum Dalam Pandangan Max Weber,” Memahami Teori Hukum: Percikan Pemikiran Ilmu Hukum Lintas Mazhab 113 (2022).","previouslyFormattedCitation":"Niswatul Hidayati, “Rasionalitas Hukum Dalam Pandangan Max Weber,” &lt;i&gt;Memahami Teori Hukum: Percikan Pemikiran Ilmu Hukum Lintas Mazhab&lt;/i&gt; 113 (2022)."},"properties":{"noteIndex":65},"schema":"https://github.com/citation-style-language/schema/raw/master/csl-citation.json"}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Niswatul Hidayati, “Rasionalitas Hukum Dalam Pandangan Max Weber,” </w:t>
      </w:r>
      <w:r w:rsidRPr="00E31FCD">
        <w:rPr>
          <w:rFonts w:asciiTheme="majorBidi" w:hAnsiTheme="majorBidi" w:cstheme="majorBidi"/>
          <w:i/>
          <w:noProof/>
          <w:sz w:val="24"/>
          <w:szCs w:val="24"/>
        </w:rPr>
        <w:t>Memahami Teori Hukum: Percikan Pemikiran Ilmu Hukum Lintas Mazhab</w:t>
      </w:r>
      <w:r w:rsidRPr="00E31FCD">
        <w:rPr>
          <w:rFonts w:asciiTheme="majorBidi" w:hAnsiTheme="majorBidi" w:cstheme="majorBidi"/>
          <w:noProof/>
          <w:sz w:val="24"/>
          <w:szCs w:val="24"/>
        </w:rPr>
        <w:t xml:space="preserve"> 113 (2022).</w:t>
      </w:r>
      <w:r w:rsidRPr="00E31FCD">
        <w:rPr>
          <w:rFonts w:asciiTheme="majorBidi" w:hAnsiTheme="majorBidi" w:cstheme="majorBidi"/>
          <w:sz w:val="24"/>
          <w:szCs w:val="24"/>
        </w:rPr>
        <w:fldChar w:fldCharType="end"/>
      </w:r>
    </w:p>
    <w:p w14:paraId="721C100B"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ISSN":"2528-1658","author":[{"dropping-particle":"","family":"Salam","given":"Nor","non-dropping-particle":"","parse-names":false,"suffix":""},{"dropping-particle":"","family":"Purnomo","given":"Agus","non-dropping-particle":"","parse-names":false,"suffix":""},{"dropping-particle":"","family":"Saifullah","given":"Saifullah","non-dropping-particle":"","parse-names":false,"suffix":""},{"dropping-particle":"","family":"Ahmad","given":"Sirojuddin","non-dropping-particle":"","parse-names":false,"suffix":""}],"container-title":"De Jure: Jurnal Hukum Dan Syar'iah","id":"ITEM-1","issue":"1","issued":{"date-parts":[["2024"]]},"page":"179-196","title":"Interfaith marriage from the perspective of rationality: Theocentrism in Islamic law and anthropocentrism in human rights law","type":"article-journal","volume":"16"},"uris":["http://www.mendeley.com/documents/?uuid=e58aca22-87b0-46e4-a84c-6bb58c3870fc"]}],"mendeley":{"formattedCitation":"Nor Salam et al., “Interfaith Marriage from the Perspective of Rationality: Theocentrism in Islamic Law and Anthropocentrism in Human Rights Law,” &lt;i&gt;De Jure: Jurnal Hukum Dan Syar’iah&lt;/i&gt; 16, no. 1 (2024): 179–96.","plainTextFormattedCitation":"Nor Salam et al., “Interfaith Marriage from the Perspective of Rationality: Theocentrism in Islamic Law and Anthropocentrism in Human Rights Law,” De Jure: Jurnal Hukum Dan Syar’iah 16, no. 1 (2024): 179–96.","previouslyFormattedCitation":"Nor Salam et al., “Interfaith Marriage from the Perspective of Rationality: Theocentrism in Islamic Law and Anthropocentrism in Human Rights Law,” &lt;i&gt;De Jure: Jurnal Hukum Dan Syar’iah&lt;/i&gt; 16, no. 1 (2024): 179–96."},"properties":{"noteIndex":54},"schema":"https://github.com/citation-style-language/schema/raw/master/csl-citation.json"}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Nor Salam et al., “Interfaith Marriage from the Perspective of Rationality: Theocentrism in Islamic Law and Anthropocentrism in Human Rights Law,” </w:t>
      </w:r>
      <w:r w:rsidRPr="00E31FCD">
        <w:rPr>
          <w:rFonts w:asciiTheme="majorBidi" w:hAnsiTheme="majorBidi" w:cstheme="majorBidi"/>
          <w:i/>
          <w:noProof/>
        </w:rPr>
        <w:t>De Jure: Jurnal Hukum Dan Syar’iah</w:t>
      </w:r>
      <w:r w:rsidRPr="00E31FCD">
        <w:rPr>
          <w:rFonts w:asciiTheme="majorBidi" w:hAnsiTheme="majorBidi" w:cstheme="majorBidi"/>
          <w:noProof/>
        </w:rPr>
        <w:t xml:space="preserve"> 16, no. 1 (2024): 179–96.</w:t>
      </w:r>
      <w:r w:rsidRPr="00E31FCD">
        <w:rPr>
          <w:rFonts w:asciiTheme="majorBidi" w:hAnsiTheme="majorBidi" w:cstheme="majorBidi"/>
        </w:rPr>
        <w:fldChar w:fldCharType="end"/>
      </w:r>
      <w:r w:rsidRPr="00E31FCD">
        <w:rPr>
          <w:rFonts w:asciiTheme="majorBidi" w:hAnsiTheme="majorBidi" w:cstheme="majorBidi"/>
        </w:rPr>
        <w:t xml:space="preserve"> </w:t>
      </w:r>
      <w:hyperlink r:id="rId42" w:history="1">
        <w:r w:rsidRPr="00E31FCD">
          <w:rPr>
            <w:rStyle w:val="Hyperlink"/>
            <w:rFonts w:asciiTheme="majorBidi" w:hAnsiTheme="majorBidi" w:cstheme="majorBidi"/>
            <w:color w:val="auto"/>
          </w:rPr>
          <w:t>https://doi.org/10.18860/j-fsh.v16i1.23989</w:t>
        </w:r>
      </w:hyperlink>
    </w:p>
    <w:p w14:paraId="39A06B42"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2528-1658","author":[{"dropping-particle":"","family":"Salam","given":"Nor","non-dropping-particle":"","parse-names":false,"suffix":""},{"dropping-particle":"","family":"Purnomo","given":"Agus","non-dropping-particle":"","parse-names":false,"suffix":""},{"dropping-particle":"","family":"Saifullah","given":"Saifullah","non-dropping-particle":"","parse-names":false,"suffix":""},{"dropping-particle":"","family":"Ahmad","given":"Sirojuddin","non-dropping-particle":"","parse-names":false,"suffix":""}],"container-title":"De Jure: Jurnal Hukum Dan Syar'iah","id":"ITEM-1","issue":"1","issued":{"date-parts":[["2024"]]},"page":"179-196","title":"Interfaith marriage from the perspective of rationality: Theocentrism in Islamic law and anthropocentrism in human rights law","type":"article-journal","volume":"16"},"uris":["http://www.mendeley.com/documents/?uuid=e58aca22-87b0-46e4-a84c-6bb58c3870fc"]}],"mendeley":{"formattedCitation":"Nor Salam et al., “Interfaith Marriage from the Perspective of Rationality: Theocentrism in Islamic Law and Anthropocentrism in Human Rights Law,” &lt;i&gt;De Jure: Jurnal Hukum Dan Syar’iah&lt;/i&gt; 16, no. 1 (2024): 179–96.","plainTextFormattedCitation":"Nor Salam et al., “Interfaith Marriage from the Perspective of Rationality: Theocentrism in Islamic Law and Anthropocentrism in Human Rights Law,” De Jure: Jurnal Hukum Dan Syar’iah 16, no. 1 (2024): 179–96.","previouslyFormattedCitation":"Nor Salam et al., “Interfaith Marriage from the Perspective of Rationality: Theocentrism in Islamic Law and Anthropocentrism in Human Rights Law,” &lt;i&gt;De Jure: Jurnal Hukum Dan Syar’iah&lt;/i&gt; 16, no. 1 (2024): 179–96."},"properties":{"noteIndex":54},"schema":"https://github.com/citation-style-language/schema/raw/master/csl-citation.json"}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Nor Salam et al., “Interfaith Marriage from the Perspective of Rationality: Theocentrism in Islamic Law and Anthropocentrism in Human Rights Law,” </w:t>
      </w:r>
      <w:r w:rsidRPr="00E31FCD">
        <w:rPr>
          <w:rFonts w:asciiTheme="majorBidi" w:hAnsiTheme="majorBidi" w:cstheme="majorBidi"/>
          <w:i/>
          <w:noProof/>
          <w:sz w:val="24"/>
          <w:szCs w:val="24"/>
        </w:rPr>
        <w:t>De Jure: Jurnal Hukum Dan Syar’iah</w:t>
      </w:r>
      <w:r w:rsidRPr="00E31FCD">
        <w:rPr>
          <w:rFonts w:asciiTheme="majorBidi" w:hAnsiTheme="majorBidi" w:cstheme="majorBidi"/>
          <w:noProof/>
          <w:sz w:val="24"/>
          <w:szCs w:val="24"/>
        </w:rPr>
        <w:t xml:space="preserve"> 16, no. 1 (2024): 179–96.</w:t>
      </w:r>
      <w:r w:rsidRPr="00E31FCD">
        <w:rPr>
          <w:rFonts w:asciiTheme="majorBidi" w:hAnsiTheme="majorBidi" w:cstheme="majorBidi"/>
          <w:sz w:val="24"/>
          <w:szCs w:val="24"/>
        </w:rPr>
        <w:fldChar w:fldCharType="end"/>
      </w:r>
    </w:p>
    <w:p w14:paraId="5A3FA728"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{"citationItems":[{"id":"ITEM-1","itemData":{"ISSN":"2580-9644","author":[{"dropping-particle":"","family":"Haini","given":"Nur","non-dropping-particle":"","parse-names":false,"suffix":""}],"container-title":"QAWWAM: Journal for gender mainstreaming","id":"ITEM-1","issue":"1","issued":{"date-parts":[["2022"]]},"page":"39-51","title":"Eksistensi Janda dalam Meningkatkan Perekonomian Keluarga Perspektif Gender (Studi di Desa Batu Bangka Kecamatan Moyo Hilir Kabupaten Sumbawa)","type":"article-journal","volume":"16"},"uris":["http://www.mendeley.com/documents/?uuid=8ce2d9af-4d09-4d9a-a0dd-1a8c2e98cb1c"]}],"mendeley":{"formattedCitation":"Nur Haini, “Eksistensi Janda Dalam Meningkatkan Perekonomian Keluarga Perspektif Gender (Studi Di Desa Batu Bangka Kecamatan Moyo Hilir Kabupaten Sumbawa),” &lt;i&gt;QAWWAM: Journal for Gender Mainstreaming&lt;/i&gt; 16, no. 1 (2022): 39–51.","plainTextFormattedCitation":"Nur Haini, “Eksistensi Janda Dalam Meningkatkan Perekonomian Keluarga Perspektif Gender (Studi Di Desa Batu Bangka Kecamatan Moyo Hilir Kabupaten Sumbawa),” QAWWAM: Journal for Gender Mainstreaming 16, no. 1 (2022): 39–51.","previouslyFormattedCitation":"Nur Haini, “Eksistensi Janda Dalam Meningkatkan Perekonomian Keluarga Perspektif Gender (Studi Di Desa Batu Bangka Kecamatan Moyo Hilir Kabupaten Sumbawa),” &lt;i&gt;QAWWAM: Journal for Gender Mainstreaming&lt;/i&gt; 16, no. 1 (2022): 39–51."},"properties":{"noteIndex":12},"schema":"https://github.com/citation-style-language/schema/raw/master/csl-citation.json"}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Nur Haini, “Eksistensi Janda Dalam Meningkatkan Perekonomian Keluarga Perspektif Gender (Studi Di Desa Batu Bangka Kecamatan Moyo Hilir Kabupaten Sumbawa),” </w:t>
      </w:r>
      <w:r w:rsidRPr="00E31FCD">
        <w:rPr>
          <w:rFonts w:asciiTheme="majorBidi" w:hAnsiTheme="majorBidi" w:cstheme="majorBidi"/>
          <w:i/>
          <w:noProof/>
          <w:sz w:val="24"/>
          <w:szCs w:val="24"/>
        </w:rPr>
        <w:t>QAWWAM: Journal for Gender Mainstreaming</w:t>
      </w:r>
      <w:r w:rsidRPr="00E31FCD">
        <w:rPr>
          <w:rFonts w:asciiTheme="majorBidi" w:hAnsiTheme="majorBidi" w:cstheme="majorBidi"/>
          <w:noProof/>
          <w:sz w:val="24"/>
          <w:szCs w:val="24"/>
        </w:rPr>
        <w:t xml:space="preserve"> 16, no. 1 (2022): 39–51.</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43" w:history="1">
        <w:r w:rsidRPr="00E31FCD">
          <w:rPr>
            <w:rStyle w:val="Hyperlink"/>
            <w:rFonts w:asciiTheme="majorBidi" w:hAnsiTheme="majorBidi" w:cstheme="majorBidi"/>
            <w:color w:val="auto"/>
            <w:sz w:val="24"/>
            <w:szCs w:val="24"/>
          </w:rPr>
          <w:t>https://doi.org/10.20414/qawwam.v16i1.5258</w:t>
        </w:r>
      </w:hyperlink>
    </w:p>
    <w:p w14:paraId="56FC7DC0"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ISSN":"2548-9887","author":[{"dropping-particle":"","family":"Nursaptini","given":"Nursaptini","non-dropping-particle":"","parse-names":false,"suffix":""},{"dropping-particle":"","family":"Sobri","given":"Muhammad","non-dropping-particle":"","parse-names":false,"suffix":""},{"dropping-particle":"","family":"Sutisna","given":"Deni","non-dropping-particle":"","parse-names":false,"suffix":""},{"dropping-particle":"","family":"Syazali","given":"Muhammad","non-dropping-particle":"","parse-names":false,"suffix":""},{"dropping-particle":"","family":"Widodo","given":"Arif","non-dropping-particle":"","parse-names":false,"suffix":""}],"id":"ITEM-1","issued":{"date-parts":[["2019"]]},"title":"Budaya patriarki dan akses perempuan dalam pendidikan","type":"article-journal"},"uris":["http://www.mendeley.com/documents/?uuid=fdd2c809-8348-470d-a554-125c16de79eb"]}],"mendeley":{"formattedCitation":"Nursaptini Nursaptini et al., “Budaya Patriarki Dan Akses Perempuan Dalam Pendidikan,” 2019.","plainTextFormattedCitation":"Nursaptini Nursaptini et al., “Budaya Patriarki Dan Akses Perempuan Dalam Pendidikan,” 2019.","previouslyFormattedCitation":"Nursaptini Nursaptini et al., “Budaya Patriarki Dan Akses Perempuan Dalam Pendidikan,” 2019."},"properties":{"noteIndex":24},"schema":"https://github.com/citation-style-language/schema/raw/master/csl-citation.json"}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Nursaptini Nursaptini et al., “Budaya Patriarki Dan Akses Perempuan Dalam Pendidikan,” 2019.</w:t>
      </w:r>
      <w:r w:rsidRPr="00E31FCD">
        <w:rPr>
          <w:rFonts w:asciiTheme="majorBidi" w:hAnsiTheme="majorBidi" w:cstheme="majorBidi"/>
        </w:rPr>
        <w:fldChar w:fldCharType="end"/>
      </w:r>
    </w:p>
    <w:p w14:paraId="2F710EE2" w14:textId="77777777" w:rsidR="00F40DE8" w:rsidRPr="00E31FCD" w:rsidRDefault="00F40DE8" w:rsidP="00F40DE8">
      <w:pPr>
        <w:pStyle w:val="FootnoteText"/>
        <w:ind w:left="720" w:hanging="720"/>
        <w:jc w:val="both"/>
        <w:rPr>
          <w:rFonts w:asciiTheme="majorBidi" w:hAnsiTheme="majorBidi" w:cstheme="majorBidi"/>
          <w:b/>
          <w:bCs/>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{"citationItems":[{"id":"ITEM-1","itemData":{"ISSN":"2580-8524","author":[{"dropping-particle":"","family":"Afifah","given":"Nurul","non-dropping-particle":"","parse-names":false,"suffix":""}],"container-title":"Jurnal Dinamika Sosial Budaya","id":"ITEM-1","issue":"1","issued":{"date-parts":[["2024"]]},"page":"93-104","title":"Mengkaji ulang stereotip gender: Eksplorasi stereotip gender dalam konteks budaya matrilineal Minangkabau","type":"article-journal","volume":"26"},"uris":["http://www.mendeley.com/documents/?uuid=e379bd6f-2d26-4cb1-92a4-2793ed5d353d"]}],"mendeley":{"formattedCitation":"Nurul Afifah, “Mengkaji Ulang Stereotip Gender: Eksplorasi Stereotip Gender Dalam Konteks Budaya Matrilineal Minangkabau,” &lt;i&gt;Jurnal Dinamika Sosial Budaya&lt;/i&gt; 26, no. 1 (2024): 93–104.","plainTextFormattedCitation":"Nurul Afifah, “Mengkaji Ulang Stereotip Gender: Eksplorasi Stereotip Gender Dalam Konteks Budaya Matrilineal Minangkabau,” Jurnal Dinamika Sosial Budaya 26, no. 1 (2024): 93–104.","previouslyFormattedCitation":"Nurul Afifah, “Mengkaji Ulang Stereotip Gender: Eksplorasi Stereotip Gender Dalam Konteks Budaya Matrilineal Minangkabau,” &lt;i&gt;Jurnal Dinamika Sosial Budaya&lt;/i&gt; 26, no. 1 (2024): 93–104."},"properties":{"noteIndex":4},"schema":"https://github.com/citation-style-language/schema/raw/master/csl-citation.json"}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Nurul Afifah, “Mengkaji Ulang Stereotip Gender: Eksplorasi Stereotip Gender Dalam Konteks Budaya Matrilineal Minangkabau,” </w:t>
      </w:r>
      <w:r w:rsidRPr="00E31FCD">
        <w:rPr>
          <w:rFonts w:asciiTheme="majorBidi" w:hAnsiTheme="majorBidi" w:cstheme="majorBidi"/>
          <w:i/>
          <w:noProof/>
          <w:sz w:val="24"/>
          <w:szCs w:val="24"/>
        </w:rPr>
        <w:t>Jurnal Dinamika Sosial Budaya</w:t>
      </w:r>
      <w:r w:rsidRPr="00E31FCD">
        <w:rPr>
          <w:rFonts w:asciiTheme="majorBidi" w:hAnsiTheme="majorBidi" w:cstheme="majorBidi"/>
          <w:noProof/>
          <w:sz w:val="24"/>
          <w:szCs w:val="24"/>
        </w:rPr>
        <w:t xml:space="preserve"> 26, no. 1 (2024): 93–104.</w:t>
      </w:r>
      <w:r w:rsidRPr="00E31FCD">
        <w:rPr>
          <w:rFonts w:asciiTheme="majorBidi" w:hAnsiTheme="majorBidi" w:cstheme="majorBidi"/>
          <w:sz w:val="24"/>
          <w:szCs w:val="24"/>
        </w:rPr>
        <w:fldChar w:fldCharType="end"/>
      </w:r>
      <w:hyperlink r:id="rId44" w:history="1">
        <w:r w:rsidRPr="00E31FCD">
          <w:rPr>
            <w:rStyle w:val="Hyperlink"/>
            <w:rFonts w:asciiTheme="majorBidi" w:hAnsiTheme="majorBidi" w:cstheme="majorBidi"/>
            <w:color w:val="auto"/>
            <w:sz w:val="24"/>
            <w:szCs w:val="24"/>
          </w:rPr>
          <w:t>https://doi.org/10.26623/jdsb.v26i1.9779</w:t>
        </w:r>
      </w:hyperlink>
    </w:p>
    <w:p w14:paraId="1F54CFAB"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{"citationItems":[{"id":"ITEM-1","itemData":{"ISSN":"2442-9449","author":[{"dropping-particle":"","family":"Wibawa","given":"Ramadhan Prasetya","non-dropping-particle":"","parse-names":false,"suffix":""},{"dropping-particle":"","family":"Wihartanti","given":"Liana Vivin","non-dropping-particle":"","parse-names":false,"suffix":""}],"container-title":"PROMOSI (Jurnal Pendidikan Ekonomi)","id":"ITEM-1","issue":"2","issued":{"date-parts":[["2018"]]},"title":"Strategi perempuan kepala keluarga (pekka) dalam menciptakan kemandirian ekonomi keluarga di desa gesi kecamatan gesi kabupaten sragen","type":"article-journal","volume":"6"},"uris":["http://www.mendeley.com/documents/?uuid=a9f90e1d-92e6-462c-8534-3a083bd29d7b"]}],"mendeley":{"formattedCitation":"Ramadhan Prasetya Wibawa and Liana Vivin Wihartanti, “Strategi Perempuan Kepala Keluarga (Pekka) Dalam Menciptakan Kemandirian Ekonomi Keluarga Di Desa Gesi Kecamatan Gesi Kabupaten Sragen,” &lt;i&gt;PROMOSI (Jurnal Pendidikan Ekonomi)&lt;/i&gt; 6, no. 2 (2018).","plainTextFormattedCitation":"Ramadhan Prasetya Wibawa and Liana Vivin Wihartanti, “Strategi Perempuan Kepala Keluarga (Pekka) Dalam Menciptakan Kemandirian Ekonomi Keluarga Di Desa Gesi Kecamatan Gesi Kabupaten Sragen,” PROMOSI (Jurnal Pendidikan Ekonomi) 6, no. 2 (2018).","previouslyFormattedCitation":"Ramadhan Prasetya Wibawa and Liana Vivin Wihartanti, “Strategi Perempuan Kepala Keluarga (Pekka) Dalam Menciptakan Kemandirian Ekonomi Keluarga Di Desa Gesi Kecamatan Gesi Kabupaten Sragen,” &lt;i&gt;PROMOSI (Jurnal Pendidikan Ekonomi)&lt;/i&gt; 6, no. 2 (2018)."},"properties":{"noteIndex":11},"schema":"https://github.com/citation-style-language/schema/raw/master/csl-citation.json"}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Ramadhan Prasetya Wibawa and Liana Vivin Wihartanti, “Strategi Perempuan Kepala Keluarga (Pekka) Dalam Menciptakan Kemandirian Ekonomi Keluarga Di Desa Gesi Kecamatan Gesi Kabupaten Sragen,” </w:t>
      </w:r>
      <w:r w:rsidRPr="00E31FCD">
        <w:rPr>
          <w:rFonts w:asciiTheme="majorBidi" w:hAnsiTheme="majorBidi" w:cstheme="majorBidi"/>
          <w:i/>
          <w:noProof/>
          <w:sz w:val="24"/>
          <w:szCs w:val="24"/>
        </w:rPr>
        <w:t>PROMOSI (Jurnal Pendidikan Ekonomi)</w:t>
      </w:r>
      <w:r w:rsidRPr="00E31FCD">
        <w:rPr>
          <w:rFonts w:asciiTheme="majorBidi" w:hAnsiTheme="majorBidi" w:cstheme="majorBidi"/>
          <w:noProof/>
          <w:sz w:val="24"/>
          <w:szCs w:val="24"/>
        </w:rPr>
        <w:t xml:space="preserve"> 6, no. 2 (2018).</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45" w:history="1">
        <w:r w:rsidRPr="00E31FCD">
          <w:rPr>
            <w:rStyle w:val="Hyperlink"/>
            <w:rFonts w:asciiTheme="majorBidi" w:hAnsiTheme="majorBidi" w:cstheme="majorBidi"/>
            <w:color w:val="auto"/>
            <w:sz w:val="24"/>
            <w:szCs w:val="24"/>
          </w:rPr>
          <w:t>http://dx.doi.org/10.24127/pro.v6i2.1691</w:t>
        </w:r>
      </w:hyperlink>
    </w:p>
    <w:p w14:paraId="13AF8540"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{"citationItems":[{"id":"ITEM-1","itemData":{"ISSN":"3024-9376","author":[{"dropping-particle":"","family":"Salim","given":"Revy Ardinata","non-dropping-particle":"","parse-names":false,"suffix":""}],"container-title":"Linguistika Kultura: Jurnal Linguistik Sastra Berdimensi Cultural Studies","id":"ITEM-1","issue":"2","issued":{"date-parts":[["2023"]]},"title":"Pentingnya Keluarga, Kerja Keras dan Pengorbanan dalam Little Woman","type":"article-journal","volume":"12"},"uris":["http://www.mendeley.com/documents/?uuid=a0c71fd1-62cf-45d8-8a9a-9fe1ae01595c"]}],"mendeley":{"formattedCitation":"Revy Ardinata Salim, “Pentingnya Keluarga, Kerja Keras Dan Pengorbanan Dalam Little Woman,” &lt;i&gt;Linguistika Kultura: Jurnal Linguistik Sastra Berdimensi Cultural Studies&lt;/i&gt; 12, no. 2 (2023).","plainTextFormattedCitation":"Revy Ardinata Salim, “Pentingnya Keluarga, Kerja Keras Dan Pengorbanan Dalam Little Woman,” Linguistika Kultura: Jurnal Linguistik Sastra Berdimensi Cultural Studies 12, no. 2 (2023).","previouslyFormattedCitation":"Revy Ardinata Salim, “Pentingnya Keluarga, Kerja Keras Dan Pengorbanan Dalam Little Woman,” &lt;i&gt;Linguistika Kultura: Jurnal Linguistik Sastra Berdimensi Cultural Studies&lt;/i&gt; 12, no. 2 (2023)."},"properties":{"noteIndex":61},"schema":"https://github.com/citation-style-language/schema/raw/master/csl-citation.json"}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Revy Ardinata Salim, “Pentingnya Keluarga, Kerja Keras Dan Pengorbanan Dalam Little Woman,” </w:t>
      </w:r>
      <w:r w:rsidRPr="00E31FCD">
        <w:rPr>
          <w:rFonts w:asciiTheme="majorBidi" w:hAnsiTheme="majorBidi" w:cstheme="majorBidi"/>
          <w:i/>
          <w:noProof/>
          <w:sz w:val="24"/>
          <w:szCs w:val="24"/>
        </w:rPr>
        <w:t>Linguistika Kultura: Jurnal Linguistik Sastra Berdimensi Cultural Studies</w:t>
      </w:r>
      <w:r w:rsidRPr="00E31FCD">
        <w:rPr>
          <w:rFonts w:asciiTheme="majorBidi" w:hAnsiTheme="majorBidi" w:cstheme="majorBidi"/>
          <w:noProof/>
          <w:sz w:val="24"/>
          <w:szCs w:val="24"/>
        </w:rPr>
        <w:t xml:space="preserve"> 12, no. 2 (2023).</w:t>
      </w:r>
      <w:r w:rsidRPr="00E31FCD">
        <w:rPr>
          <w:rFonts w:asciiTheme="majorBidi" w:hAnsiTheme="majorBidi" w:cstheme="majorBidi"/>
          <w:sz w:val="24"/>
          <w:szCs w:val="24"/>
        </w:rPr>
        <w:fldChar w:fldCharType="end"/>
      </w:r>
    </w:p>
    <w:p w14:paraId="4F97AF95"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{"citationItems":[{"id":"ITEM-1","itemData":{"ISSN":"3047-0064","author":[{"dropping-particle":"","family":"Fauzan","given":"Riantama Sulthana","non-dropping-particle":"","parse-names":false,"suffix":""},{"dropping-particle":"","family":"Sugiharti","given":"Endang","non-dropping-particle":"","parse-names":false,"suffix":""}],"container-title":"Journal of Economic Resilience and Sustainable Development","id":"ITEM-1","issue":"1","issued":{"date-parts":[["2024"]]},"page":"1-19","title":"Perubahan nilai kedaulatan pangan pada sistem pertanian subak di Bali dengan pendekatan life story","type":"article-journal","volume":"1"},"uris":["http://www.mendeley.com/documents/?uuid=1360d234-0540-47bd-a0ae-116b54e5b9f9"]}],"mendeley":{"formattedCitation":"Riantama Sulthana Fauzan and Endang Sugiharti, “Perubahan Nilai Kedaulatan Pangan Pada Sistem Pertanian Subak Di Bali Dengan Pendekatan Life Story,” &lt;i&gt;Journal of Economic Resilience and Sustainable Development&lt;/i&gt; 1, no. 1 (2024): 1–19.","plainTextFormattedCitation":"Riantama Sulthana Fauzan and Endang Sugiharti, “Perubahan Nilai Kedaulatan Pangan Pada Sistem Pertanian Subak Di Bali Dengan Pendekatan Life Story,” Journal of Economic Resilience and Sustainable Development 1, no. 1 (2024): 1–19.","previouslyFormattedCitation":"Riantama Sulthana Fauzan and Endang Sugiharti, “Perubahan Nilai Kedaulatan Pangan Pada Sistem Pertanian Subak Di Bali Dengan Pendekatan Life Story,” &lt;i&gt;Journal of Economic Resilience and Sustainable Development&lt;/i&gt; 1, no. 1 (2024): 1–19."},"properties":{"noteIndex":47},"schema":"https://github.com/citation-style-language/schema/raw/master/csl-citation.json"}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Riantama Sulthana Fauzan and Endang Sugiharti, “Perubahan Nilai Kedaulatan Pangan Pada Sistem Pertanian Subak Di Bali Dengan Pendekatan Life Story,” </w:t>
      </w:r>
      <w:r w:rsidRPr="00E31FCD">
        <w:rPr>
          <w:rFonts w:asciiTheme="majorBidi" w:hAnsiTheme="majorBidi" w:cstheme="majorBidi"/>
          <w:i/>
          <w:noProof/>
          <w:sz w:val="24"/>
          <w:szCs w:val="24"/>
        </w:rPr>
        <w:t>Journal of Economic Resilience and Sustainable Development</w:t>
      </w:r>
      <w:r w:rsidRPr="00E31FCD">
        <w:rPr>
          <w:rFonts w:asciiTheme="majorBidi" w:hAnsiTheme="majorBidi" w:cstheme="majorBidi"/>
          <w:noProof/>
          <w:sz w:val="24"/>
          <w:szCs w:val="24"/>
        </w:rPr>
        <w:t xml:space="preserve"> 1, no. 1 (2024): 1–19.</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46" w:history="1">
        <w:r w:rsidRPr="00E31FCD">
          <w:rPr>
            <w:rStyle w:val="Hyperlink"/>
            <w:rFonts w:asciiTheme="majorBidi" w:hAnsiTheme="majorBidi" w:cstheme="majorBidi"/>
            <w:color w:val="auto"/>
            <w:sz w:val="24"/>
            <w:szCs w:val="24"/>
          </w:rPr>
          <w:t>https://doi.org/10.61511/ersud.v1i1.2024.473</w:t>
        </w:r>
      </w:hyperlink>
    </w:p>
    <w:p w14:paraId="0937BDF9"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{"citationItems":[{"id":"ITEM-1","itemData":{"ISSN":"3047-0064","author":[{"dropping-particle":"","family":"Fauzan","given":"Riantama Sulthana","non-dropping-particle":"","parse-names":false,"suffix":""},{"dropping-particle":"","family":"Sugiharti","given":"Endang","non-dropping-particle":"","parse-names":false,"suffix":""}],"container-title":"Journal of Economic Resilience and Sustainable Development","id":"ITEM-1","issue":"1","issued":{"date-parts":[["2024"]]},"page":"1-19","title":"Perubahan nilai kedaulatan pangan pada sistem pertanian subak di Bali dengan pendekatan life story","type":"article-journal","volume":"1"},"uris":["http://www.mendeley.com/documents/?uuid=1360d234-0540-47bd-a0ae-116b54e5b9f9"]}],"mendeley":{"formattedCitation":"Riantama Sulthana Fauzan and Endang Sugiharti, “Perubahan Nilai Kedaulatan Pangan Pada Sistem Pertanian Subak Di Bali Dengan Pendekatan Life Story,” &lt;i&gt;Journal of Economic Resilience and Sustainable Development&lt;/i&gt; 1, no. 1 (2024): 1–19.","plainTextFormattedCitation":"Riantama Sulthana Fauzan and Endang Sugiharti, “Perubahan Nilai Kedaulatan Pangan Pada Sistem Pertanian Subak Di Bali Dengan Pendekatan Life Story,” Journal of Economic Resilience and Sustainable Development 1, no. 1 (2024): 1–19.","previouslyFormattedCitation":"Riantama Sulthana Fauzan and Endang Sugiharti, “Perubahan Nilai Kedaulatan Pangan Pada Sistem Pertanian Subak Di Bali Dengan Pendekatan Life Story,” &lt;i&gt;Journal of Economic Resilience and Sustainable Development&lt;/i&gt; 1, no. 1 (2024): 1–19."},"properties":{"noteIndex":47},"schema":"https://github.com/citation-style-language/schema/raw/master/csl-citation.json"}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Riantama Sulthana Fauzan and Endang Sugiharti, “Perubahan Nilai Kedaulatan Pangan Pada Sistem Pertanian Subak Di Bali Dengan Pendekatan Life Story,” </w:t>
      </w:r>
      <w:r w:rsidRPr="00E31FCD">
        <w:rPr>
          <w:rFonts w:asciiTheme="majorBidi" w:hAnsiTheme="majorBidi" w:cstheme="majorBidi"/>
          <w:i/>
          <w:noProof/>
          <w:sz w:val="24"/>
          <w:szCs w:val="24"/>
        </w:rPr>
        <w:t>Journal of Economic Resilience and Sustainable Development</w:t>
      </w:r>
      <w:r w:rsidRPr="00E31FCD">
        <w:rPr>
          <w:rFonts w:asciiTheme="majorBidi" w:hAnsiTheme="majorBidi" w:cstheme="majorBidi"/>
          <w:noProof/>
          <w:sz w:val="24"/>
          <w:szCs w:val="24"/>
        </w:rPr>
        <w:t xml:space="preserve"> 1, no. 1 (2024): 1–19.</w:t>
      </w:r>
      <w:r w:rsidRPr="00E31FCD">
        <w:rPr>
          <w:rFonts w:asciiTheme="majorBidi" w:hAnsiTheme="majorBidi" w:cstheme="majorBidi"/>
          <w:sz w:val="24"/>
          <w:szCs w:val="24"/>
        </w:rPr>
        <w:fldChar w:fldCharType="end"/>
      </w:r>
    </w:p>
    <w:p w14:paraId="3A7FC0F0" w14:textId="77777777" w:rsidR="00F40DE8" w:rsidRPr="00E31FCD" w:rsidRDefault="00F40DE8" w:rsidP="00F40DE8">
      <w:pPr>
        <w:spacing w:after="0"/>
        <w:ind w:left="720" w:hanging="720"/>
        <w:rPr>
          <w:rFonts w:asciiTheme="majorBidi" w:hAnsiTheme="majorBidi" w:cstheme="majorBidi"/>
        </w:rPr>
      </w:pPr>
      <w:r w:rsidRPr="00E31FCD">
        <w:rPr>
          <w:rFonts w:asciiTheme="majorBidi" w:hAnsiTheme="majorBidi" w:cstheme="majorBidi"/>
        </w:rPr>
        <w:fldChar w:fldCharType="begin" w:fldLock="1"/>
      </w:r>
      <w:r w:rsidRPr="00E31FCD">
        <w:rPr>
          <w:rFonts w:asciiTheme="majorBidi" w:hAnsiTheme="majorBidi" w:cstheme="majorBidi"/>
        </w:rPr>
        <w:instrText>ADDIN CSL_CITATION {"citationItems":[{"id":"ITEM-1","itemData":{"ISSN":"2528-1658","author":[{"dropping-particle":"","family":"Tambunan","given":"Rico J R","non-dropping-particle":"","parse-names":false,"suffix":""},{"dropping-particle":"","family":"Safa'at","given":"Rachmat","non-dropping-particle":"","parse-names":false,"suffix":""},{"dropping-particle":"","family":"Permadi","given":"Iwan","non-dropping-particle":"","parse-names":false,"suffix":""},{"dropping-particle":"","family":"Sulistyarini","given":"Rachmi","non-dropping-particle":"","parse-names":false,"suffix":""}],"container-title":"De Jure: Jurnal Hukum dan Syar'iah","id":"ITEM-1","issue":"2","issued":{"date-parts":[["2025"]]},"page":"530-552","title":"Justice, Land, and Sharia: Conceptualizing Agrarian Courts in the Settlement of Land Ownership Disputes","type":"article-journal","volume":"17"},"uris":["http://www.mendeley.com/documents/?uuid=b1a6d8cd-bdf3-4c19-9b4d-09dbff5acb6a"]}],"mendeley":{"formattedCitation":"Rico J R Tambunan et al., “Justice, Land, and Sharia: Conceptualizing Agrarian Courts in the Settlement of Land Ownership Disputes,” &lt;i&gt;De Jure: Jurnal Hukum Dan Syar’iah&lt;/i&gt; 17, no. 2 (2025): 530–52.","plainTextFormattedCitation":"Rico J R Tambunan et al., “Justice, Land, and Sharia: Conceptualizing Agrarian Courts in the Settlement of Land Ownership Disputes,” De Jure: Jurnal Hukum Dan Syar’iah 17, no. 2 (2025): 530–52.","previouslyFormattedCitation":"Rico J R Tambunan et al., “Justice, Land, and Sharia: Conceptualizing Agrarian Courts in the Settlement of Land Ownership Disputes,” &lt;i&gt;De Jure: Jurnal Hukum Dan Syar’iah&lt;/i&gt; 17, no. 2 (2025): 530–52."},"properties":{"noteIndex":62},"schema":"https://github.com/citation-style-language/schema/raw/master/csl-citation.json"}</w:instrText>
      </w:r>
      <w:r w:rsidRPr="00E31FCD">
        <w:rPr>
          <w:rFonts w:asciiTheme="majorBidi" w:hAnsiTheme="majorBidi" w:cstheme="majorBidi"/>
        </w:rPr>
        <w:fldChar w:fldCharType="separate"/>
      </w:r>
      <w:r w:rsidRPr="00E31FCD">
        <w:rPr>
          <w:rFonts w:asciiTheme="majorBidi" w:hAnsiTheme="majorBidi" w:cstheme="majorBidi"/>
          <w:noProof/>
        </w:rPr>
        <w:t xml:space="preserve">Rico J R Tambunan et al., “Justice, Land, and Sharia: Conceptualizing Agrarian Courts in the Settlement of Land Ownership Disputes,” </w:t>
      </w:r>
      <w:r w:rsidRPr="00E31FCD">
        <w:rPr>
          <w:rFonts w:asciiTheme="majorBidi" w:hAnsiTheme="majorBidi" w:cstheme="majorBidi"/>
          <w:i/>
          <w:noProof/>
        </w:rPr>
        <w:t>De Jure: Jurnal Hukum Dan Syar’iah</w:t>
      </w:r>
      <w:r w:rsidRPr="00E31FCD">
        <w:rPr>
          <w:rFonts w:asciiTheme="majorBidi" w:hAnsiTheme="majorBidi" w:cstheme="majorBidi"/>
          <w:noProof/>
        </w:rPr>
        <w:t xml:space="preserve"> 17, no. 2 (2025): 530–52.</w:t>
      </w:r>
      <w:r w:rsidRPr="00E31FCD">
        <w:rPr>
          <w:rFonts w:asciiTheme="majorBidi" w:hAnsiTheme="majorBidi" w:cstheme="majorBidi"/>
        </w:rPr>
        <w:fldChar w:fldCharType="end"/>
      </w:r>
      <w:r w:rsidRPr="00E31FCD">
        <w:rPr>
          <w:rFonts w:asciiTheme="majorBidi" w:hAnsiTheme="majorBidi" w:cstheme="majorBidi"/>
        </w:rPr>
        <w:t xml:space="preserve"> </w:t>
      </w:r>
      <w:hyperlink r:id="rId47" w:history="1">
        <w:r w:rsidRPr="00E31FCD">
          <w:rPr>
            <w:rStyle w:val="Hyperlink"/>
            <w:rFonts w:asciiTheme="majorBidi" w:hAnsiTheme="majorBidi" w:cstheme="majorBidi"/>
            <w:color w:val="auto"/>
          </w:rPr>
          <w:t>http://dx.doi.org/10.18860/j-fsh.v17i2.32486</w:t>
        </w:r>
      </w:hyperlink>
    </w:p>
    <w:p w14:paraId="52199BF7"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lastRenderedPageBreak/>
        <w:fldChar w:fldCharType="begin" w:fldLock="1"/>
      </w:r>
      <w:r w:rsidRPr="00E31FCD">
        <w:rPr>
          <w:rFonts w:asciiTheme="majorBidi" w:hAnsiTheme="majorBidi" w:cstheme="majorBidi"/>
          <w:sz w:val="24"/>
          <w:szCs w:val="24"/>
        </w:rPr>
        <w:instrText>ADDIN CSL_CITATION {"citationItems":[{"id":"ITEM-1","itemData":{"ISSN":"2808-831X","author":[{"dropping-particle":"","family":"Brutu","given":"Saparutdin","non-dropping-particle":"","parse-names":false,"suffix":""},{"dropping-particle":"","family":"Sihombing","given":"Frans Togu","non-dropping-particle":"","parse-names":false,"suffix":""},{"dropping-particle":"","family":"Aridho","given":"Ahmad","non-dropping-particle":"","parse-names":false,"suffix":""}],"container-title":"Jurnal Pusat Studi Pendidikan Rakyat","id":"ITEM-1","issued":{"date-parts":[["2023"]]},"page":"53-61","title":"Konsep Filosofis Pertuturen Sulang Silima Suku Pakpak Dalam Menjaga Persatuan Dan Kerukunan Di Tengah Keluarga","type":"article-journal"},"uris":["http://www.mendeley.com/documents/?uuid=233d98fb-9915-4647-ab32-488aae87808a"]}],"mendeley":{"formattedCitation":"Saparutdin Brutu, Frans Togu Sihombing, and Ahmad Aridho, “Konsep Filosofis Pertuturen Sulang Silima Suku Pakpak Dalam Menjaga Persatuan Dan Kerukunan Di Tengah Keluarga,” &lt;i&gt;Jurnal Pusat Studi Pendidikan Rakyat&lt;/i&gt;, 2023, 53–61.","plainTextFormattedCitation":"Saparutdin Brutu, Frans Togu Sihombing, and Ahmad Aridho, “Konsep Filosofis Pertuturen Sulang Silima Suku Pakpak Dalam Menjaga Persatuan Dan Kerukunan Di Tengah Keluarga,” Jurnal Pusat Studi Pendidikan Rakyat, 2023, 53–61.","previouslyFormattedCitation":"Saparutdin Brutu, Frans Togu Sihombing, and Ahmad Aridho, “Konsep Filosofis Pertuturen Sulang Silima Suku Pakpak Dalam Menjaga Persatuan Dan Kerukunan Di Tengah Keluarga,” &lt;i&gt;Jurnal Pusat Studi Pendidikan Rakyat&lt;/i&gt;, 2023, 53–61."},"properties":{"noteIndex":43},"schema":"https://github.com/citation-style-language/schema/raw/master/csl-citation.json"}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Saparutdin Brutu, Frans Togu Sihombing, and Ahmad Aridho, “Konsep Filosofis Pertuturen Sulang Silima Suku Pakpak Dalam Menjaga Persatuan Dan Kerukunan Di Tengah Keluarga,” </w:t>
      </w:r>
      <w:r w:rsidRPr="00E31FCD">
        <w:rPr>
          <w:rFonts w:asciiTheme="majorBidi" w:hAnsiTheme="majorBidi" w:cstheme="majorBidi"/>
          <w:i/>
          <w:noProof/>
          <w:sz w:val="24"/>
          <w:szCs w:val="24"/>
        </w:rPr>
        <w:t>Jurnal Pusat Studi Pendidikan Rakyat</w:t>
      </w:r>
      <w:r w:rsidRPr="00E31FCD">
        <w:rPr>
          <w:rFonts w:asciiTheme="majorBidi" w:hAnsiTheme="majorBidi" w:cstheme="majorBidi"/>
          <w:noProof/>
          <w:sz w:val="24"/>
          <w:szCs w:val="24"/>
        </w:rPr>
        <w:t>, 2023, 53–61.</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48" w:history="1">
        <w:r w:rsidRPr="00E31FCD">
          <w:rPr>
            <w:rStyle w:val="Hyperlink"/>
            <w:rFonts w:asciiTheme="majorBidi" w:hAnsiTheme="majorBidi" w:cstheme="majorBidi"/>
            <w:color w:val="auto"/>
            <w:sz w:val="24"/>
            <w:szCs w:val="24"/>
          </w:rPr>
          <w:t>https://doi.org/10.51178/jpspr.v3i2.1350</w:t>
        </w:r>
      </w:hyperlink>
    </w:p>
    <w:p w14:paraId="3B813855" w14:textId="77777777" w:rsidR="00F40DE8" w:rsidRPr="00E31FCD" w:rsidRDefault="00F40DE8" w:rsidP="00F40DE8">
      <w:pPr>
        <w:pStyle w:val="FootnoteText"/>
        <w:ind w:left="720" w:hanging="720"/>
        <w:jc w:val="both"/>
        <w:rPr>
          <w:rFonts w:asciiTheme="majorBidi" w:hAnsiTheme="majorBidi" w:cstheme="majorBidi"/>
          <w:b/>
          <w:bCs/>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2548-3382","author":[{"dropping-particle":"","family":"Yunarti","given":"Sri","non-dropping-particle":"","parse-names":false,"suffix":""},{"dropping-particle":"","family":"Dedi","given":"Syarial","non-dropping-particle":"","parse-names":false,"suffix":""}],"container-title":"Al-Istinbath: Jurnal Hukum Islam","id":"ITEM-1","issue":"1","issued":{"date-parts":[["2026"]]},"title":"A Reconstruction Of Women's Fiqih On Tawaf For Menstruating Women (Exploring Ibn Qayyim Al-Zawjiyah's Theory of Ijtihad)","type":"article-journal","volume":"11"},"uris":["http://www.mendeley.com/documents/?uuid=d0997eff-f0d5-4441-af96-ba3716caf609"]}],"mendeley":{"formattedCitation":"Sri Yunarti and Syarial Dedi, “A Reconstruction Of Women’s Fiqih On Tawaf For Menstruating Women (Exploring Ibn Qayyim Al-Zawjiyah’s Theory of Ijtihad),” &lt;i&gt;Al-Istinbath: Jurnal Hukum Islam&lt;/i&gt; 11, no. 1 (2026).","plainTextFormattedCitation":"Sri Yunarti and Syarial Dedi, “A Reconstruction Of Women’s Fiqih On Tawaf For Menstruating Women (Exploring Ibn Qayyim Al-Zawjiyah’s Theory of Ijtihad),” Al-Istinbath: Jurnal Hukum Islam 11, no. 1 (2026).","previouslyFormattedCitation":"Sri Yunarti and Syarial Dedi, “A Reconstruction Of Women’s Fiqih On Tawaf For Menstruating Women (Exploring Ibn Qayyim Al-Zawjiyah’s Theory of Ijtihad),” &lt;i&gt;Al-Istinbath: Jurnal Hukum Islam&lt;/i&gt; 11, no. 1 (2026)."},"properties":{"noteIndex":29},"schema":"https://github.com/citation-style-language/schema/raw/master/csl-citation.json"}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Sri Yunarti and Syarial Dedi, “A Reconstruction Of Women’s Fiqih On Tawaf For Menstruating Women (Exploring Ibn Qayyim Al-Zawjiyah’s Theory of Ijtihad),” </w:t>
      </w:r>
      <w:r w:rsidRPr="00E31FCD">
        <w:rPr>
          <w:rFonts w:asciiTheme="majorBidi" w:hAnsiTheme="majorBidi" w:cstheme="majorBidi"/>
          <w:i/>
          <w:noProof/>
          <w:sz w:val="24"/>
          <w:szCs w:val="24"/>
        </w:rPr>
        <w:t>Al-Istinbath: Jurnal Hukum Islam</w:t>
      </w:r>
      <w:r w:rsidRPr="00E31FCD">
        <w:rPr>
          <w:rFonts w:asciiTheme="majorBidi" w:hAnsiTheme="majorBidi" w:cstheme="majorBidi"/>
          <w:noProof/>
          <w:sz w:val="24"/>
          <w:szCs w:val="24"/>
        </w:rPr>
        <w:t xml:space="preserve"> 11, no. 1 (2026).</w:t>
      </w:r>
      <w:r w:rsidRPr="00E31FCD">
        <w:rPr>
          <w:rFonts w:asciiTheme="majorBidi" w:hAnsiTheme="majorBidi" w:cstheme="majorBidi"/>
          <w:sz w:val="24"/>
          <w:szCs w:val="24"/>
        </w:rPr>
        <w:fldChar w:fldCharType="end"/>
      </w:r>
      <w:r w:rsidRPr="00E31FCD">
        <w:rPr>
          <w:rFonts w:asciiTheme="majorBidi" w:eastAsia="Times New Roman" w:hAnsiTheme="majorBidi" w:cstheme="majorBidi"/>
          <w:b/>
          <w:bCs/>
          <w:kern w:val="0"/>
          <w:sz w:val="24"/>
          <w:szCs w:val="24"/>
          <w14:ligatures w14:val="none"/>
        </w:rPr>
        <w:t xml:space="preserve"> </w:t>
      </w:r>
      <w:hyperlink r:id="rId49" w:history="1">
        <w:r w:rsidRPr="00E31FCD">
          <w:rPr>
            <w:rStyle w:val="Hyperlink"/>
            <w:rFonts w:asciiTheme="majorBidi" w:hAnsiTheme="majorBidi" w:cstheme="majorBidi"/>
            <w:color w:val="auto"/>
            <w:sz w:val="24"/>
            <w:szCs w:val="24"/>
          </w:rPr>
          <w:t>https://doi.org/10.29240/jhi.v11i1.12677</w:t>
        </w:r>
      </w:hyperlink>
    </w:p>
    <w:p w14:paraId="675AFA68"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2828-8483","author":[{"dropping-particle":"","family":"Sridepi","given":"Sridepi","non-dropping-particle":"","parse-names":false,"suffix":""},{"dropping-particle":"","family":"Azzaki","given":"Adnan","non-dropping-particle":"","parse-names":false,"suffix":""},{"dropping-particle":"","family":"Rajab","given":"Khairunnas","non-dropping-particle":"","parse-names":false,"suffix":""},{"dropping-particle":"","family":"Jamal","given":"Khairunnas","non-dropping-particle":"","parse-names":false,"suffix":""},{"dropping-particle":"","family":"Jera","given":"Almi","non-dropping-particle":"","parse-names":false,"suffix":""}],"container-title":"JURNAL RISET RUMPUN ILMU PENDIDIKAN","id":"ITEM-1","issue":"2","issued":{"date-parts":[["2025"]]},"page":"756-765","title":"Analisis Kedudukan Perempuan dalam Hukum Keluarga Islam Perspektif Tafsir Surat An-Nisa Ayat 34 dan Teori Feminisme","type":"article-journal","volume":"4"},"uris":["http://www.mendeley.com/documents/?uuid=9559eb68-d28e-4f52-894f-96c3f3e353c2"]}],"mendeley":{"formattedCitation":"Sridepi Sridepi et al., “Analisis Kedudukan Perempuan Dalam Hukum Keluarga Islam Perspektif Tafsir Surat An-Nisa Ayat 34 Dan Teori Feminisme,” &lt;i&gt;JURNAL RISET RUMPUN ILMU PENDIDIKAN&lt;/i&gt; 4, no. 2 (2025): 756–65.","plainTextFormattedCitation":"Sridepi Sridepi et al., “Analisis Kedudukan Perempuan Dalam Hukum Keluarga Islam Perspektif Tafsir Surat An-Nisa Ayat 34 Dan Teori Feminisme,” JURNAL RISET RUMPUN ILMU PENDIDIKAN 4, no. 2 (2025): 756–65.","previouslyFormattedCitation":"Sridepi Sridepi et al., “Analisis Kedudukan Perempuan Dalam Hukum Keluarga Islam Perspektif Tafsir Surat An-Nisa Ayat 34 Dan Teori Feminisme,” &lt;i&gt;JURNAL RISET RUMPUN ILMU PENDIDIKAN&lt;/i&gt; 4, no. 2 (2025): 756–65."},"properties":{"noteIndex":23},"schema":"https://github.com/citation-style-language/schema/raw/master/csl-citation.json"}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Sridepi Sridepi et al., “Analisis Kedudukan Perempuan Dalam Hukum Keluarga Islam Perspektif Tafsir Surat An-Nisa Ayat 34 Dan Teori Feminisme,” </w:t>
      </w:r>
      <w:r w:rsidRPr="00E31FCD">
        <w:rPr>
          <w:rFonts w:asciiTheme="majorBidi" w:hAnsiTheme="majorBidi" w:cstheme="majorBidi"/>
          <w:i/>
          <w:noProof/>
          <w:sz w:val="24"/>
          <w:szCs w:val="24"/>
        </w:rPr>
        <w:t>Jurnal Riset Rumpun Ilmu Pendidikan</w:t>
      </w:r>
      <w:r w:rsidRPr="00E31FCD">
        <w:rPr>
          <w:rFonts w:asciiTheme="majorBidi" w:hAnsiTheme="majorBidi" w:cstheme="majorBidi"/>
          <w:noProof/>
          <w:sz w:val="24"/>
          <w:szCs w:val="24"/>
        </w:rPr>
        <w:t xml:space="preserve"> 4, no. 2 (2025): 756–65.</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50" w:history="1">
        <w:r w:rsidRPr="00E31FCD">
          <w:rPr>
            <w:rStyle w:val="Hyperlink"/>
            <w:rFonts w:asciiTheme="majorBidi" w:hAnsiTheme="majorBidi" w:cstheme="majorBidi"/>
            <w:color w:val="auto"/>
            <w:sz w:val="24"/>
            <w:szCs w:val="24"/>
          </w:rPr>
          <w:t>https://doi.org/10.55606/jurripen.v4i2.5909</w:t>
        </w:r>
      </w:hyperlink>
    </w:p>
    <w:p w14:paraId="28454658"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{"citationItems":[{"id":"ITEM-1","itemData":{"ISBN":"2830-3180","author":[{"dropping-particle":"","family":"Kasim","given":"Syaifudin S","non-dropping-particle":"","parse-names":false,"suffix":""},{"dropping-particle":"","family":"Supiyah","given":"Ratna","non-dropping-particle":"","parse-names":false,"suffix":""},{"dropping-particle":"","family":"Roslan","given":"Suharty","non-dropping-particle":"","parse-names":false,"suffix":""}],"container-title":"Indonesian Annual Conference Series","id":"ITEM-1","issued":{"date-parts":[["2022"]]},"page":"20-27","title":"Etos Kerja dan Kemandirian Ekonomi Perempuan Kepala Rumah Tangga (Janda) Pada Keluarga Miskin di Perkotaan","type":"paper-conference"},"uris":["http://www.mendeley.com/documents/?uuid=ca551532-d88d-4e4c-8c6d-7c686027720b"]}],"mendeley":{"formattedCitation":"Syaifudin S Kasim, Ratna Supiyah, and Suharty Roslan, “Etos Kerja Dan Kemandirian Ekonomi Perempuan Kepala Rumah Tangga (Janda) Pada Keluarga Miskin Di Perkotaan,” in &lt;i&gt;Indonesian Annual Conference Series&lt;/i&gt;, 2022, 20–27.","plainTextFormattedCitation":"Syaifudin S Kasim, Ratna Supiyah, and Suharty Roslan, “Etos Kerja Dan Kemandirian Ekonomi Perempuan Kepala Rumah Tangga (Janda) Pada Keluarga Miskin Di Perkotaan,” in Indonesian Annual Conference Series, 2022, 20–27.","previouslyFormattedCitation":"Syaifudin S Kasim, Ratna Supiyah, and Suharty Roslan, “Etos Kerja Dan Kemandirian Ekonomi Perempuan Kepala Rumah Tangga (Janda) Pada Keluarga Miskin Di Perkotaan,” in &lt;i&gt;Indonesian Annual Conference Series&lt;/i&gt;, 2022, 20–27."},"properties":{"noteIndex":13},"schema":"https://github.com/citation-style-language/schema/raw/master/csl-citation.json"}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Syaifudin S Kasim, Ratna Supiyah, and Suharty Roslan, “Etos Kerja Dan Kemandirian Ekonomi Perempuan Kepala Rumah Tangga (Janda) Pada Keluarga Miskin Di Perkotaan,” in </w:t>
      </w:r>
      <w:r w:rsidRPr="00E31FCD">
        <w:rPr>
          <w:rFonts w:asciiTheme="majorBidi" w:hAnsiTheme="majorBidi" w:cstheme="majorBidi"/>
          <w:i/>
          <w:noProof/>
          <w:sz w:val="24"/>
          <w:szCs w:val="24"/>
        </w:rPr>
        <w:t>Indonesian Annual Conference Series</w:t>
      </w:r>
      <w:r w:rsidRPr="00E31FCD">
        <w:rPr>
          <w:rFonts w:asciiTheme="majorBidi" w:hAnsiTheme="majorBidi" w:cstheme="majorBidi"/>
          <w:noProof/>
          <w:sz w:val="24"/>
          <w:szCs w:val="24"/>
        </w:rPr>
        <w:t>, 2022, 20–27.</w:t>
      </w:r>
      <w:r w:rsidRPr="00E31FCD">
        <w:rPr>
          <w:rFonts w:asciiTheme="majorBidi" w:hAnsiTheme="majorBidi" w:cstheme="majorBidi"/>
          <w:sz w:val="24"/>
          <w:szCs w:val="24"/>
        </w:rPr>
        <w:fldChar w:fldCharType="end"/>
      </w:r>
    </w:p>
    <w:p w14:paraId="04A85A4A"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{"citationItems":[{"id":"ITEM-1","itemData":{"author":[{"dropping-particle":"","family":"Walby","given":"Sylvia","non-dropping-particle":"","parse-names":false,"suffix":""}],"id":"ITEM-1","issued":{"date-parts":[["1990"]]},"publisher":"Oxford: Basic Blackwell Ltd","title":"Theorizing Patriarchy","type":"book"},"uris":["http://www.mendeley.com/documents/?uuid=a835eb30-9c40-418d-9509-6545be39b68c","http://www.mendeley.com/documents/?uuid=8daac785-e257-44eb-8ed6-d70339dee8e4"]}],"mendeley":{"formattedCitation":"Sylvia Walby, &lt;i&gt;Theorizing Patriarchy&lt;/i&gt; (Oxford: Basic Blackwell Ltd, 1990).","plainTextFormattedCitation":"Sylvia Walby, Theorizing Patriarchy (Oxford: Basic Blackwell Ltd, 1990).","previouslyFormattedCitation":"Sylvia Walby, &lt;i&gt;Theorizing Patriarchy&lt;/i&gt; (Oxford: Basic Blackwell Ltd, 1990)."},"properties":{"noteIndex":53},"schema":"https://github.com/citation-style-language/schema/raw/master/csl-citation.json"}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Sylvia Walby, </w:t>
      </w:r>
      <w:r w:rsidRPr="00E31FCD">
        <w:rPr>
          <w:rFonts w:asciiTheme="majorBidi" w:hAnsiTheme="majorBidi" w:cstheme="majorBidi"/>
          <w:i/>
          <w:noProof/>
          <w:sz w:val="24"/>
          <w:szCs w:val="24"/>
        </w:rPr>
        <w:t>Theorizing Patriarchy</w:t>
      </w:r>
      <w:r w:rsidRPr="00E31FCD">
        <w:rPr>
          <w:rFonts w:asciiTheme="majorBidi" w:hAnsiTheme="majorBidi" w:cstheme="majorBidi"/>
          <w:noProof/>
          <w:sz w:val="24"/>
          <w:szCs w:val="24"/>
        </w:rPr>
        <w:t xml:space="preserve"> (Oxford: Basic Blackwell Ltd, 1990).</w:t>
      </w:r>
      <w:r w:rsidRPr="00E31FCD">
        <w:rPr>
          <w:rFonts w:asciiTheme="majorBidi" w:hAnsiTheme="majorBidi" w:cstheme="majorBidi"/>
          <w:sz w:val="24"/>
          <w:szCs w:val="24"/>
        </w:rPr>
        <w:fldChar w:fldCharType="end"/>
      </w:r>
    </w:p>
    <w:p w14:paraId="499C84D3"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{"citationItems":[{"id":"ITEM-1","itemData":{"author":[{"dropping-particle":"","family":"Walby","given":"Sylvia","non-dropping-particle":"","parse-names":false,"suffix":""}],"id":"ITEM-1","issued":{"date-parts":[["1990"]]},"publisher":"Oxford: Basic Blackwell Ltd","title":"Theorizing Patriarchy","type":"book"},"uris":["http://www.mendeley.com/documents/?uuid=a835eb30-9c40-418d-9509-6545be39b68c","http://www.mendeley.com/documents/?uuid=8daac785-e257-44eb-8ed6-d70339dee8e4"]}],"mendeley":{"formattedCitation":"Sylvia Walby, &lt;i&gt;Theorizing Patriarchy&lt;/i&gt; (Oxford: Basic Blackwell Ltd, 1990).","plainTextFormattedCitation":"Sylvia Walby, Theorizing Patriarchy (Oxford: Basic Blackwell Ltd, 1990).","previouslyFormattedCitation":"Sylvia Walby, &lt;i&gt;Theorizing Patriarchy&lt;/i&gt; (Oxford: Basic Blackwell Ltd, 1990)."},"properties":{"noteIndex":53},"schema":"https://github.com/citation-style-language/schema/raw/master/csl-citation.json"}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Sylvia Walby, </w:t>
      </w:r>
      <w:r w:rsidRPr="00E31FCD">
        <w:rPr>
          <w:rFonts w:asciiTheme="majorBidi" w:hAnsiTheme="majorBidi" w:cstheme="majorBidi"/>
          <w:i/>
          <w:noProof/>
          <w:sz w:val="24"/>
          <w:szCs w:val="24"/>
        </w:rPr>
        <w:t>Theorizing Patriarchy</w:t>
      </w:r>
      <w:r w:rsidRPr="00E31FCD">
        <w:rPr>
          <w:rFonts w:asciiTheme="majorBidi" w:hAnsiTheme="majorBidi" w:cstheme="majorBidi"/>
          <w:noProof/>
          <w:sz w:val="24"/>
          <w:szCs w:val="24"/>
        </w:rPr>
        <w:t xml:space="preserve"> (Oxford: Basic Blackwell Ltd, 1990).</w:t>
      </w:r>
      <w:r w:rsidRPr="00E31FCD">
        <w:rPr>
          <w:rFonts w:asciiTheme="majorBidi" w:hAnsiTheme="majorBidi" w:cstheme="majorBidi"/>
          <w:sz w:val="24"/>
          <w:szCs w:val="24"/>
        </w:rPr>
        <w:fldChar w:fldCharType="end"/>
      </w:r>
    </w:p>
    <w:p w14:paraId="14A0787C"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2477-8036","author":[{"dropping-particle":"","family":"Iska","given":"Syukri","non-dropping-particle":"","parse-names":false,"suffix":""},{"dropping-particle":"","family":"Yenti","given":"Fitri","non-dropping-particle":"","parse-names":false,"suffix":""},{"dropping-particle":"","family":"Sahid","given":"Mualimin Mochammad","non-dropping-particle":"","parse-names":false,"suffix":""}],"container-title":"Ijtihad: Jurnal Wacana Hukum Islam dan Kemanusiaan","id":"ITEM-1","issue":"2","issued":{"date-parts":[["2025"]]},"title":"‘Urf, Gender, and Customary Law: Negotiating Women’s Participation in Boar Hunting in Minangkabau, Indonesia","type":"article-journal","volume":"25"},"uris":["http://www.mendeley.com/documents/?uuid=5aa84ef4-cde2-4364-b09f-e0bc5d927104"]}],"mendeley":{"formattedCitation":"Syukri Iska, Fitri Yenti, and Mualimin Mochammad Sahid, “‘Urf, Gender, and Customary Law: Negotiating Women’s Participation in Boar Hunting in Minangkabau, Indonesia,” &lt;i&gt;Ijtihad: Jurnal Wacana Hukum Islam Dan Kemanusiaan&lt;/i&gt; 25, no. 2 (2025).","plainTextFormattedCitation":"Syukri Iska, Fitri Yenti, and Mualimin Mochammad Sahid, “‘Urf, Gender, and Customary Law: Negotiating Women’s Participation in Boar Hunting in Minangkabau, Indonesia,” Ijtihad: Jurnal Wacana Hukum Islam Dan Kemanusiaan 25, no. 2 (2025).","previouslyFormattedCitation":"Syukri Iska, Fitri Yenti, and Mualimin Mochammad Sahid, “‘Urf, Gender, and Customary Law: Negotiating Women’s Participation in Boar Hunting in Minangkabau, Indonesia,” &lt;i&gt;Ijtihad: Jurnal Wacana Hukum Islam Dan Kemanusiaan&lt;/i&gt; 25, no. 2 (2025)."},"properties":{"noteIndex":6},"schema":"https://github.com/citation-style-language/schema/raw/master/csl-citation.json"}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Syukri Iska, Fitri Yenti, and Mualimin Mochammad Sahid, “‘Urf, Gender, and Customary Law: Negotiating Women’s Participation in Boar Hunting in Minangkabau, Indonesia,” </w:t>
      </w:r>
      <w:r w:rsidRPr="00E31FCD">
        <w:rPr>
          <w:rFonts w:asciiTheme="majorBidi" w:hAnsiTheme="majorBidi" w:cstheme="majorBidi"/>
          <w:i/>
          <w:noProof/>
          <w:sz w:val="24"/>
          <w:szCs w:val="24"/>
        </w:rPr>
        <w:t>Ijtihad: Jurnal Wacana Hukum Islam Dan Kemanusiaan</w:t>
      </w:r>
      <w:r w:rsidRPr="00E31FCD">
        <w:rPr>
          <w:rFonts w:asciiTheme="majorBidi" w:hAnsiTheme="majorBidi" w:cstheme="majorBidi"/>
          <w:noProof/>
          <w:sz w:val="24"/>
          <w:szCs w:val="24"/>
        </w:rPr>
        <w:t xml:space="preserve"> 25, no. 2 (2025).</w:t>
      </w:r>
      <w:r w:rsidRPr="00E31FCD">
        <w:rPr>
          <w:rFonts w:asciiTheme="majorBidi" w:hAnsiTheme="majorBidi" w:cstheme="majorBidi"/>
          <w:sz w:val="24"/>
          <w:szCs w:val="24"/>
        </w:rPr>
        <w:fldChar w:fldCharType="end"/>
      </w:r>
      <w:r w:rsidRPr="00E31FCD">
        <w:rPr>
          <w:rFonts w:asciiTheme="majorBidi" w:hAnsiTheme="majorBidi" w:cstheme="majorBidi"/>
          <w:sz w:val="24"/>
          <w:szCs w:val="24"/>
          <w:shd w:val="clear" w:color="auto" w:fill="FFFFFF"/>
        </w:rPr>
        <w:t xml:space="preserve"> </w:t>
      </w:r>
      <w:r w:rsidRPr="00E31FCD">
        <w:rPr>
          <w:rFonts w:asciiTheme="majorBidi" w:hAnsiTheme="majorBidi" w:cstheme="majorBidi"/>
          <w:sz w:val="24"/>
          <w:szCs w:val="24"/>
        </w:rPr>
        <w:t>DOI : </w:t>
      </w:r>
      <w:hyperlink r:id="rId51" w:history="1">
        <w:r w:rsidRPr="00E31FCD">
          <w:rPr>
            <w:rStyle w:val="Hyperlink"/>
            <w:rFonts w:asciiTheme="majorBidi" w:hAnsiTheme="majorBidi" w:cstheme="majorBidi"/>
            <w:color w:val="auto"/>
            <w:sz w:val="24"/>
            <w:szCs w:val="24"/>
          </w:rPr>
          <w:t>10.18326/ijtihad.v25i2.279-303</w:t>
        </w:r>
      </w:hyperlink>
    </w:p>
    <w:p w14:paraId="6B3ADAC0"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{"citationItems":[{"id":"ITEM-1","itemData":{"ISSN":"2775-0418","author":[{"dropping-particle":"","family":"Ningrum","given":"Wafa Suci","non-dropping-particle":"","parse-names":false,"suffix":""}],"container-title":"Familia: Jurnal Hukum Keluarga","id":"ITEM-1","issue":"1","issued":{"date-parts":[["2024"]]},"page":"25-36","title":"FENOMENA KEBERHASILAN FEMINISME (Studi Gender Feminisme Liberal dan Feminisme Radikal)","type":"article-journal","volume":"5"},"uris":["http://www.mendeley.com/documents/?uuid=63f5e4cb-dbbc-4b70-ac85-17869c7c20d5"]}],"mendeley":{"formattedCitation":"Wafa Suci Ningrum, “FENOMENA KEBERHASILAN FEMINISME (Studi Gender Feminisme Liberal Dan Feminisme Radikal),” &lt;i&gt;Familia: Jurnal Hukum Keluarga&lt;/i&gt; 5, no. 1 (2024): 25–36.","plainTextFormattedCitation":"Wafa Suci Ningrum, “FENOMENA KEBERHASILAN FEMINISME (Studi Gender Feminisme Liberal Dan Feminisme Radikal),” Familia: Jurnal Hukum Keluarga 5, no. 1 (2024): 25–36.","previouslyFormattedCitation":"Wafa Suci Ningrum, “FENOMENA KEBERHASILAN FEMINISME (Studi Gender Feminisme Liberal Dan Feminisme Radikal),” &lt;i&gt;Familia: Jurnal Hukum Keluarga&lt;/i&gt; 5, no. 1 (2024): 25–36."},"properties":{"noteIndex":5},"schema":"https://github.com/citation-style-language/schema/raw/master/csl-citation.json"}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Wafa Suci Ningrum, “FENOMENA KEBERHASILAN FEMINISME (Studi Gender Feminisme Liberal Dan Feminisme Radikal),” </w:t>
      </w:r>
      <w:r w:rsidRPr="00E31FCD">
        <w:rPr>
          <w:rFonts w:asciiTheme="majorBidi" w:hAnsiTheme="majorBidi" w:cstheme="majorBidi"/>
          <w:i/>
          <w:noProof/>
          <w:sz w:val="24"/>
          <w:szCs w:val="24"/>
        </w:rPr>
        <w:t>Familia: Jurnal Hukum Keluarga</w:t>
      </w:r>
      <w:r w:rsidRPr="00E31FCD">
        <w:rPr>
          <w:rFonts w:asciiTheme="majorBidi" w:hAnsiTheme="majorBidi" w:cstheme="majorBidi"/>
          <w:noProof/>
          <w:sz w:val="24"/>
          <w:szCs w:val="24"/>
        </w:rPr>
        <w:t xml:space="preserve"> 5, no. 1 (2024): 25–36.</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52" w:history="1">
        <w:r w:rsidRPr="00E31FCD">
          <w:rPr>
            <w:rStyle w:val="Hyperlink"/>
            <w:rFonts w:asciiTheme="majorBidi" w:hAnsiTheme="majorBidi" w:cstheme="majorBidi"/>
            <w:color w:val="auto"/>
            <w:sz w:val="24"/>
            <w:szCs w:val="24"/>
          </w:rPr>
          <w:t>https://doi.org/10.24239/familia.v5i1.197</w:t>
        </w:r>
      </w:hyperlink>
    </w:p>
    <w:p w14:paraId="4BE6F04F"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{"citationItems":[{"id":"ITEM-1","itemData":{"ISSN":"2528-1658","author":[{"dropping-particle":"","family":"Jafar","given":"Wahyu Abdul","non-dropping-particle":"","parse-names":false,"suffix":""},{"dropping-particle":"","family":"Asmara","given":"Musda","non-dropping-particle":"","parse-names":false,"suffix":""},{"dropping-particle":"","family":"Faizin","given":"Mu'adil","non-dropping-particle":"","parse-names":false,"suffix":""},{"dropping-particle":"","family":"Octavianne","given":"Helena","non-dropping-particle":"","parse-names":false,"suffix":""},{"dropping-particle":"","family":"Kisworo","given":"Budi","non-dropping-particle":"","parse-names":false,"suffix":""}],"container-title":"De Jure: Jurnal Hukum dan Syar'iah","id":"ITEM-1","issue":"1","issued":{"date-parts":[["2024"]]},"page":"212-233","title":"Philosophical Foundations and Human Rights in the Bajapuik Tradition: Bridging Local Wisdom and Islamic Law in Minangkabau Marriage Practices","type":"article-journal","volume":"16"},"uris":["http://www.mendeley.com/documents/?uuid=b6a1f2d1-8ef4-425b-b423-77268cbbbc2a"]}],"mendeley":{"formattedCitation":"Wahyu Abdul Jafar et al., “Philosophical Foundations and Human Rights in the Bajapuik Tradition: Bridging Local Wisdom and Islamic Law in Minangkabau Marriage Practices,” &lt;i&gt;De Jure: Jurnal Hukum Dan Syar’iah&lt;/i&gt; 16, no. 1 (2024): 212–33.","plainTextFormattedCitation":"Wahyu Abdul Jafar et al., “Philosophical Foundations and Human Rights in the Bajapuik Tradition: Bridging Local Wisdom and Islamic Law in Minangkabau Marriage Practices,” De Jure: Jurnal Hukum Dan Syar’iah 16, no. 1 (2024): 212–33.","previouslyFormattedCitation":"Wahyu Abdul Jafar et al., “Philosophical Foundations and Human Rights in the Bajapuik Tradition: Bridging Local Wisdom and Islamic Law in Minangkabau Marriage Practices,” &lt;i&gt;De Jure: Jurnal Hukum Dan Syar’iah&lt;/i&gt; 16, no. 1 (2024): 212–33."},"properties":{"noteIndex":50},"schema":"https://github.com/citation-style-language/schema/raw/master/csl-citation.json"}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Wahyu Abdul Jafar et al., “Philosophical Foundations and Human Rights in the Bajapuik Tradition: Bridging Local Wisdom and Islamic Law in Minangkabau Marriage Practices,” </w:t>
      </w:r>
      <w:r w:rsidRPr="00E31FCD">
        <w:rPr>
          <w:rFonts w:asciiTheme="majorBidi" w:hAnsiTheme="majorBidi" w:cstheme="majorBidi"/>
          <w:i/>
          <w:noProof/>
          <w:sz w:val="24"/>
          <w:szCs w:val="24"/>
        </w:rPr>
        <w:t>De Jure: Jurnal Hukum Dan Syar’iah</w:t>
      </w:r>
      <w:r w:rsidRPr="00E31FCD">
        <w:rPr>
          <w:rFonts w:asciiTheme="majorBidi" w:hAnsiTheme="majorBidi" w:cstheme="majorBidi"/>
          <w:noProof/>
          <w:sz w:val="24"/>
          <w:szCs w:val="24"/>
        </w:rPr>
        <w:t xml:space="preserve"> 16, no. 1 (2024): 212–33.</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53" w:history="1">
        <w:r w:rsidRPr="00E31FCD">
          <w:rPr>
            <w:rStyle w:val="Hyperlink"/>
            <w:rFonts w:asciiTheme="majorBidi" w:hAnsiTheme="majorBidi" w:cstheme="majorBidi"/>
            <w:color w:val="auto"/>
            <w:sz w:val="24"/>
            <w:szCs w:val="24"/>
          </w:rPr>
          <w:t>https://doi.org/10.18860/j-fsh.v16i1.27681</w:t>
        </w:r>
      </w:hyperlink>
    </w:p>
    <w:p w14:paraId="759DEA93"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{"citationItems":[{"id":"ITEM-1","itemData":{"ISSN":"2774-3799","author":[{"dropping-particle":"","family":"Wahyudin","given":"Wahyudin","non-dropping-particle":"","parse-names":false,"suffix":""},{"dropping-particle":"","family":"Ma’arif","given":"Muhammad Anas","non-dropping-particle":"","parse-names":false,"suffix":""},{"dropping-particle":"","family":"Rofiq","given":"Muhammad Husnur","non-dropping-particle":"","parse-names":false,"suffix":""}],"container-title":"FATAWA: Jurnal Pendidikan Agama Islam","id":"ITEM-1","issue":"1","issued":{"date-parts":[["2023"]]},"page":"111-124","title":"Nilai-Nilai Pendidikan Islam Pada Adat Istiadat Masyarakat Pakpak Di Pesantren","type":"article-journal","volume":"4"},"uris":["http://www.mendeley.com/documents/?uuid=91c746f3-3d82-418e-8a1a-b707eba26ab1"]}],"mendeley":{"formattedCitation":"Wahyudin Wahyudin, Muhammad Anas Ma’arif, and Muhammad Husnur Rofiq, “Nilai-Nilai Pendidikan Islam Pada Adat Istiadat Masyarakat Pakpak Di Pesantren,” &lt;i&gt;FATAWA: Jurnal Pendidikan Agama Islam&lt;/i&gt; 4, no. 1 (2023): 111–24.","plainTextFormattedCitation":"Wahyudin Wahyudin, Muhammad Anas Ma’arif, and Muhammad Husnur Rofiq, “Nilai-Nilai Pendidikan Islam Pada Adat Istiadat Masyarakat Pakpak Di Pesantren,” FATAWA: Jurnal Pendidikan Agama Islam 4, no. 1 (2023): 111–24.","previouslyFormattedCitation":"Wahyudin Wahyudin, Muhammad Anas Ma’arif, and Muhammad Husnur Rofiq, “Nilai-Nilai Pendidikan Islam Pada Adat Istiadat Masyarakat Pakpak Di Pesantren,” &lt;i&gt;FATAWA: Jurnal Pendidikan Agama Islam&lt;/i&gt; 4, no. 1 (2023): 111–24."},"properties":{"noteIndex":42},"schema":"https://github.com/citation-style-language/schema/raw/master/csl-citation.json"}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Wahyudin Wahyudin, Muhammad Anas Ma’arif, and Muhammad Husnur Rofiq, “Nilai-Nilai Pendidikan Islam Pada Adat Istiadat Masyarakat Pakpak Di Pesantren,” </w:t>
      </w:r>
      <w:r w:rsidRPr="00E31FCD">
        <w:rPr>
          <w:rFonts w:asciiTheme="majorBidi" w:hAnsiTheme="majorBidi" w:cstheme="majorBidi"/>
          <w:i/>
          <w:noProof/>
          <w:sz w:val="24"/>
          <w:szCs w:val="24"/>
        </w:rPr>
        <w:t>FATAWA: Jurnal Pendidikan Agama Islam</w:t>
      </w:r>
      <w:r w:rsidRPr="00E31FCD">
        <w:rPr>
          <w:rFonts w:asciiTheme="majorBidi" w:hAnsiTheme="majorBidi" w:cstheme="majorBidi"/>
          <w:noProof/>
          <w:sz w:val="24"/>
          <w:szCs w:val="24"/>
        </w:rPr>
        <w:t xml:space="preserve"> 4, no. 1 (2023): 111–24.</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54" w:history="1">
        <w:r w:rsidRPr="00E31FCD">
          <w:rPr>
            <w:rStyle w:val="Hyperlink"/>
            <w:rFonts w:asciiTheme="majorBidi" w:hAnsiTheme="majorBidi" w:cstheme="majorBidi"/>
            <w:color w:val="auto"/>
            <w:sz w:val="24"/>
            <w:szCs w:val="24"/>
          </w:rPr>
          <w:t>https://doi.org/10.37812/fatawa.v4i1.1540</w:t>
        </w:r>
      </w:hyperlink>
    </w:p>
    <w:p w14:paraId="463D0E7A"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{"citationItems":[{"id":"ITEM-1","itemData":{"ISSN":"2775-6327","author":[{"dropping-particle":"","family":"Nuroniyah","given":"Wardah","non-dropping-particle":"","parse-names":false,"suffix":""}],"container-title":"Equalita: Jurnal Studi Gender dan Anak","id":"ITEM-1","issue":"1","issued":{"date-parts":[["2022"]]},"page":"113-135","title":"Konsep qiwamah dan fenomena perempuan kepala keluarga","type":"article-journal","volume":"4"},"uris":["http://www.mendeley.com/documents/?uuid=3b7fb3c8-bc65-4b86-9c2c-092af9d9ab63"]}],"mendeley":{"formattedCitation":"Wardah Nuroniyah, “Konsep Qiwamah Dan Fenomena Perempuan Kepala Keluarga,” &lt;i&gt;Equalita: Jurnal Studi Gender Dan Anak&lt;/i&gt; 4, no. 1 (2022): 113–35.","plainTextFormattedCitation":"Wardah Nuroniyah, “Konsep Qiwamah Dan Fenomena Perempuan Kepala Keluarga,” Equalita: Jurnal Studi Gender Dan Anak 4, no. 1 (2022): 113–35.","previouslyFormattedCitation":"Wardah Nuroniyah, “Konsep Qiwamah Dan Fenomena Perempuan Kepala Keluarga,” &lt;i&gt;Equalita: Jurnal Studi Gender Dan Anak&lt;/i&gt; 4, no. 1 (2022): 113–35."},"properties":{"noteIndex":41},"schema":"https://github.com/citation-style-language/schema/raw/master/csl-citation.json"}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Wardah Nuroniyah, “Konsep Qiwamah Dan Fenomena Perempuan Kepala Keluarga,” </w:t>
      </w:r>
      <w:r w:rsidRPr="00E31FCD">
        <w:rPr>
          <w:rFonts w:asciiTheme="majorBidi" w:hAnsiTheme="majorBidi" w:cstheme="majorBidi"/>
          <w:i/>
          <w:noProof/>
          <w:sz w:val="24"/>
          <w:szCs w:val="24"/>
        </w:rPr>
        <w:t>Equalita: Jurnal Studi Gender Dan Anak</w:t>
      </w:r>
      <w:r w:rsidRPr="00E31FCD">
        <w:rPr>
          <w:rFonts w:asciiTheme="majorBidi" w:hAnsiTheme="majorBidi" w:cstheme="majorBidi"/>
          <w:noProof/>
          <w:sz w:val="24"/>
          <w:szCs w:val="24"/>
        </w:rPr>
        <w:t xml:space="preserve"> 4, no. 1 (2022): 113–35.</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DOI: </w:t>
      </w:r>
      <w:hyperlink r:id="rId55" w:history="1">
        <w:r w:rsidRPr="00E31FCD">
          <w:rPr>
            <w:rStyle w:val="Hyperlink"/>
            <w:rFonts w:asciiTheme="majorBidi" w:hAnsiTheme="majorBidi" w:cstheme="majorBidi"/>
            <w:color w:val="auto"/>
            <w:sz w:val="24"/>
            <w:szCs w:val="24"/>
          </w:rPr>
          <w:t>10.24235/equalita.v4i1.10900</w:t>
        </w:r>
      </w:hyperlink>
    </w:p>
    <w:p w14:paraId="2F612893"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{"citationItems":[{"id":"ITEM-1","itemData":{"author":[{"dropping-particle":"","family":"adalah putra tertua Max","given":"Weber","non-dropping-particle":"","parse-names":false,"suffix":""}],"id":"ITEM-1","issued":{"date-parts":[["0"]]},"title":"Sosiologi menurut Max Weber","type":"article-journal"},"uris":["http://www.mendeley.com/documents/?uuid=6a73ed47-b1ee-4b14-b42f-136ead44c994"]}],"mendeley":{"formattedCitation":"Weber adalah putra tertua Max, “Sosiologi Menurut Max Weber,” n.d.","plainTextFormattedCitation":"Weber adalah putra tertua Max, “Sosiologi Menurut Max Weber,” n.d.","previouslyFormattedCitation":"Weber adalah putra tertua Max, “Sosiologi Menurut Max Weber,” n.d."},"properties":{"noteIndex":67},"schema":"https://github.com/citation-style-language/schema/raw/master/csl-citation.json"}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Weber adalah putra tertua Max, “Sosiologi Menurut Max Weber,” n.d.</w:t>
      </w:r>
      <w:r w:rsidRPr="00E31FCD">
        <w:rPr>
          <w:rFonts w:asciiTheme="majorBidi" w:hAnsiTheme="majorBidi" w:cstheme="majorBidi"/>
          <w:sz w:val="24"/>
          <w:szCs w:val="24"/>
        </w:rPr>
        <w:fldChar w:fldCharType="end"/>
      </w:r>
    </w:p>
    <w:p w14:paraId="3D5E6977" w14:textId="77777777" w:rsidR="00F40DE8" w:rsidRPr="00E31FCD"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{"citationItems":[{"id":"ITEM-1","itemData":{"ISSN":"2809-3291","author":[{"dropping-particle":"","family":"Mulawarman","given":"Widyatmike Gede","non-dropping-particle":"","parse-names":false,"suffix":""}],"container-title":"Dikmas: Jurnal Pendidikan Masyarakat Dan Pengabdian","id":"ITEM-1","issue":"1","issued":{"date-parts":[["2022"]]},"page":"171-182","title":"Pendidikan Kritis Bagi Keluarga Rentan Melalui Kegiatan Manajemen Ketahanan Keluarga","type":"article-journal","volume":"2"},"uris":["http://www.mendeley.com/documents/?uuid=b9a06fe2-a913-4e4b-a2b8-27d9b7cdd536"]}],"mendeley":{"formattedCitation":"Widyatmike Gede Mulawarman, “Pendidikan Kritis Bagi Keluarga Rentan Melalui Kegiatan Manajemen Ketahanan Keluarga,” &lt;i&gt;Dikmas: Jurnal Pendidikan Masyarakat Dan Pengabdian&lt;/i&gt; 2, no. 1 (2022): 171–82.","plainTextFormattedCitation":"Widyatmike Gede Mulawarman, “Pendidikan Kritis Bagi Keluarga Rentan Melalui Kegiatan Manajemen Ketahanan Keluarga,” Dikmas: Jurnal Pendidikan Masyarakat Dan Pengabdian 2, no. 1 (2022): 171–82.","previouslyFormattedCitation":"Widyatmike Gede Mulawarman, “Pendidikan Kritis Bagi Keluarga Rentan Melalui Kegiatan Manajemen Ketahanan Keluarga,” &lt;i&gt;Dikmas: Jurnal Pendidikan Masyarakat Dan Pengabdian&lt;/i&gt; 2, no. 1 (2022): 171–82."},"properties":{"noteIndex":64},"schema":"https://github.com/citation-style-language/schema/raw/master/csl-citation.json"}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Widyatmike Gede Mulawarman, “Pendidikan Kritis Bagi Keluarga Rentan Melalui Kegiatan Manajemen Ketahanan Keluarga,” </w:t>
      </w:r>
      <w:r w:rsidRPr="00E31FCD">
        <w:rPr>
          <w:rFonts w:asciiTheme="majorBidi" w:hAnsiTheme="majorBidi" w:cstheme="majorBidi"/>
          <w:i/>
          <w:noProof/>
          <w:sz w:val="24"/>
          <w:szCs w:val="24"/>
        </w:rPr>
        <w:t>Dikmas: Jurnal Pendidikan Masyarakat Dan Pengabdian</w:t>
      </w:r>
      <w:r w:rsidRPr="00E31FCD">
        <w:rPr>
          <w:rFonts w:asciiTheme="majorBidi" w:hAnsiTheme="majorBidi" w:cstheme="majorBidi"/>
          <w:noProof/>
          <w:sz w:val="24"/>
          <w:szCs w:val="24"/>
        </w:rPr>
        <w:t xml:space="preserve"> 2, no. 1 (2022): 171–82.</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56" w:history="1">
        <w:r w:rsidRPr="00E31FCD">
          <w:rPr>
            <w:rStyle w:val="Hyperlink"/>
            <w:rFonts w:asciiTheme="majorBidi" w:hAnsiTheme="majorBidi" w:cstheme="majorBidi"/>
            <w:color w:val="auto"/>
            <w:sz w:val="24"/>
            <w:szCs w:val="24"/>
          </w:rPr>
          <w:t>http://dx.doi.org/10.37905/dikmas.2.1.171-182.2022</w:t>
        </w:r>
      </w:hyperlink>
    </w:p>
    <w:p w14:paraId="3D2B397B" w14:textId="7A246F84" w:rsidR="00DF485D" w:rsidRPr="00F40DE8" w:rsidRDefault="00F40DE8" w:rsidP="00F40DE8">
      <w:pPr>
        <w:pStyle w:val="FootnoteText"/>
        <w:ind w:left="720" w:hanging="720"/>
        <w:jc w:val="both"/>
        <w:rPr>
          <w:rFonts w:asciiTheme="majorBidi" w:hAnsiTheme="majorBidi" w:cstheme="majorBidi"/>
          <w:sz w:val="24"/>
          <w:szCs w:val="24"/>
        </w:rPr>
      </w:pPr>
      <w:r w:rsidRPr="00E31FCD">
        <w:rPr>
          <w:rFonts w:asciiTheme="majorBidi" w:hAnsiTheme="majorBidi" w:cstheme="majorBidi"/>
          <w:sz w:val="24"/>
          <w:szCs w:val="24"/>
        </w:rPr>
        <w:fldChar w:fldCharType="begin" w:fldLock="1"/>
      </w:r>
      <w:r w:rsidRPr="00E31FCD">
        <w:rPr>
          <w:rFonts w:asciiTheme="majorBidi" w:hAnsiTheme="majorBidi" w:cstheme="majorBidi"/>
          <w:sz w:val="24"/>
          <w:szCs w:val="24"/>
        </w:rPr>
        <w:instrText>ADDIN CSL_CITATION {"citationItems":[{"id":"ITEM-1","itemData":{"ISSN":"2828-2779","author":[{"dropping-particle":"","family":"Rozy","given":"Yahya Fathur","non-dropping-particle":"","parse-names":false,"suffix":""}],"container-title":"QiST: Journal of Quran and Tafseer Studies","id":"ITEM-1","issue":"3","issued":{"date-parts":[["2023"]]},"page":"369-381","title":"The Hermeneutics Influence On Feminist Exegesis: A Case Study On Amina Wadud","type":"article-journal","volume":"2"},"uris":["http://www.mendeley.com/documents/?uuid=89fc731c-3c9c-4f31-b1b5-afa92d041cc7"]}],"mendeley":{"formattedCitation":"Yahya Fathur Rozy, “The Hermeneutics Influence On Feminist Exegesis: A Case Study On Amina Wadud,” &lt;i&gt;QiST: Journal of Quran and Tafseer Studies&lt;/i&gt; 2, no. 3 (2023): 369–81.","plainTextFormattedCitation":"Yahya Fathur Rozy, “The Hermeneutics Influence On Feminist Exegesis: A Case Study On Amina Wadud,” QiST: Journal of Quran and Tafseer Studies 2, no. 3 (2023): 369–81.","previouslyFormattedCitation":"Yahya Fathur Rozy, “The Hermeneutics Influence On Feminist Exegesis: A Case Study On Amina Wadud,” &lt;i&gt;QiST: Journal of Quran and Tafseer Studies&lt;/i&gt; 2, no. 3 (2023): 369–81."},"properties":{"noteIndex":71},"schema":"https://github.com/citation-style-language/schema/raw/master/csl-citation.json"}</w:instrText>
      </w:r>
      <w:r w:rsidRPr="00E31FCD">
        <w:rPr>
          <w:rFonts w:asciiTheme="majorBidi" w:hAnsiTheme="majorBidi" w:cstheme="majorBidi"/>
          <w:sz w:val="24"/>
          <w:szCs w:val="24"/>
        </w:rPr>
        <w:fldChar w:fldCharType="separate"/>
      </w:r>
      <w:r w:rsidRPr="00E31FCD">
        <w:rPr>
          <w:rFonts w:asciiTheme="majorBidi" w:hAnsiTheme="majorBidi" w:cstheme="majorBidi"/>
          <w:noProof/>
          <w:sz w:val="24"/>
          <w:szCs w:val="24"/>
        </w:rPr>
        <w:t xml:space="preserve">Yahya Fathur Rozy, “The Hermeneutics Influence On Feminist Exegesis: A Case Study On Amina Wadud,” </w:t>
      </w:r>
      <w:r w:rsidRPr="00E31FCD">
        <w:rPr>
          <w:rFonts w:asciiTheme="majorBidi" w:hAnsiTheme="majorBidi" w:cstheme="majorBidi"/>
          <w:i/>
          <w:noProof/>
          <w:sz w:val="24"/>
          <w:szCs w:val="24"/>
        </w:rPr>
        <w:t>QiST: Journal of Quran and Tafseer Studies</w:t>
      </w:r>
      <w:r w:rsidRPr="00E31FCD">
        <w:rPr>
          <w:rFonts w:asciiTheme="majorBidi" w:hAnsiTheme="majorBidi" w:cstheme="majorBidi"/>
          <w:noProof/>
          <w:sz w:val="24"/>
          <w:szCs w:val="24"/>
        </w:rPr>
        <w:t xml:space="preserve"> 2, no. 3 (2023): 369–81.</w:t>
      </w:r>
      <w:r w:rsidRPr="00E31FCD">
        <w:rPr>
          <w:rFonts w:asciiTheme="majorBidi" w:hAnsiTheme="majorBidi" w:cstheme="majorBidi"/>
          <w:sz w:val="24"/>
          <w:szCs w:val="24"/>
        </w:rPr>
        <w:fldChar w:fldCharType="end"/>
      </w:r>
      <w:r w:rsidRPr="00E31FCD">
        <w:rPr>
          <w:rFonts w:asciiTheme="majorBidi" w:hAnsiTheme="majorBidi" w:cstheme="majorBidi"/>
          <w:sz w:val="24"/>
          <w:szCs w:val="24"/>
        </w:rPr>
        <w:t xml:space="preserve"> </w:t>
      </w:r>
      <w:hyperlink r:id="rId57" w:history="1">
        <w:r w:rsidRPr="00E31FCD">
          <w:rPr>
            <w:rStyle w:val="Hyperlink"/>
            <w:rFonts w:asciiTheme="majorBidi" w:hAnsiTheme="majorBidi" w:cstheme="majorBidi"/>
            <w:color w:val="auto"/>
            <w:sz w:val="24"/>
            <w:szCs w:val="24"/>
          </w:rPr>
          <w:t>https://doi.org/10.23917/qist.v2i3.2908</w:t>
        </w:r>
      </w:hyperlink>
    </w:p>
    <w:sectPr w:rsidR="00DF485D" w:rsidRPr="00F40DE8" w:rsidSect="00791B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CDADF" w14:textId="77777777" w:rsidR="000A21F8" w:rsidRDefault="000A21F8" w:rsidP="00791B8D">
      <w:pPr>
        <w:spacing w:after="0" w:line="240" w:lineRule="auto"/>
      </w:pPr>
      <w:r>
        <w:separator/>
      </w:r>
    </w:p>
  </w:endnote>
  <w:endnote w:type="continuationSeparator" w:id="0">
    <w:p w14:paraId="747EB0CB" w14:textId="77777777" w:rsidR="000A21F8" w:rsidRDefault="000A21F8" w:rsidP="007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Noto Sans">
    <w:charset w:val="00"/>
    <w:family w:val="swiss"/>
    <w:pitch w:val="variable"/>
    <w:sig w:usb0="E00082FF" w:usb1="400078FF" w:usb2="00000021" w:usb3="00000000" w:csb0="0000019F" w:csb1="00000000"/>
  </w:font>
  <w:font w:name="Montserrat">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ora">
    <w:charset w:val="00"/>
    <w:family w:val="auto"/>
    <w:pitch w:val="variable"/>
    <w:sig w:usb0="A00002FF" w:usb1="5000204B" w:usb2="00000000" w:usb3="00000000" w:csb0="000000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B3FA1" w14:textId="77777777" w:rsidR="000A21F8" w:rsidRDefault="000A21F8" w:rsidP="00791B8D">
      <w:pPr>
        <w:spacing w:after="0" w:line="240" w:lineRule="auto"/>
      </w:pPr>
      <w:r>
        <w:separator/>
      </w:r>
    </w:p>
  </w:footnote>
  <w:footnote w:type="continuationSeparator" w:id="0">
    <w:p w14:paraId="21972A85" w14:textId="77777777" w:rsidR="000A21F8" w:rsidRDefault="000A21F8" w:rsidP="00791B8D">
      <w:pPr>
        <w:spacing w:after="0" w:line="240" w:lineRule="auto"/>
      </w:pPr>
      <w:r>
        <w:continuationSeparator/>
      </w:r>
    </w:p>
  </w:footnote>
  <w:footnote w:id="1">
    <w:p w14:paraId="297C07A6" w14:textId="77777777" w:rsidR="00546849" w:rsidRPr="00B64411" w:rsidRDefault="00546849" w:rsidP="00AA2925">
      <w:pPr>
        <w:pStyle w:val="FootnoteText"/>
        <w:jc w:val="both"/>
        <w:rPr>
          <w:rFonts w:asciiTheme="majorBidi" w:hAnsiTheme="majorBidi" w:cstheme="majorBidi"/>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{"citationItems":[{"id":"ITEM-1","itemData":{"ISSN":"2656-940X","author":[{"dropping-particle":"","family":"Bahardur","given":"Iswadi","non-dropping-particle":"","parse-names":false,"suffix":""}],"container-title":"Ideas: Jurnal Pendidikan, Sosial, dan Budaya","id":"ITEM-1","issue":"1","issued":{"date-parts":[["2023"]]},"page":"1-8","title":"Perempuan Korban Kekerasan Berbasis Gender dalam Novel Orang-Orang Blanti Karya Wisran Hadi","type":"article-journal","volume":"9"},"uris":["http://www.mendeley.com/documents/?uuid=222a7ef6-09a7-4fb9-b1f5-8c01a14b4e76"]}],"mendeley":{"formattedCitation":"Iswadi Bahardur, “Perempuan Korban Kekerasan Berbasis Gender Dalam Novel Orang-Orang Blanti Karya Wisran Hadi,” &lt;i&gt;Ideas: Jurnal Pendidikan, Sosial, Dan Budaya&lt;/i&gt; 9, no. 1 (2023): 1–8.","plainTextFormattedCitation":"Iswadi Bahardur, “Perempuan Korban Kekerasan Berbasis Gender Dalam Novel Orang-Orang Blanti Karya Wisran Hadi,” Ideas: Jurnal Pendidikan, Sosial, Dan Budaya 9, no. 1 (2023): 1–8.","previouslyFormattedCitation":"Iswadi Bahardur, “Perempuan Korban Kekerasan Berbasis Gender Dalam Novel Orang-Orang Blanti Karya Wisran Hadi,” &lt;i&gt;Ideas: Jurnal Pendidikan, Sosial, Dan Budaya&lt;/i&gt; 9, no. 1 (2023): 1–8."},"properties":{"noteIndex":1},"schema":"https://github.com/citation-style-language/schema/raw/master/csl-citation.json"}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 xml:space="preserve">Iswadi Bahardur, "Women Victims of Gender-Based Violence in the Novel of Blanti People by Wisran Hadi," </w:t>
      </w:r>
      <w:r w:rsidRPr="00B64411">
        <w:rPr>
          <w:rFonts w:asciiTheme="majorBidi" w:hAnsiTheme="majorBidi" w:cstheme="majorBidi"/>
          <w:i/>
          <w:noProof/>
        </w:rPr>
        <w:t>Ideas: Journal of Education, Social, and Culture</w:t>
      </w:r>
      <w:r w:rsidRPr="00B64411">
        <w:rPr>
          <w:rFonts w:asciiTheme="majorBidi" w:hAnsiTheme="majorBidi" w:cstheme="majorBidi"/>
          <w:noProof/>
        </w:rPr>
        <w:t xml:space="preserve"> 9, no. 1 (2023): 1–8.</w:t>
      </w:r>
      <w:r w:rsidRPr="00B64411">
        <w:rPr>
          <w:rFonts w:asciiTheme="majorBidi" w:hAnsiTheme="majorBidi" w:cstheme="majorBidi"/>
        </w:rPr>
        <w:fldChar w:fldCharType="end"/>
      </w:r>
      <w:r w:rsidRPr="00B64411">
        <w:rPr>
          <w:sz w:val="24"/>
          <w:szCs w:val="24"/>
        </w:rPr>
        <w:t xml:space="preserve"> </w:t>
      </w:r>
      <w:hyperlink r:id="rId1" w:history="1">
        <w:r w:rsidRPr="00B64411">
          <w:rPr>
            <w:rStyle w:val="Hyperlink"/>
            <w:rFonts w:asciiTheme="majorBidi" w:hAnsiTheme="majorBidi" w:cstheme="majorBidi"/>
            <w:color w:val="auto"/>
          </w:rPr>
          <w:t>https://doi.org/10.32884/ideas.v9i1.1188</w:t>
        </w:r>
      </w:hyperlink>
    </w:p>
  </w:footnote>
  <w:footnote w:id="2">
    <w:p w14:paraId="163E27C6" w14:textId="77777777" w:rsidR="00546849" w:rsidRPr="00B64411" w:rsidRDefault="00546849" w:rsidP="00AA2925">
      <w:pPr>
        <w:pStyle w:val="FootnoteText"/>
        <w:jc w:val="both"/>
        <w:rPr>
          <w:rFonts w:asciiTheme="majorBidi" w:hAnsiTheme="majorBidi" w:cstheme="majorBidi"/>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ISSN":"2685-5712","author":[{"dropping-particle":"","family":"Sulistiani","given":"Ino","non-dropping-particle":"","parse-names":false,"suffix":""}],"container-title":"AN-NISA","id":"ITEM-1","issue":"1","issued":{"date-parts":[["2024"]]},"page":"1-20","publisher":"Institut Agama Islam Negeri (IAIN) Bone-Indonesia","title":"Representasi diri perempuan, pembungkaman kapasitas diri perempuan, dan literasi media sebagai sedikit fenomena masalah gender dan solusinya","type":"article-journal","volume":"17"},"uris":["http://www.mendeley.com/documents/?uuid=1eb33f0c-a320-417d-9153-bdb0c4743043"]}],"mendeley":{"formattedCitation":"Ino Sulistiani, “Representasi Diri Perempuan, Pembungkaman Kapasitas Diri Perempuan, Dan Literasi Media Sebagai Sedikit Fenomena Masalah Gender Dan Solusinya,” &lt;i&gt;AN-NISA&lt;/i&gt; 17, no. 1 (2024): 1–20.","plainTextFormattedCitation":"Ino Sulistiani, “Representasi Diri Perempuan, Pembungkaman Kapasitas Diri Perempuan, Dan Literasi Media Sebagai Sedikit Fenomena Masalah Gender Dan Solusinya,” AN-NISA 17, no. 1 (2024): 1–20.","previouslyFormattedCitation":"Ino Sulistiani, “Representasi Diri Perempuan, Pembungkaman Kapasitas Diri Perempuan, Dan Literasi Media Sebagai Sedikit Fenomena Masalah Gender Dan Solusinya,” &lt;i&gt;AN-NISA&lt;/i&gt; 17, no. 1 (2024): 1–20."},"properties":{"noteIndex":2},"schema":"https://github.com/citation-style-language/schema/raw/master/csl-citation.json"}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 xml:space="preserve">Ino Sulistiani, "Women's Self-Representation, Women's Capacity Silencing, and Media Literacy as A Few Gender Problem Phenomena and Their Solutions," </w:t>
      </w:r>
      <w:r w:rsidRPr="00B64411">
        <w:rPr>
          <w:rFonts w:asciiTheme="majorBidi" w:hAnsiTheme="majorBidi" w:cstheme="majorBidi"/>
          <w:i/>
          <w:noProof/>
        </w:rPr>
        <w:t>AN-NISA</w:t>
      </w:r>
      <w:r w:rsidRPr="00B64411">
        <w:rPr>
          <w:rFonts w:asciiTheme="majorBidi" w:hAnsiTheme="majorBidi" w:cstheme="majorBidi"/>
          <w:noProof/>
        </w:rPr>
        <w:t xml:space="preserve"> 17, no. 1 (2024): 1–20.</w:t>
      </w:r>
      <w:r w:rsidRPr="00B64411">
        <w:rPr>
          <w:rFonts w:asciiTheme="majorBidi" w:hAnsiTheme="majorBidi" w:cstheme="majorBidi"/>
        </w:rPr>
        <w:fldChar w:fldCharType="end"/>
      </w:r>
      <w:r w:rsidRPr="00B64411">
        <w:rPr>
          <w:sz w:val="24"/>
          <w:szCs w:val="24"/>
        </w:rPr>
        <w:t xml:space="preserve"> </w:t>
      </w:r>
      <w:hyperlink r:id="rId2" w:history="1">
        <w:r w:rsidRPr="00B64411">
          <w:rPr>
            <w:rStyle w:val="Hyperlink"/>
            <w:rFonts w:asciiTheme="majorBidi" w:hAnsiTheme="majorBidi" w:cstheme="majorBidi"/>
            <w:color w:val="auto"/>
          </w:rPr>
          <w:t>https://doi.org/10.30863/an.v17i1.6720</w:t>
        </w:r>
      </w:hyperlink>
    </w:p>
  </w:footnote>
  <w:footnote w:id="3">
    <w:p w14:paraId="6988A0CF" w14:textId="77777777" w:rsidR="00546849" w:rsidRPr="00B64411" w:rsidRDefault="00546849" w:rsidP="00AA2925">
      <w:pPr>
        <w:pStyle w:val="FootnoteText"/>
        <w:jc w:val="both"/>
        <w:rPr>
          <w:rFonts w:asciiTheme="majorBidi" w:hAnsiTheme="majorBidi" w:cstheme="majorBidi"/>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{"citationItems":[{"id":"ITEM-1","itemData":{"ISSN":"2721-0820","author":[{"dropping-particle":"","family":"Afandi","given":"Agus","non-dropping-particle":"","parse-names":false,"suffix":""}],"container-title":"LENTERA: Journal of Gender and Children Studies","id":"ITEM-1","issue":"1","issued":{"date-parts":[["2019"]]},"title":"Bentuk-bentuk perilaku bias gender","type":"article-journal","volume":"1"},"uris":["http://www.mendeley.com/documents/?uuid=0e2c428e-cd61-4e8b-994b-21579ebfd78f"]}],"mendeley":{"formattedCitation":"Agus Afandi, “Bentuk-Bentuk Perilaku Bias Gender,” &lt;i&gt;LENTERA: Journal of Gender and Children Studies&lt;/i&gt; 1, no. 1 (2019).","plainTextFormattedCitation":"Agus Afandi, “Bentuk-Bentuk Perilaku Bias Gender,” LENTERA: Journal of Gender and Children Studies 1, no. 1 (2019).","previouslyFormattedCitation":"Agus Afandi, “Bentuk-Bentuk Perilaku Bias Gender,” &lt;i&gt;LENTERA: Journal of Gender and Children Studies&lt;/i&gt; 1, no. 1 (2019)."},"properties":{"noteIndex":3},"schema":"https://github.com/citation-style-language/schema/raw/master/csl-citation.json"}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 xml:space="preserve">Agus Afandi, "Forms of Gender-Bias Behavior," </w:t>
      </w:r>
      <w:r w:rsidRPr="00B64411">
        <w:rPr>
          <w:rFonts w:asciiTheme="majorBidi" w:hAnsiTheme="majorBidi" w:cstheme="majorBidi"/>
          <w:i/>
          <w:noProof/>
        </w:rPr>
        <w:t>LENTERA: Journal of Gender and Children Studies</w:t>
      </w:r>
      <w:r w:rsidRPr="00B64411">
        <w:rPr>
          <w:rFonts w:asciiTheme="majorBidi" w:hAnsiTheme="majorBidi" w:cstheme="majorBidi"/>
          <w:noProof/>
        </w:rPr>
        <w:t xml:space="preserve"> 1, no. 1 (2019).</w:t>
      </w:r>
      <w:r w:rsidRPr="00B64411">
        <w:rPr>
          <w:rFonts w:asciiTheme="majorBidi" w:hAnsiTheme="majorBidi" w:cstheme="majorBidi"/>
        </w:rPr>
        <w:fldChar w:fldCharType="end"/>
      </w:r>
      <w:r w:rsidRPr="00B64411">
        <w:rPr>
          <w:sz w:val="24"/>
          <w:szCs w:val="24"/>
        </w:rPr>
        <w:t xml:space="preserve"> </w:t>
      </w:r>
      <w:hyperlink r:id="rId3" w:history="1">
        <w:r w:rsidRPr="00B64411">
          <w:rPr>
            <w:rStyle w:val="Hyperlink"/>
            <w:rFonts w:asciiTheme="majorBidi" w:hAnsiTheme="majorBidi" w:cstheme="majorBidi"/>
            <w:color w:val="auto"/>
          </w:rPr>
          <w:t>https://doi.org/10.26740/lentera.v1i1.6819</w:t>
        </w:r>
      </w:hyperlink>
    </w:p>
  </w:footnote>
  <w:footnote w:id="4">
    <w:p w14:paraId="398E02C9" w14:textId="77777777" w:rsidR="00546849" w:rsidRPr="00B64411" w:rsidRDefault="00546849" w:rsidP="00AA2925">
      <w:pPr>
        <w:pStyle w:val="FootnoteText"/>
        <w:jc w:val="both"/>
        <w:rPr>
          <w:rFonts w:asciiTheme="majorBidi" w:hAnsiTheme="majorBidi"/>
          <w:b/>
          <w:bCs/>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{"citationItems":[{"id":"ITEM-1","itemData":{"ISSN":"2580-8524","author":[{"dropping-particle":"","family":"Afifah","given":"Nurul","non-dropping-particle":"","parse-names":false,"suffix":""}],"container-title":"Jurnal Dinamika Sosial Budaya","id":"ITEM-1","issue":"1","issued":{"date-parts":[["2024"]]},"page":"93-104","title":"Mengkaji ulang stereotip gender: Eksplorasi stereotip gender dalam konteks budaya matrilineal Minangkabau","type":"article-journal","volume":"26"},"uris":["http://www.mendeley.com/documents/?uuid=e379bd6f-2d26-4cb1-92a4-2793ed5d353d"]}],"mendeley":{"formattedCitation":"Nurul Afifah, “Mengkaji Ulang Stereotip Gender: Eksplorasi Stereotip Gender Dalam Konteks Budaya Matrilineal Minangkabau,” &lt;i&gt;Jurnal Dinamika Sosial Budaya&lt;/i&gt; 26, no. 1 (2024): 93–104.","plainTextFormattedCitation":"Nurul Afifah, “Mengkaji Ulang Stereotip Gender: Eksplorasi Stereotip Gender Dalam Konteks Budaya Matrilineal Minangkabau,” Jurnal Dinamika Sosial Budaya 26, no. 1 (2024): 93–104.","previouslyFormattedCitation":"Nurul Afifah, “Mengkaji Ulang Stereotip Gender: Eksplorasi Stereotip Gender Dalam Konteks Budaya Matrilineal Minangkabau,” &lt;i&gt;Jurnal Dinamika Sosial Budaya&lt;/i&gt; 26, no. 1 (2024): 93–104."},"properties":{"noteIndex":4},"schema":"https://github.com/citation-style-language/schema/raw/master/csl-citation.json"}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 xml:space="preserve">Nurul Afifah, "Revisiting Gender Stereotypes: Exploring Gender Stereotypes in the Context of Minangkabau Matrilineal Culture," </w:t>
      </w:r>
      <w:r w:rsidRPr="00B64411">
        <w:rPr>
          <w:rFonts w:asciiTheme="majorBidi" w:hAnsiTheme="majorBidi" w:cstheme="majorBidi"/>
          <w:i/>
          <w:noProof/>
        </w:rPr>
        <w:t>Journal of Socio-Cultural Dynamics</w:t>
      </w:r>
      <w:r w:rsidRPr="00B64411">
        <w:rPr>
          <w:rFonts w:asciiTheme="majorBidi" w:hAnsiTheme="majorBidi" w:cstheme="majorBidi"/>
          <w:noProof/>
        </w:rPr>
        <w:t xml:space="preserve"> 26, no. 1 (2024): 93–104.</w:t>
      </w:r>
      <w:r w:rsidRPr="00B64411">
        <w:rPr>
          <w:rFonts w:asciiTheme="majorBidi" w:hAnsiTheme="majorBidi" w:cstheme="majorBidi"/>
        </w:rPr>
        <w:fldChar w:fldCharType="end"/>
      </w:r>
      <w:hyperlink r:id="rId4" w:history="1">
        <w:r w:rsidRPr="00B64411">
          <w:rPr>
            <w:rStyle w:val="Hyperlink"/>
            <w:rFonts w:asciiTheme="majorBidi" w:hAnsiTheme="majorBidi" w:cstheme="majorBidi"/>
            <w:color w:val="auto"/>
          </w:rPr>
          <w:t>https://doi.org/10.26623/jdsb.v26i1.9779</w:t>
        </w:r>
      </w:hyperlink>
    </w:p>
  </w:footnote>
  <w:footnote w:id="5">
    <w:p w14:paraId="4B2C1AF2" w14:textId="77777777" w:rsidR="00546849" w:rsidRPr="00B64411" w:rsidRDefault="00546849" w:rsidP="00AA2925">
      <w:pPr>
        <w:pStyle w:val="FootnoteText"/>
        <w:jc w:val="both"/>
        <w:rPr>
          <w:rFonts w:asciiTheme="majorBidi" w:hAnsiTheme="majorBidi" w:cstheme="majorBidi"/>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{"citationItems":[{"id":"ITEM-1","itemData":{"ISSN":"2775-0418","author":[{"dropping-particle":"","family":"Ningrum","given":"Wafa Suci","non-dropping-particle":"","parse-names":false,"suffix":""}],"container-title":"Familia: Jurnal Hukum Keluarga","id":"ITEM-1","issue":"1","issued":{"date-parts":[["2024"]]},"page":"25-36","title":"FENOMENA KEBERHASILAN FEMINISME (Studi Gender Feminisme Liberal dan Feminisme Radikal)","type":"article-journal","volume":"5"},"uris":["http://www.mendeley.com/documents/?uuid=63f5e4cb-dbbc-4b70-ac85-17869c7c20d5"]}],"mendeley":{"formattedCitation":"Wafa Suci Ningrum, “FENOMENA KEBERHASILAN FEMINISME (Studi Gender Feminisme Liberal Dan Feminisme Radikal),” &lt;i&gt;Familia: Jurnal Hukum Keluarga&lt;/i&gt; 5, no. 1 (2024): 25–36.","plainTextFormattedCitation":"Wafa Suci Ningrum, “FENOMENA KEBERHASILAN FEMINISME (Studi Gender Feminisme Liberal Dan Feminisme Radikal),” Familia: Jurnal Hukum Keluarga 5, no. 1 (2024): 25–36.","previouslyFormattedCitation":"Wafa Suci Ningrum, “FENOMENA KEBERHASILAN FEMINISME (Studi Gender Feminisme Liberal Dan Feminisme Radikal),” &lt;i&gt;Familia: Jurnal Hukum Keluarga&lt;/i&gt; 5, no. 1 (2024): 25–36."},"properties":{"noteIndex":5},"schema":"https://github.com/citation-style-language/schema/raw/master/csl-citation.json"}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 xml:space="preserve">Wafa Suci Ningrum, "THE PHENOMENON OF FEMINISM SUCCESS (Gender Studies of Liberal Feminism and Radical Feminism)," </w:t>
      </w:r>
      <w:r w:rsidRPr="00B64411">
        <w:rPr>
          <w:rFonts w:asciiTheme="majorBidi" w:hAnsiTheme="majorBidi" w:cstheme="majorBidi"/>
          <w:i/>
          <w:noProof/>
        </w:rPr>
        <w:t>Familia: Journal of Family Law</w:t>
      </w:r>
      <w:r w:rsidRPr="00B64411">
        <w:rPr>
          <w:rFonts w:asciiTheme="majorBidi" w:hAnsiTheme="majorBidi" w:cstheme="majorBidi"/>
          <w:noProof/>
        </w:rPr>
        <w:t xml:space="preserve"> 5, no. 1 (2024): 25–36.</w:t>
      </w:r>
      <w:r w:rsidRPr="00B64411">
        <w:rPr>
          <w:rFonts w:asciiTheme="majorBidi" w:hAnsiTheme="majorBidi" w:cstheme="majorBidi"/>
        </w:rPr>
        <w:fldChar w:fldCharType="end"/>
      </w:r>
      <w:r w:rsidRPr="00B64411">
        <w:rPr>
          <w:sz w:val="24"/>
          <w:szCs w:val="24"/>
        </w:rPr>
        <w:t xml:space="preserve"> </w:t>
      </w:r>
      <w:hyperlink r:id="rId5" w:history="1">
        <w:r w:rsidRPr="00B64411">
          <w:rPr>
            <w:rStyle w:val="Hyperlink"/>
            <w:rFonts w:asciiTheme="majorBidi" w:hAnsiTheme="majorBidi" w:cstheme="majorBidi"/>
            <w:color w:val="auto"/>
          </w:rPr>
          <w:t>https://doi.org/10.24239/familia.v5i1.197</w:t>
        </w:r>
      </w:hyperlink>
    </w:p>
  </w:footnote>
  <w:footnote w:id="6">
    <w:p w14:paraId="7612826A" w14:textId="77777777" w:rsidR="00546849" w:rsidRPr="00B64411" w:rsidRDefault="00546849" w:rsidP="00AA2925">
      <w:pPr>
        <w:pStyle w:val="FootnoteText"/>
        <w:jc w:val="both"/>
        <w:rPr>
          <w:rFonts w:asciiTheme="majorBidi" w:hAnsiTheme="majorBidi" w:cstheme="majorBidi"/>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ISSN":"2477-8036","author":[{"dropping-particle":"","family":"Iska","given":"Syukri","non-dropping-particle":"","parse-names":false,"suffix":""},{"dropping-particle":"","family":"Yenti","given":"Fitri","non-dropping-particle":"","parse-names":false,"suffix":""},{"dropping-particle":"","family":"Sahid","given":"Mualimin Mochammad","non-dropping-particle":"","parse-names":false,"suffix":""}],"container-title":"Ijtihad: Jurnal Wacana Hukum Islam dan Kemanusiaan","id":"ITEM-1","issue":"2","issued":{"date-parts":[["2025"]]},"title":"‘Urf, Gender, and Customary Law: Negotiating Women’s Participation in Boar Hunting in Minangkabau, Indonesia","type":"article-journal","volume":"25"},"uris":["http://www.mendeley.com/documents/?uuid=5aa84ef4-cde2-4364-b09f-e0bc5d927104"]}],"mendeley":{"formattedCitation":"Syukri Iska, Fitri Yenti, and Mualimin Mochammad Sahid, “‘Urf, Gender, and Customary Law: Negotiating Women’s Participation in Boar Hunting in Minangkabau, Indonesia,” &lt;i&gt;Ijtihad: Jurnal Wacana Hukum Islam Dan Kemanusiaan&lt;/i&gt; 25, no. 2 (2025).","plainTextFormattedCitation":"Syukri Iska, Fitri Yenti, and Mualimin Mochammad Sahid, “‘Urf, Gender, and Customary Law: Negotiating Women’s Participation in Boar Hunting in Minangkabau, Indonesia,” Ijtihad: Jurnal Wacana Hukum Islam Dan Kemanusiaan 25, no. 2 (2025).","previouslyFormattedCitation":"Syukri Iska, Fitri Yenti, and Mualimin Mochammad Sahid, “‘Urf, Gender, and Customary Law: Negotiating Women’s Participation in Boar Hunting in Minangkabau, Indonesia,” &lt;i&gt;Ijtihad: Jurnal Wacana Hukum Islam Dan Kemanusiaan&lt;/i&gt; 25, no. 2 (2025)."},"properties":{"noteIndex":6},"schema":"https://github.com/citation-style-language/schema/raw/master/csl-citation.json"}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 xml:space="preserve">Syukri Iska, Fitri Yenti, and Mualimin Mochammad Sahid, "'Urf, Gender, and Customary Law: Negotiating Women's Participation in Boar Hunting in Minangkabau, Indonesia," </w:t>
      </w:r>
      <w:r w:rsidRPr="00B64411">
        <w:rPr>
          <w:rFonts w:asciiTheme="majorBidi" w:hAnsiTheme="majorBidi" w:cstheme="majorBidi"/>
          <w:i/>
          <w:noProof/>
        </w:rPr>
        <w:t>Ijtihad: Journal of Islamic Law and Humanitarian Discourse</w:t>
      </w:r>
      <w:r w:rsidRPr="00B64411">
        <w:rPr>
          <w:rFonts w:asciiTheme="majorBidi" w:hAnsiTheme="majorBidi" w:cstheme="majorBidi"/>
          <w:noProof/>
        </w:rPr>
        <w:t xml:space="preserve"> 25, no. 2 (2025).</w:t>
      </w:r>
      <w:r w:rsidRPr="00B64411">
        <w:rPr>
          <w:rFonts w:asciiTheme="majorBidi" w:hAnsiTheme="majorBidi" w:cstheme="majorBidi"/>
        </w:rPr>
        <w:fldChar w:fldCharType="end"/>
      </w:r>
      <w:r w:rsidRPr="00B64411">
        <w:rPr>
          <w:rFonts w:ascii="Helvetica" w:hAnsi="Helvetica"/>
          <w:sz w:val="21"/>
          <w:szCs w:val="21"/>
          <w:shd w:val="clear" w:color="auto" w:fill="FFFFFF"/>
        </w:rPr>
        <w:t xml:space="preserve"> </w:t>
      </w:r>
      <w:r w:rsidRPr="00B64411">
        <w:rPr>
          <w:rFonts w:asciiTheme="majorBidi" w:hAnsiTheme="majorBidi" w:cstheme="majorBidi"/>
        </w:rPr>
        <w:t xml:space="preserve">DOI: </w:t>
      </w:r>
      <w:hyperlink r:id="rId6" w:history="1">
        <w:r w:rsidRPr="00B64411">
          <w:rPr>
            <w:rStyle w:val="Hyperlink"/>
            <w:rFonts w:asciiTheme="majorBidi" w:hAnsiTheme="majorBidi" w:cstheme="majorBidi"/>
            <w:color w:val="auto"/>
          </w:rPr>
          <w:t>10.18326/ijtihad.v25i2.279-303</w:t>
        </w:r>
      </w:hyperlink>
    </w:p>
  </w:footnote>
  <w:footnote w:id="7">
    <w:p w14:paraId="3F2207CE" w14:textId="77777777" w:rsidR="00546849" w:rsidRPr="00B64411" w:rsidRDefault="00546849" w:rsidP="00AA2925">
      <w:pPr>
        <w:pStyle w:val="FootnoteText"/>
        <w:jc w:val="both"/>
        <w:rPr>
          <w:rFonts w:asciiTheme="majorBidi" w:hAnsiTheme="majorBidi" w:cstheme="majorBidi"/>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{"citationItems":[{"id":"ITEM-1","itemData":{"author":[{"dropping-particle":"","family":"Matanari","given":"Debora","non-dropping-particle":"","parse-names":false,"suffix":""},{"dropping-particle":"","family":"Sihombing","given":"Ruth Hanna Apriani","non-dropping-particle":"","parse-names":false,"suffix":""},{"dropping-particle":"","family":"Manalu","given":"Agnes Elisabeth","non-dropping-particle":"","parse-names":false,"suffix":""},{"dropping-particle":"","family":"Adriani","given":"Natasya","non-dropping-particle":"","parse-names":false,"suffix":""},{"dropping-particle":"","family":"Munthe","given":"Carlo","non-dropping-particle":"","parse-names":false,"suffix":""},{"dropping-particle":"","family":"Arianto","given":"Tomi","non-dropping-particle":"","parse-names":false,"suffix":""},{"dropping-particle":"","family":"Saih","given":"Saih","non-dropping-particle":"","parse-names":false,"suffix":""}],"container-title":"Social Integrity Journal","id":"ITEM-1","issue":"2","issued":{"date-parts":[["2024"]]},"page":"148-158","title":"Nilai Luhur dan Problematika dalam Adat Sulang Silima Suku Pak-Pak Pegagan Marga Matanari di Desa Hutagugung Kabupaten Dairi","type":"article-journal","volume":"1"},"uris":["http://www.mendeley.com/documents/?uuid=1dfbc844-757a-404d-a8aa-88f6f93e59e5"]}],"mendeley":{"formattedCitation":"Debora Matanari et al., “Nilai Luhur Dan Problematika Dalam Adat Sulang Silima Suku Pak-Pak Pegagan Marga Matanari Di Desa Hutagugung Kabupaten Dairi,” &lt;i&gt;Social Integrity Journal&lt;/i&gt; 1, no. 2 (2024): 148–58.","plainTextFormattedCitation":"Debora Matanari et al., “Nilai Luhur Dan Problematika Dalam Adat Sulang Silima Suku Pak-Pak Pegagan Marga Matanari Di Desa Hutagugung Kabupaten Dairi,” Social Integrity Journal 1, no. 2 (2024): 148–58.","previouslyFormattedCitation":"Debora Matanari et al., “Nilai Luhur Dan Problematika Dalam Adat Sulang Silima Suku Pak-Pak Pegagan Marga Matanari Di Desa Hutagugung Kabupaten Dairi,” &lt;i&gt;Social Integrity Journal&lt;/i&gt; 1, no. 2 (2024): 148–58."},"properties":{"noteIndex":7},"schema":"https://github.com/citation-style-language/schema/raw/master/csl-citation.json"}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 xml:space="preserve">Debora Matanari et al., "Noble Values and Problematics in the Sulang Silima Customs of the Pak-Pak Pegagan Tribe of the Matanari Marga in Hutagugung Village, Dairi Regency," </w:t>
      </w:r>
      <w:r w:rsidRPr="00B64411">
        <w:rPr>
          <w:rFonts w:asciiTheme="majorBidi" w:hAnsiTheme="majorBidi" w:cstheme="majorBidi"/>
          <w:i/>
          <w:noProof/>
        </w:rPr>
        <w:t>Social Integrity Journal</w:t>
      </w:r>
      <w:r w:rsidRPr="00B64411">
        <w:rPr>
          <w:rFonts w:asciiTheme="majorBidi" w:hAnsiTheme="majorBidi" w:cstheme="majorBidi"/>
          <w:noProof/>
        </w:rPr>
        <w:t xml:space="preserve"> 1, no. 2 (2024): 148–58.</w:t>
      </w:r>
      <w:r w:rsidRPr="00B64411">
        <w:rPr>
          <w:rFonts w:asciiTheme="majorBidi" w:hAnsiTheme="majorBidi" w:cstheme="majorBidi"/>
        </w:rPr>
        <w:fldChar w:fldCharType="end"/>
      </w:r>
      <w:r w:rsidRPr="00B64411">
        <w:rPr>
          <w:sz w:val="24"/>
          <w:szCs w:val="24"/>
        </w:rPr>
        <w:t xml:space="preserve"> </w:t>
      </w:r>
      <w:hyperlink r:id="rId7" w:history="1">
        <w:r w:rsidRPr="00B64411">
          <w:rPr>
            <w:rStyle w:val="Hyperlink"/>
            <w:rFonts w:asciiTheme="majorBidi" w:hAnsiTheme="majorBidi" w:cstheme="majorBidi"/>
            <w:color w:val="auto"/>
          </w:rPr>
          <w:t>https://doi.org/10.63462/7m085r66</w:t>
        </w:r>
      </w:hyperlink>
    </w:p>
  </w:footnote>
  <w:footnote w:id="8">
    <w:p w14:paraId="179247E0" w14:textId="77777777" w:rsidR="00546849" w:rsidRPr="00B64411" w:rsidRDefault="00546849" w:rsidP="00AA2925">
      <w:pPr>
        <w:pStyle w:val="FootnoteText"/>
        <w:jc w:val="both"/>
        <w:rPr>
          <w:rFonts w:asciiTheme="majorBidi" w:hAnsiTheme="majorBidi" w:cstheme="majorBidi"/>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{"citationItems":[{"id":"ITEM-1","itemData":{"ISSN":"2798-1878","author":[{"dropping-particle":"","family":"Sitompul","given":"Diah Rahmadhaniah","non-dropping-particle":"","parse-names":false,"suffix":""}],"container-title":"Jurnal Budaya Etnika","id":"ITEM-1","issue":"1","issued":{"date-parts":[["2022"]]},"page":"19-28","title":"Fungsi Kekerabatan Kelompok Marga dalam Integrasi Ssosial pada Masyarakat di Dusun Jumamangkat Desa Pegagan Julu X Kabupaten Dairi","type":"article-journal","volume":"6"},"uris":["http://www.mendeley.com/documents/?uuid=db00b725-aec0-4672-92d5-c4636110b296"]}],"mendeley":{"formattedCitation":"Diah Rahmadhaniah Sitompul, “Fungsi Kekerabatan Kelompok Marga Dalam Integrasi Ssosial Pada Masyarakat Di Dusun Jumamangkat Desa Pegagan Julu X Kabupaten Dairi,” &lt;i&gt;Jurnal Budaya Etnika&lt;/i&gt; 6, no. 1 (2022): 19–28.","plainTextFormattedCitation":"Diah Rahmadhaniah Sitompul, “Fungsi Kekerabatan Kelompok Marga Dalam Integrasi Ssosial Pada Masyarakat Di Dusun Jumamangkat Desa Pegagan Julu X Kabupaten Dairi,” Jurnal Budaya Etnika 6, no. 1 (2022): 19–28.","previouslyFormattedCitation":"Diah Rahmadhaniah Sitompul, “Fungsi Kekerabatan Kelompok Marga Dalam Integrasi Ssosial Pada Masyarakat Di Dusun Jumamangkat Desa Pegagan Julu X Kabupaten Dairi,” &lt;i&gt;Jurnal Budaya Etnika&lt;/i&gt; 6, no. 1 (2022): 19–28."},"properties":{"noteIndex":8},"schema":"https://github.com/citation-style-language/schema/raw/master/csl-citation.json"}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 xml:space="preserve">Diah Rahmadhaniah Sitompul, "The Function of Clan Group Kinship in Social Integration in the Community in Jumamangkat Hamlet, Pegagan Julu X Village, Dairi Regency," </w:t>
      </w:r>
      <w:r w:rsidRPr="00B64411">
        <w:rPr>
          <w:rFonts w:asciiTheme="majorBidi" w:hAnsiTheme="majorBidi" w:cstheme="majorBidi"/>
          <w:i/>
          <w:noProof/>
        </w:rPr>
        <w:t>Journal of Ethnic Culture</w:t>
      </w:r>
      <w:r w:rsidRPr="00B64411">
        <w:rPr>
          <w:rFonts w:asciiTheme="majorBidi" w:hAnsiTheme="majorBidi" w:cstheme="majorBidi"/>
          <w:noProof/>
        </w:rPr>
        <w:t xml:space="preserve"> 6, no. 1 (2022): 19–28.</w:t>
      </w:r>
      <w:r w:rsidRPr="00B64411">
        <w:rPr>
          <w:rFonts w:asciiTheme="majorBidi" w:hAnsiTheme="majorBidi" w:cstheme="majorBidi"/>
        </w:rPr>
        <w:fldChar w:fldCharType="end"/>
      </w:r>
      <w:r w:rsidRPr="00B64411">
        <w:rPr>
          <w:sz w:val="24"/>
          <w:szCs w:val="24"/>
        </w:rPr>
        <w:t xml:space="preserve"> </w:t>
      </w:r>
      <w:hyperlink r:id="rId8" w:history="1">
        <w:r w:rsidRPr="00B64411">
          <w:rPr>
            <w:rStyle w:val="Hyperlink"/>
            <w:rFonts w:asciiTheme="majorBidi" w:hAnsiTheme="majorBidi" w:cstheme="majorBidi"/>
            <w:color w:val="auto"/>
          </w:rPr>
          <w:t>https://doi.org/10.26742/jbe.v6i1.2076</w:t>
        </w:r>
      </w:hyperlink>
    </w:p>
  </w:footnote>
  <w:footnote w:id="9">
    <w:p w14:paraId="61DC0E47" w14:textId="77777777" w:rsidR="00546849" w:rsidRPr="00B64411" w:rsidRDefault="00546849" w:rsidP="009D0C45">
      <w:pPr>
        <w:pStyle w:val="FootnoteText"/>
        <w:jc w:val="both"/>
        <w:rPr>
          <w:rFonts w:asciiTheme="majorBidi" w:hAnsiTheme="majorBidi" w:cstheme="majorBidi"/>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{"citationItems":[{"id":"ITEM-1","itemData":{"author":[{"dropping-particle":"","family":"Munthe","given":"Hadriana Marhaeni","non-dropping-particle":"","parse-names":false,"suffix":""},{"dropping-particle":"","family":"Hafi","given":"Bisru","non-dropping-particle":"","parse-names":false,"suffix":""}],"id":"ITEM-1","issued":{"date-parts":[["0"]]},"title":"PEMBERDAYAAN GENDER PADA TOKOH ADAT UNTUK MENDUKUNG PERAN PEREMPUAN DALAM PEMBAGUNAN DI DESA PEGAGAN JULU VIII, SUMBUL, KABUPATEN DAIRI SUMATERA UTARA","type":"article-journal"},"uris":["http://www.mendeley.com/documents/?uuid=6da981fb-5512-47e9-b591-33bf7fd1c240"]}],"mendeley":{"formattedCitation":"Hadriana Marhaeni Munthe and Bisru Hafi, “PEMBERDAYAAN GENDER PADA TOKOH ADAT UNTUK MENDUKUNG PERAN PEREMPUAN DALAM PEMBAGUNAN DI DESA PEGAGAN JULU VIII, SUMBUL, KABUPATEN DAIRI SUMATERA UTARA,” n.d.","plainTextFormattedCitation":"Hadriana Marhaeni Munthe and Bisru Hafi, “PEMBERDAYAAN GENDER PADA TOKOH ADAT UNTUK MENDUKUNG PERAN PEREMPUAN DALAM PEMBAGUNAN DI DESA PEGAGAN JULU VIII, SUMBUL, KABUPATEN DAIRI SUMATERA UTARA,” n.d.","previouslyFormattedCitation":"Hadriana Marhaeni Munthe and Bisru Hafi, “PEMBERDAYAAN GENDER PADA TOKOH ADAT UNTUK MENDUKUNG PERAN PEREMPUAN DALAM PEMBAGUNAN DI DESA PEGAGAN JULU VIII, SUMBUL, KABUPATEN DAIRI SUMATERA UTARA,” n.d."},"properties":{"noteIndex":9},"schema":"https://github.com/citation-style-language/schema/raw/master/csl-citation.json"}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Hadriana Marhaeni Munthe and Bisru Hafi, "Gender Empowerment in Traditional Leaders to Support the Role of Women in Development in Pegagan Julu VIII Village, Sumbul, Dairi Regency, North Sumatra," n.d.</w:t>
      </w:r>
      <w:r w:rsidRPr="00B64411">
        <w:rPr>
          <w:rFonts w:asciiTheme="majorBidi" w:hAnsiTheme="majorBidi" w:cstheme="majorBidi"/>
        </w:rPr>
        <w:fldChar w:fldCharType="end"/>
      </w:r>
      <w:r w:rsidRPr="00B64411">
        <w:rPr>
          <w:sz w:val="24"/>
          <w:szCs w:val="24"/>
        </w:rPr>
        <w:t xml:space="preserve"> </w:t>
      </w:r>
      <w:hyperlink r:id="rId9" w:history="1">
        <w:r w:rsidRPr="00B64411">
          <w:rPr>
            <w:rStyle w:val="Hyperlink"/>
            <w:rFonts w:asciiTheme="majorBidi" w:hAnsiTheme="majorBidi" w:cstheme="majorBidi"/>
            <w:color w:val="auto"/>
          </w:rPr>
          <w:t>https://doi.org/10.32734/abdimastalenta.v3i2.4163</w:t>
        </w:r>
      </w:hyperlink>
    </w:p>
  </w:footnote>
  <w:footnote w:id="10">
    <w:p w14:paraId="1B718DA0" w14:textId="77777777" w:rsidR="00546849" w:rsidRPr="009D0C45" w:rsidRDefault="00546849" w:rsidP="009D0C45">
      <w:pPr>
        <w:pStyle w:val="FootnoteText"/>
        <w:jc w:val="both"/>
        <w:rPr>
          <w:rFonts w:asciiTheme="majorBidi" w:hAnsiTheme="majorBidi" w:cstheme="majorBidi"/>
        </w:rPr>
      </w:pPr>
      <w:r w:rsidRPr="00B64411">
        <w:rPr>
          <w:rStyle w:val="FootnoteReference"/>
          <w:rFonts w:asciiTheme="majorBidi" w:hAnsiTheme="majorBidi" w:cstheme="majorBidi"/>
        </w:rPr>
        <w:footnoteRef/>
      </w:r>
      <w:r w:rsidRPr="00B64411">
        <w:rPr>
          <w:rFonts w:asciiTheme="majorBidi" w:hAnsiTheme="majorBidi" w:cstheme="majorBidi"/>
        </w:rPr>
        <w:t xml:space="preserve"> </w:t>
      </w:r>
      <w:r w:rsidRPr="00B64411">
        <w:rPr>
          <w:rFonts w:asciiTheme="majorBidi" w:hAnsiTheme="majorBidi" w:cstheme="majorBidi"/>
        </w:rPr>
        <w:fldChar w:fldCharType="begin" w:fldLock="1"/>
      </w:r>
      <w:r w:rsidRPr="00B64411">
        <w:rPr>
          <w:rFonts w:asciiTheme="majorBidi" w:hAnsiTheme="majorBidi" w:cstheme="majorBidi"/>
        </w:rPr>
        <w:instrText>ADDIN CSL_CITATION {"citationItems":[{"id":"ITEM-1","itemData":{"author":[{"dropping-particle":"","family":"Rohmati","given":"Hudiya","non-dropping-particle":"","parse-names":false,"suffix":""}],"id":"ITEM-1","issued":{"date-parts":[["2025"]]},"publisher":"Universitas Islam Indonesia","title":"Penerapan Konsep Kesetaraan Gender dalam Rumah Tangga Sebagai Bentuk Ketahanan Keluarga Sakinah Mawadah Warahmah (Studi Kasus di Dusun Gubuk Bangsal Desa Mekar Bersatu Kecamatan Batukliang Kabupaten Lombok Tengah)","type":"article"},"uris":["http://www.mendeley.com/documents/?uuid=2c6cb24d-8cdd-4288-acd2-148476f70fea"]}],"mendeley":{"formattedCitation":"Hudiya Rohmati, “Penerapan Konsep Kesetaraan Gender Dalam Rumah Tangga Sebagai Bentuk Ketahanan Keluarga Sakinah Mawadah Warahmah (Studi Kasus Di Dusun Gubuk Bangsal Desa Mekar Bersatu Kecamatan Batukliang Kabupaten Lombok Tengah)” (Universitas Islam Indonesia, 2025).","plainTextFormattedCitation":"Hudiya Rohmati, “Penerapan Konsep Kesetaraan Gender Dalam Rumah Tangga Sebagai Bentuk Ketahanan Keluarga Sakinah Mawadah Warahmah (Studi Kasus Di Dusun Gubuk Bangsal Desa Mekar Bersatu Kecamatan Batukliang Kabupaten Lombok Tengah)” (Universitas Islam Indonesia, 2025).","previouslyFormattedCitation":"Hudiya Rohmati, “Penerapan Konsep Kesetaraan Gender Dalam Rumah Tangga Sebagai Bentuk Ketahanan Keluarga Sakinah Mawadah Warahmah (Studi Kasus Di Dusun Gubuk Bangsal Desa Mekar Bersatu Kecamatan Batukliang Kabupaten Lombok Tengah)” (Universitas Islam Indonesia, 2025)."},"properties":{"noteIndex":10},"schema":"https://github.com/citation-style-language/schema/raw/master/csl-citation.json"}</w:instrText>
      </w:r>
      <w:r w:rsidRPr="00B64411">
        <w:rPr>
          <w:rFonts w:asciiTheme="majorBidi" w:hAnsiTheme="majorBidi" w:cstheme="majorBidi"/>
        </w:rPr>
        <w:fldChar w:fldCharType="separate"/>
      </w:r>
      <w:r w:rsidRPr="00B64411">
        <w:rPr>
          <w:rFonts w:asciiTheme="majorBidi" w:hAnsiTheme="majorBidi" w:cstheme="majorBidi"/>
          <w:noProof/>
        </w:rPr>
        <w:t>Hudiya Rohmati, "The Application of the Concept of Gender Equality in the Household as a Form of Family Resilience of Sakinah Mawadah Warahmah (Case Study in Gubuk Bangsal Hamlet, Mekar Bersatu Village, Batukliang District, Central Lombok Regency)" (Islamic University of Indonesia, 2025).</w:t>
      </w:r>
      <w:r w:rsidRPr="00B64411">
        <w:rPr>
          <w:rFonts w:asciiTheme="majorBidi" w:hAnsiTheme="majorBidi" w:cstheme="majorBidi"/>
        </w:rPr>
        <w:fldChar w:fldCharType="end"/>
      </w:r>
    </w:p>
  </w:footnote>
  <w:footnote w:id="11">
    <w:p w14:paraId="6E52E9E5" w14:textId="77777777" w:rsidR="00546849" w:rsidRPr="00F22625" w:rsidRDefault="00546849" w:rsidP="009D0C45">
      <w:pPr>
        <w:pStyle w:val="FootnoteText"/>
        <w:jc w:val="both"/>
        <w:rPr>
          <w:rFonts w:asciiTheme="majorBidi" w:hAnsiTheme="majorBidi" w:cstheme="majorBidi"/>
        </w:rPr>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{"citationItems":[{"id":"ITEM-1","itemData":{"ISSN":"2442-9449","author":[{"dropping-particle":"","family":"Wibawa","given":"Ramadhan Prasetya","non-dropping-particle":"","parse-names":false,"suffix":""},{"dropping-particle":"","family":"Wihartanti","given":"Liana Vivin","non-dropping-particle":"","parse-names":false,"suffix":""}],"container-title":"PROMOSI (Jurnal Pendidikan Ekonomi)","id":"ITEM-1","issue":"2","issued":{"date-parts":[["2018"]]},"title":"Strategi perempuan kepala keluarga (pekka) dalam menciptakan kemandirian ekonomi keluarga di desa gesi kecamatan gesi kabupaten sragen","type":"article-journal","volume":"6"},"uris":["http://www.mendeley.com/documents/?uuid=a9f90e1d-92e6-462c-8534-3a083bd29d7b"]}],"mendeley":{"formattedCitation":"Ramadhan Prasetya Wibawa and Liana Vivin Wihartanti, “Strategi Perempuan Kepala Keluarga (Pekka) Dalam Menciptakan Kemandirian Ekonomi Keluarga Di Desa Gesi Kecamatan Gesi Kabupaten Sragen,” &lt;i&gt;PROMOSI (Jurnal Pendidikan Ekonomi)&lt;/i&gt; 6, no. 2 (2018).","plainTextFormattedCitation":"Ramadhan Prasetya Wibawa and Liana Vivin Wihartanti, “Strategi Perempuan Kepala Keluarga (Pekka) Dalam Menciptakan Kemandirian Ekonomi Keluarga Di Desa Gesi Kecamatan Gesi Kabupaten Sragen,” PROMOSI (Jurnal Pendidikan Ekonomi) 6, no. 2 (2018).","previouslyFormattedCitation":"Ramadhan Prasetya Wibawa and Liana Vivin Wihartanti, “Strategi Perempuan Kepala Keluarga (Pekka) Dalam Menciptakan Kemandirian Ekonomi Keluarga Di Desa Gesi Kecamatan Gesi Kabupaten Sragen,” &lt;i&gt;PROMOSI (Jurnal Pendidikan Ekonomi)&lt;/i&gt; 6, no. 2 (2018)."},"properties":{"noteIndex":11},"schema":"https://github.com/citation-style-language/schema/raw/master/csl-citation.json"}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Ramadhan Prasetya Wibawa and Liana Vivin Wihartanti, "The Strategy of Women Heads of Families (Pekka) in Creating Family Economic Independence in Gesi Village, Gesi District, Sragen Regency," </w:t>
      </w:r>
      <w:r w:rsidRPr="00F22625">
        <w:rPr>
          <w:rFonts w:asciiTheme="majorBidi" w:hAnsiTheme="majorBidi" w:cstheme="majorBidi"/>
          <w:i/>
          <w:noProof/>
        </w:rPr>
        <w:t>PROMOTION (Journal of Economic Education)</w:t>
      </w:r>
      <w:r w:rsidRPr="00F22625">
        <w:rPr>
          <w:rFonts w:asciiTheme="majorBidi" w:hAnsiTheme="majorBidi" w:cstheme="majorBidi"/>
          <w:noProof/>
        </w:rPr>
        <w:t xml:space="preserve"> 6, no. 2 (2018).</w:t>
      </w:r>
      <w:r w:rsidRPr="00F22625">
        <w:rPr>
          <w:rFonts w:asciiTheme="majorBidi" w:hAnsiTheme="majorBidi" w:cstheme="majorBidi"/>
        </w:rPr>
        <w:fldChar w:fldCharType="end"/>
      </w:r>
      <w:r w:rsidRPr="00F22625">
        <w:rPr>
          <w:sz w:val="24"/>
          <w:szCs w:val="24"/>
        </w:rPr>
        <w:t xml:space="preserve"> </w:t>
      </w:r>
      <w:hyperlink r:id="rId10" w:history="1">
        <w:r w:rsidRPr="00F22625">
          <w:rPr>
            <w:rStyle w:val="Hyperlink"/>
            <w:rFonts w:asciiTheme="majorBidi" w:hAnsiTheme="majorBidi" w:cstheme="majorBidi"/>
            <w:color w:val="auto"/>
          </w:rPr>
          <w:t>http://dx.doi.org/10.24127/pro.v6i2.1691</w:t>
        </w:r>
      </w:hyperlink>
    </w:p>
  </w:footnote>
  <w:footnote w:id="12">
    <w:p w14:paraId="7DE3EDEC" w14:textId="77777777" w:rsidR="00546849" w:rsidRPr="00F22625" w:rsidRDefault="00546849" w:rsidP="009D0C45">
      <w:pPr>
        <w:pStyle w:val="FootnoteText"/>
        <w:jc w:val="both"/>
        <w:rPr>
          <w:rFonts w:asciiTheme="majorBidi" w:hAnsiTheme="majorBidi" w:cstheme="majorBidi"/>
        </w:rPr>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{"citationItems":[{"id":"ITEM-1","itemData":{"ISSN":"2580-9644","author":[{"dropping-particle":"","family":"Haini","given":"Nur","non-dropping-particle":"","parse-names":false,"suffix":""}],"container-title":"QAWWAM: Journal for gender mainstreaming","id":"ITEM-1","issue":"1","issued":{"date-parts":[["2022"]]},"page":"39-51","title":"Eksistensi Janda dalam Meningkatkan Perekonomian Keluarga Perspektif Gender (Studi di Desa Batu Bangka Kecamatan Moyo Hilir Kabupaten Sumbawa)","type":"article-journal","volume":"16"},"uris":["http://www.mendeley.com/documents/?uuid=8ce2d9af-4d09-4d9a-a0dd-1a8c2e98cb1c"]}],"mendeley":{"formattedCitation":"Nur Haini, “Eksistensi Janda Dalam Meningkatkan Perekonomian Keluarga Perspektif Gender (Studi Di Desa Batu Bangka Kecamatan Moyo Hilir Kabupaten Sumbawa),” &lt;i&gt;QAWWAM: Journal for Gender Mainstreaming&lt;/i&gt; 16, no. 1 (2022): 39–51.","plainTextFormattedCitation":"Nur Haini, “Eksistensi Janda Dalam Meningkatkan Perekonomian Keluarga Perspektif Gender (Studi Di Desa Batu Bangka Kecamatan Moyo Hilir Kabupaten Sumbawa),” QAWWAM: Journal for Gender Mainstreaming 16, no. 1 (2022): 39–51.","previouslyFormattedCitation":"Nur Haini, “Eksistensi Janda Dalam Meningkatkan Perekonomian Keluarga Perspektif Gender (Studi Di Desa Batu Bangka Kecamatan Moyo Hilir Kabupaten Sumbawa),” &lt;i&gt;QAWWAM: Journal for Gender Mainstreaming&lt;/i&gt; 16, no. 1 (2022): 39–51."},"properties":{"noteIndex":12},"schema":"https://github.com/citation-style-language/schema/raw/master/csl-citation.json"}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Nur Haini, "The Existence of Widows in Improving the Family Economy from a Gender Perspective (Study in Batu Bangka Village, Moyo Hilir District, Sumbawa Regency)," </w:t>
      </w:r>
      <w:r w:rsidRPr="00F22625">
        <w:rPr>
          <w:rFonts w:asciiTheme="majorBidi" w:hAnsiTheme="majorBidi" w:cstheme="majorBidi"/>
          <w:i/>
          <w:noProof/>
        </w:rPr>
        <w:t>QAWWAM: Journal for Gender Mainstreaming</w:t>
      </w:r>
      <w:r w:rsidRPr="00F22625">
        <w:rPr>
          <w:rFonts w:asciiTheme="majorBidi" w:hAnsiTheme="majorBidi" w:cstheme="majorBidi"/>
          <w:noProof/>
        </w:rPr>
        <w:t xml:space="preserve"> 16, no. 1 (2022): 39–51.</w:t>
      </w:r>
      <w:r w:rsidRPr="00F22625">
        <w:rPr>
          <w:rFonts w:asciiTheme="majorBidi" w:hAnsiTheme="majorBidi" w:cstheme="majorBidi"/>
        </w:rPr>
        <w:fldChar w:fldCharType="end"/>
      </w:r>
      <w:r w:rsidRPr="00F22625">
        <w:rPr>
          <w:sz w:val="24"/>
          <w:szCs w:val="24"/>
        </w:rPr>
        <w:t xml:space="preserve"> </w:t>
      </w:r>
      <w:hyperlink r:id="rId11" w:history="1">
        <w:r w:rsidRPr="00F22625">
          <w:rPr>
            <w:rStyle w:val="Hyperlink"/>
            <w:rFonts w:asciiTheme="majorBidi" w:hAnsiTheme="majorBidi" w:cstheme="majorBidi"/>
            <w:color w:val="auto"/>
          </w:rPr>
          <w:t>https://doi.org/10.20414/qawwam.v16i1.5258</w:t>
        </w:r>
      </w:hyperlink>
    </w:p>
  </w:footnote>
  <w:footnote w:id="13">
    <w:p w14:paraId="2C2B8121" w14:textId="77777777" w:rsidR="00546849" w:rsidRPr="00F22625" w:rsidRDefault="00546849" w:rsidP="009D0C45">
      <w:pPr>
        <w:pStyle w:val="FootnoteText"/>
        <w:jc w:val="both"/>
        <w:rPr>
          <w:rFonts w:asciiTheme="majorBidi" w:hAnsiTheme="majorBidi" w:cstheme="majorBidi"/>
        </w:rPr>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{"citationItems":[{"id":"ITEM-1","itemData":{"ISBN":"2830-3180","author":[{"dropping-particle":"","family":"Kasim","given":"Syaifudin S","non-dropping-particle":"","parse-names":false,"suffix":""},{"dropping-particle":"","family":"Supiyah","given":"Ratna","non-dropping-particle":"","parse-names":false,"suffix":""},{"dropping-particle":"","family":"Roslan","given":"Suharty","non-dropping-particle":"","parse-names":false,"suffix":""}],"container-title":"Indonesian Annual Conference Series","id":"ITEM-1","issued":{"date-parts":[["2022"]]},"page":"20-27","title":"Etos Kerja dan Kemandirian Ekonomi Perempuan Kepala Rumah Tangga (Janda) Pada Keluarga Miskin di Perkotaan","type":"paper-conference"},"uris":["http://www.mendeley.com/documents/?uuid=ca551532-d88d-4e4c-8c6d-7c686027720b"]}],"mendeley":{"formattedCitation":"Syaifudin S Kasim, Ratna Supiyah, and Suharty Roslan, “Etos Kerja Dan Kemandirian Ekonomi Perempuan Kepala Rumah Tangga (Janda) Pada Keluarga Miskin Di Perkotaan,” in &lt;i&gt;Indonesian Annual Conference Series&lt;/i&gt;, 2022, 20–27.","plainTextFormattedCitation":"Syaifudin S Kasim, Ratna Supiyah, and Suharty Roslan, “Etos Kerja Dan Kemandirian Ekonomi Perempuan Kepala Rumah Tangga (Janda) Pada Keluarga Miskin Di Perkotaan,” in Indonesian Annual Conference Series, 2022, 20–27.","previouslyFormattedCitation":"Syaifudin S Kasim, Ratna Supiyah, and Suharty Roslan, “Etos Kerja Dan Kemandirian Ekonomi Perempuan Kepala Rumah Tangga (Janda) Pada Keluarga Miskin Di Perkotaan,” in &lt;i&gt;Indonesian Annual Conference Series&lt;/i&gt;, 2022, 20–27."},"properties":{"noteIndex":13},"schema":"https://github.com/citation-style-language/schema/raw/master/csl-citation.json"}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Syaifudin S Kasim, Ratna Supiyah, and Suharty Roslan, "Work Ethic and Economic Independence of Women Heads of Households (Janda) in Poor Families in Urban Areas," in </w:t>
      </w:r>
      <w:r w:rsidRPr="00F22625">
        <w:rPr>
          <w:rFonts w:asciiTheme="majorBidi" w:hAnsiTheme="majorBidi" w:cstheme="majorBidi"/>
          <w:i/>
          <w:noProof/>
        </w:rPr>
        <w:t>Indonesian Annual Conference Series</w:t>
      </w:r>
      <w:r w:rsidRPr="00F22625">
        <w:rPr>
          <w:rFonts w:asciiTheme="majorBidi" w:hAnsiTheme="majorBidi" w:cstheme="majorBidi"/>
          <w:noProof/>
        </w:rPr>
        <w:t>, 2022, 20–27.</w:t>
      </w:r>
      <w:r w:rsidRPr="00F22625">
        <w:rPr>
          <w:rFonts w:asciiTheme="majorBidi" w:hAnsiTheme="majorBidi" w:cstheme="majorBidi"/>
        </w:rPr>
        <w:fldChar w:fldCharType="end"/>
      </w:r>
    </w:p>
  </w:footnote>
  <w:footnote w:id="14">
    <w:p w14:paraId="4A42BD3A" w14:textId="77777777" w:rsidR="00546849" w:rsidRPr="00F22625" w:rsidRDefault="00546849" w:rsidP="009D0C45">
      <w:pPr>
        <w:pStyle w:val="FootnoteText"/>
        <w:jc w:val="both"/>
        <w:rPr>
          <w:rFonts w:asciiTheme="majorBidi" w:hAnsiTheme="majorBidi" w:cstheme="majorBidi"/>
        </w:rPr>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2809-4034","author":[{"dropping-particle":"","family":"Faqihatin","given":"Faqihatin","non-dropping-particle":"","parse-names":false,"suffix":""},{"dropping-particle":"","family":"Faizah","given":"Nur","non-dropping-particle":"","parse-names":false,"suffix":""},{"dropping-particle":"","family":"Ainiyah","given":"Maslakhatul","non-dropping-particle":"","parse-names":false,"suffix":""}],"container-title":"KNOWLEDGE: Jurnal Inovasi Hasil Penelitian dan Pengembangan","id":"ITEM-1","issue":"2","issued":{"date-parts":[["2025"]]},"page":"417-424","title":"PEMBERDAYAAN PEREMPUAN KEPALA KELUARGA DALAM PENINGKATAN EKONOMI KELUARGA MELALUI PROGRAM BUNDA PUSPA","type":"article-journal","volume":"5"},"uris":["http://www.mendeley.com/documents/?uuid=ba850d2a-9f26-416f-ae43-02677ca4afe2"]}],"mendeley":{"formattedCitation":"Faqihatin Faqihatin, Nur Faizah, and Maslakhatul Ainiyah, “PEMBERDAYAAN PEREMPUAN KEPALA KELUARGA DALAM PENINGKATAN EKONOMI KELUARGA MELALUI PROGRAM BUNDA PUSPA,” &lt;i&gt;KNOWLEDGE: Jurnal Inovasi Hasil Penelitian Dan Pengembangan&lt;/i&gt; 5, no. 2 (2025): 417–24.","plainTextFormattedCitation":"Faqihatin Faqihatin, Nur Faizah, and Maslakhatul Ainiyah, “PEMBERDAYAAN PEREMPUAN KEPALA KELUARGA DALAM PENINGKATAN EKONOMI KELUARGA MELALUI PROGRAM BUNDA PUSPA,” KNOWLEDGE: Jurnal Inovasi Hasil Penelitian Dan Pengembangan 5, no. 2 (2025): 417–24.","previouslyFormattedCitation":"Faqihatin Faqihatin, Nur Faizah, and Maslakhatul Ainiyah, “PEMBERDAYAAN PEREMPUAN KEPALA KELUARGA DALAM PENINGKATAN EKONOMI KELUARGA MELALUI PROGRAM BUNDA PUSPA,” &lt;i&gt;KNOWLEDGE: Jurnal Inovasi Hasil Penelitian Dan Pengembangan&lt;/i&gt; 5, no. 2 (2025): 417–24."},"properties":{"noteIndex":14},"schema":"https://github.com/citation-style-language/schema/raw/master/csl-citation.json"}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Faqihatin Faqihatin, Nur Faizah, and Maslakhatul Ainiyah, "Empowerment of Women Heads of Families in Improving the Family Economy through the Bunda Puspa Program," </w:t>
      </w:r>
      <w:r w:rsidRPr="00F22625">
        <w:rPr>
          <w:rFonts w:asciiTheme="majorBidi" w:hAnsiTheme="majorBidi" w:cstheme="majorBidi"/>
          <w:i/>
          <w:noProof/>
        </w:rPr>
        <w:t>KNOWLEDGE: Journal of Research and Development Results</w:t>
      </w:r>
      <w:r w:rsidRPr="00F22625">
        <w:rPr>
          <w:rFonts w:asciiTheme="majorBidi" w:hAnsiTheme="majorBidi" w:cstheme="majorBidi"/>
          <w:noProof/>
        </w:rPr>
        <w:t xml:space="preserve"> Innovation 5, no. 2 (2025): 417–24.</w:t>
      </w:r>
      <w:r w:rsidRPr="00F22625">
        <w:rPr>
          <w:rFonts w:asciiTheme="majorBidi" w:hAnsiTheme="majorBidi" w:cstheme="majorBidi"/>
        </w:rPr>
        <w:fldChar w:fldCharType="end"/>
      </w:r>
    </w:p>
  </w:footnote>
  <w:footnote w:id="15">
    <w:p w14:paraId="4F6E2014" w14:textId="05DE0828" w:rsidR="00916D50" w:rsidRPr="00F22625" w:rsidRDefault="00916D50" w:rsidP="009D0C45">
      <w:pPr>
        <w:pStyle w:val="FootnoteText"/>
        <w:jc w:val="both"/>
        <w:rPr>
          <w:rFonts w:asciiTheme="majorBidi" w:hAnsiTheme="majorBidi"/>
          <w:b/>
          <w:bCs/>
        </w:rPr>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2985-4334","author":[{"dropping-particle":"","family":"Zuliawati","given":"Mei","non-dropping-particle":"","parse-names":false,"suffix":""},{"dropping-particle":"","family":"Jatiningsih","given":"Oksiana","non-dropping-particle":"","parse-names":false,"suffix":""}],"container-title":"Kajian Moral dan Kewarganegaraan","id":"ITEM-1","issue":"1","issued":{"date-parts":[["2023"]]},"page":"114-129","title":"Persepsi Suami Dan Istri Terkait Beban Ganda Istri Dalam Keluarga Buruh Tambak Di Desa Pangkah Wetan Kecamatan Ujungpangkah Kabupaten Gresik","type":"article-journal","volume":"11"},"uris":["http://www.mendeley.com/documents/?uuid=dbfe4258-8bb5-453f-95e2-9a2ed8eec003"]}],"mendeley":{"formattedCitation":"Mei Zuliawati and Oksiana Jatiningsih, “Persepsi Suami Dan Istri Terkait Beban Ganda Istri Dalam Keluarga Buruh Tambak Di Desa Pangkah Wetan Kecamatan Ujungpangkah Kabupaten Gresik,” &lt;i&gt;Kajian Moral Dan Kewarganegaraan&lt;/i&gt; 11, no. 1 (2023): 114–29.","plainTextFormattedCitation":"Mei Zuliawati and Oksiana Jatiningsih, “Persepsi Suami Dan Istri Terkait Beban Ganda Istri Dalam Keluarga Buruh Tambak Di Desa Pangkah Wetan Kecamatan Ujungpangkah Kabupaten Gresik,” Kajian Moral Dan Kewarganegaraan 11, no. 1 (2023): 114–29.","previouslyFormattedCitation":"Mei Zuliawati and Oksiana Jatiningsih, “Persepsi Suami Dan Istri Terkait Beban Ganda Istri Dalam Keluarga Buruh Tambak Di Desa Pangkah Wetan Kecamatan Ujungpangkah Kabupaten Gresik,” &lt;i&gt;Kajian Moral Dan Kewarganegaraan&lt;/i&gt; 11, no. 1 (2023): 114–29."},"properties":{"noteIndex":15},"schema":"https://github.com/citation-style-language/schema/raw/master/csl-citation.json"}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Mei Zuliawati and Oksiana Jatiningsih, “Persepsi Suami Dan Istri Terkait Beban Ganda Istri Dalam Keluarga Buruh Tambak Di Desa Pangkah Wetan Kecamatan Ujungpangkah Kabupaten Gresik,” </w:t>
      </w:r>
      <w:r w:rsidRPr="00F22625">
        <w:rPr>
          <w:rFonts w:asciiTheme="majorBidi" w:hAnsiTheme="majorBidi" w:cstheme="majorBidi"/>
          <w:i/>
          <w:noProof/>
        </w:rPr>
        <w:t>Kajian Moral Dan Kewarganegaraan</w:t>
      </w:r>
      <w:r w:rsidRPr="00F22625">
        <w:rPr>
          <w:rFonts w:asciiTheme="majorBidi" w:hAnsiTheme="majorBidi" w:cstheme="majorBidi"/>
          <w:noProof/>
        </w:rPr>
        <w:t xml:space="preserve"> 11, no. 1 (2023): 114–29.</w:t>
      </w:r>
      <w:r w:rsidRPr="00F22625">
        <w:rPr>
          <w:rFonts w:asciiTheme="majorBidi" w:hAnsiTheme="majorBidi" w:cstheme="majorBidi"/>
        </w:rPr>
        <w:fldChar w:fldCharType="end"/>
      </w:r>
      <w:r w:rsidR="009D0C45" w:rsidRPr="00F22625">
        <w:rPr>
          <w:rFonts w:ascii="Noto Sans" w:eastAsia="Times New Roman" w:hAnsi="Noto Sans" w:cs="Noto Sans"/>
          <w:b/>
          <w:bCs/>
          <w:kern w:val="0"/>
          <w:sz w:val="36"/>
          <w:szCs w:val="36"/>
          <w14:ligatures w14:val="none"/>
        </w:rPr>
        <w:t xml:space="preserve"> </w:t>
      </w:r>
      <w:hyperlink r:id="rId12" w:history="1">
        <w:r w:rsidR="009D0C45" w:rsidRPr="00F22625">
          <w:rPr>
            <w:rStyle w:val="Hyperlink"/>
            <w:rFonts w:asciiTheme="majorBidi" w:hAnsiTheme="majorBidi" w:cstheme="majorBidi"/>
            <w:color w:val="auto"/>
          </w:rPr>
          <w:t>https://doi.org/10.26740/kmkn.v11n1.p114-129</w:t>
        </w:r>
      </w:hyperlink>
    </w:p>
  </w:footnote>
  <w:footnote w:id="16">
    <w:p w14:paraId="0946E722" w14:textId="77777777" w:rsidR="00546849" w:rsidRPr="00F22625" w:rsidRDefault="00546849" w:rsidP="009D0C45">
      <w:pPr>
        <w:pStyle w:val="FootnoteText"/>
        <w:jc w:val="both"/>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{"citationItems":[{"id":"ITEM-1","itemData":{"ISSN":"2443-2067","author":[{"dropping-particle":"","family":"Muassomah","given":"Muassomah","non-dropping-particle":"","parse-names":false,"suffix":""},{"dropping-particle":"","family":"Yaacob","given":"Salmy Edawati","non-dropping-particle":"","parse-names":false,"suffix":""},{"dropping-particle":"","family":"Khairiah","given":"Khairiah","non-dropping-particle":"","parse-names":false,"suffix":""},{"dropping-particle":"","family":"Yurisa","given":"Penny Respati","non-dropping-particle":"","parse-names":false,"suffix":""},{"dropping-particle":"","family":"Demina","given":"Demina","non-dropping-particle":"","parse-names":false,"suffix":""}],"container-title":"Jurnal Ilmiah Peuradeun","id":"ITEM-1","issue":"3","issued":{"date-parts":[["2025"]]},"page":"1615-1642","publisher":"SCAD Independent","title":"Participatory-based character education: Indonesian school children’s experiences","type":"article-journal","volume":"13"},"uris":["http://www.mendeley.com/documents/?uuid=aea17401-6233-49f1-a277-a34da9a6b88f"]}],"mendeley":{"formattedCitation":"Muassomah Muassomah et al., “Participatory-Based Character Education: Indonesian School Children’s Experiences,” &lt;i&gt;Jurnal Ilmiah Peuradeun&lt;/i&gt; 13, no. 3 (2025): 1615–42.","plainTextFormattedCitation":"Muassomah Muassomah et al., “Participatory-Based Character Education: Indonesian School Children’s Experiences,” Jurnal Ilmiah Peuradeun 13, no. 3 (2025): 1615–42.","previouslyFormattedCitation":"Muassomah Muassomah et al., “Participatory-Based Character Education: Indonesian School Children’s Experiences,” &lt;i&gt;Jurnal Ilmiah Peuradeun&lt;/i&gt; 13, no. 3 (2025): 1615–42."},"properties":{"noteIndex":16},"schema":"https://github.com/citation-style-language/schema/raw/master/csl-citation.json"}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Muassomah Muassomah et al., “Participatory-Based Character Education: Indonesian School Children’s Experiences,” </w:t>
      </w:r>
      <w:r w:rsidRPr="00F22625">
        <w:rPr>
          <w:rFonts w:asciiTheme="majorBidi" w:hAnsiTheme="majorBidi" w:cstheme="majorBidi"/>
          <w:i/>
          <w:noProof/>
        </w:rPr>
        <w:t>Jurnal Ilmiah Peuradeun</w:t>
      </w:r>
      <w:r w:rsidRPr="00F22625">
        <w:rPr>
          <w:rFonts w:asciiTheme="majorBidi" w:hAnsiTheme="majorBidi" w:cstheme="majorBidi"/>
          <w:noProof/>
        </w:rPr>
        <w:t xml:space="preserve"> 13, no. 3 (2025): 1615–42.</w:t>
      </w:r>
      <w:r w:rsidRPr="00F22625">
        <w:rPr>
          <w:rFonts w:asciiTheme="majorBidi" w:hAnsiTheme="majorBidi" w:cstheme="majorBidi"/>
        </w:rPr>
        <w:fldChar w:fldCharType="end"/>
      </w:r>
    </w:p>
  </w:footnote>
  <w:footnote w:id="17">
    <w:p w14:paraId="001DC84A" w14:textId="77777777" w:rsidR="00546849" w:rsidRPr="00F22625" w:rsidRDefault="00546849" w:rsidP="003F428E">
      <w:pPr>
        <w:pStyle w:val="FootnoteText"/>
        <w:jc w:val="both"/>
        <w:rPr>
          <w:rFonts w:asciiTheme="majorBidi" w:hAnsiTheme="majorBidi" w:cstheme="majorBidi"/>
        </w:rPr>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{"citationItems":[{"id":"ITEM-1","itemData":{"ISSN":"2502-3616","author":[{"dropping-particle":"","family":"Hasibuan","given":"Armyn","non-dropping-particle":"","parse-names":false,"suffix":""},{"dropping-particle":"","family":"Mumtaz","given":"Nadhif Muhammad","non-dropping-particle":"","parse-names":false,"suffix":""},{"dropping-particle":"","family":"Anwar","given":"Khairul","non-dropping-particle":"","parse-names":false,"suffix":""},{"dropping-particle":"","family":"Haq","given":"Moh Mansur Abdul","non-dropping-particle":"","parse-names":false,"suffix":""},{"dropping-particle":"","family":"Nurjaman","given":"Andri","non-dropping-particle":"","parse-names":false,"suffix":""}],"container-title":"MIQOT: Jurnal Ilmu-ilmu Keislaman","id":"ITEM-1","issue":"1","issued":{"date-parts":[["2025"]]},"page":"184-204","title":"SUFISTIC APPROACH OF CHARACTER EDUCATION IN AN INDONESIAN ISLAMIC BOARDING SCHOOL","type":"article-journal","volume":"49"},"uris":["http://www.mendeley.com/documents/?uuid=efc53909-fcd1-48c2-ab51-7de2710e5675"]}],"mendeley":{"formattedCitation":"Armyn Hasibuan et al., “SUFISTIC APPROACH OF CHARACTER EDUCATION IN AN INDONESIAN ISLAMIC BOARDING SCHOOL,” &lt;i&gt;MIQOT: Jurnal Ilmu-Ilmu Keislaman&lt;/i&gt; 49, no. 1 (2025): 184–204.","plainTextFormattedCitation":"Armyn Hasibuan et al., “SUFISTIC APPROACH OF CHARACTER EDUCATION IN AN INDONESIAN ISLAMIC BOARDING SCHOOL,” MIQOT: Jurnal Ilmu-Ilmu Keislaman 49, no. 1 (2025): 184–204.","previouslyFormattedCitation":"Armyn Hasibuan et al., “SUFISTIC APPROACH OF CHARACTER EDUCATION IN AN INDONESIAN ISLAMIC BOARDING SCHOOL,” &lt;i&gt;MIQOT: Jurnal Ilmu-Ilmu Keislaman&lt;/i&gt; 49, no. 1 (2025): 184–204."},"properties":{"noteIndex":17},"schema":"https://github.com/citation-style-language/schema/raw/master/csl-citation.json"}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Armyn Hasibuan et al., “Sufistic Approach Of Character Education In An Indonesian Islamic Boarding School,” </w:t>
      </w:r>
      <w:r w:rsidRPr="00F22625">
        <w:rPr>
          <w:rFonts w:asciiTheme="majorBidi" w:hAnsiTheme="majorBidi" w:cstheme="majorBidi"/>
          <w:i/>
          <w:noProof/>
        </w:rPr>
        <w:t>MIQOT: Jurnal Ilmu-Ilmu Keislaman</w:t>
      </w:r>
      <w:r w:rsidRPr="00F22625">
        <w:rPr>
          <w:rFonts w:asciiTheme="majorBidi" w:hAnsiTheme="majorBidi" w:cstheme="majorBidi"/>
          <w:noProof/>
        </w:rPr>
        <w:t xml:space="preserve"> 49, no. 1 (2025): 184–204.</w:t>
      </w:r>
      <w:r w:rsidRPr="00F22625">
        <w:rPr>
          <w:rFonts w:asciiTheme="majorBidi" w:hAnsiTheme="majorBidi" w:cstheme="majorBidi"/>
        </w:rPr>
        <w:fldChar w:fldCharType="end"/>
      </w:r>
      <w:r w:rsidRPr="00F22625">
        <w:rPr>
          <w:sz w:val="24"/>
          <w:szCs w:val="24"/>
        </w:rPr>
        <w:t xml:space="preserve"> </w:t>
      </w:r>
      <w:hyperlink r:id="rId13" w:history="1">
        <w:r w:rsidRPr="00F22625">
          <w:rPr>
            <w:rStyle w:val="Hyperlink"/>
            <w:rFonts w:asciiTheme="majorBidi" w:hAnsiTheme="majorBidi" w:cstheme="majorBidi"/>
            <w:color w:val="auto"/>
          </w:rPr>
          <w:t>http://dx.doi.org/10.30821/miqot.v49i1.1332</w:t>
        </w:r>
      </w:hyperlink>
    </w:p>
  </w:footnote>
  <w:footnote w:id="18">
    <w:p w14:paraId="1199768F" w14:textId="77777777" w:rsidR="00546849" w:rsidRPr="00F22625" w:rsidRDefault="00546849" w:rsidP="003F428E">
      <w:pPr>
        <w:pStyle w:val="FootnoteText"/>
        <w:jc w:val="both"/>
        <w:rPr>
          <w:rFonts w:asciiTheme="majorBidi" w:hAnsiTheme="majorBidi" w:cstheme="majorBidi"/>
        </w:rPr>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2599-3046","author":[{"dropping-particle":"","family":"Sumiati","given":"Endang","non-dropping-particle":"","parse-names":false,"suffix":""},{"dropping-particle":"","family":"Tekke","given":"Mustafa","non-dropping-particle":"","parse-names":false,"suffix":""}],"container-title":"Al-Hayat: Journal of Islamic Education","id":"ITEM-1","issue":"4","issued":{"date-parts":[["2024"]]},"page":"1399-1417","title":"Transformation of Islamic Higher Education: Policy Strategy, Challenges, and Opportunities","type":"article-journal","volume":"8"},"uris":["http://www.mendeley.com/documents/?uuid=6e271acc-18fe-4a3b-b245-3f3c3ab6d47c"]}],"mendeley":{"formattedCitation":"Endang Sumiati and Mustafa Tekke, “Transformation of Islamic Higher Education: Policy Strategy, Challenges, and Opportunities,” &lt;i&gt;Al-Hayat: Journal of Islamic Education&lt;/i&gt; 8, no. 4 (2024): 1399–1417.","plainTextFormattedCitation":"Endang Sumiati and Mustafa Tekke, “Transformation of Islamic Higher Education: Policy Strategy, Challenges, and Opportunities,” Al-Hayat: Journal of Islamic Education 8, no. 4 (2024): 1399–1417.","previouslyFormattedCitation":"Endang Sumiati and Mustafa Tekke, “Transformation of Islamic Higher Education: Policy Strategy, Challenges, and Opportunities,” &lt;i&gt;Al-Hayat: Journal of Islamic Education&lt;/i&gt; 8, no. 4 (2024): 1399–1417."},"properties":{"noteIndex":18},"schema":"https://github.com/citation-style-language/schema/raw/master/csl-citation.json"}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Endang Sumiati and Mustafa Tekke, “Transformation of Islamic Higher Education: Policy Strategy, Challenges, and Opportunities,” </w:t>
      </w:r>
      <w:r w:rsidRPr="00F22625">
        <w:rPr>
          <w:rFonts w:asciiTheme="majorBidi" w:hAnsiTheme="majorBidi" w:cstheme="majorBidi"/>
          <w:i/>
          <w:noProof/>
        </w:rPr>
        <w:t>Al-Hayat: Journal of Islamic Education</w:t>
      </w:r>
      <w:r w:rsidRPr="00F22625">
        <w:rPr>
          <w:rFonts w:asciiTheme="majorBidi" w:hAnsiTheme="majorBidi" w:cstheme="majorBidi"/>
          <w:noProof/>
        </w:rPr>
        <w:t xml:space="preserve"> 8, no. 4 (2024): 1399–1417.</w:t>
      </w:r>
      <w:r w:rsidRPr="00F22625">
        <w:rPr>
          <w:rFonts w:asciiTheme="majorBidi" w:hAnsiTheme="majorBidi" w:cstheme="majorBidi"/>
        </w:rPr>
        <w:fldChar w:fldCharType="end"/>
      </w:r>
      <w:r w:rsidRPr="00F22625">
        <w:rPr>
          <w:sz w:val="24"/>
          <w:szCs w:val="24"/>
        </w:rPr>
        <w:t xml:space="preserve"> </w:t>
      </w:r>
      <w:hyperlink r:id="rId14" w:history="1">
        <w:r w:rsidRPr="00F22625">
          <w:rPr>
            <w:rStyle w:val="Hyperlink"/>
            <w:rFonts w:asciiTheme="majorBidi" w:hAnsiTheme="majorBidi" w:cstheme="majorBidi"/>
            <w:color w:val="auto"/>
          </w:rPr>
          <w:t>https://doi.org/10.35723/ajie.v8i4.46</w:t>
        </w:r>
      </w:hyperlink>
    </w:p>
  </w:footnote>
  <w:footnote w:id="19">
    <w:p w14:paraId="5F577C05" w14:textId="77777777" w:rsidR="00546849" w:rsidRPr="00F22625" w:rsidRDefault="00546849" w:rsidP="00451389">
      <w:pPr>
        <w:pStyle w:val="FootnoteText"/>
        <w:jc w:val="both"/>
        <w:rPr>
          <w:rFonts w:asciiTheme="majorBidi" w:hAnsiTheme="majorBidi" w:cstheme="majorBidi"/>
        </w:rPr>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{"citationItems":[{"id":"ITEM-1","itemData":{"ISSN":"3032-1069","author":[{"dropping-particle":"","family":"Qurrata'Ayun","given":"Najwa","non-dropping-particle":"","parse-names":false,"suffix":""},{"dropping-particle":"","family":"eka Pratiwi","given":"Siti","non-dropping-particle":"","parse-names":false,"suffix":""},{"dropping-particle":"","family":"Sari","given":"Dini Asyifa","non-dropping-particle":"","parse-names":false,"suffix":""},{"dropping-particle":"","family":"Noormala","given":"Siti","non-dropping-particle":"","parse-names":false,"suffix":""}],"container-title":"Interdisciplinary Explorations in Research Journal","id":"ITEM-1","issue":"2","issued":{"date-parts":[["2024"]]},"page":"677-694","title":"Menggugat Kekuatan Patriarki: Hak-hak perempuan dalam transformasi menuju kesetaraan gender","type":"article-journal","volume":"2"},"uris":["http://www.mendeley.com/documents/?uuid=93516de4-5df9-45d6-b8cf-5f25628a7c86"]}],"mendeley":{"formattedCitation":"Najwa Qurrata’Ayun et al., “Menggugat Kekuatan Patriarki: Hak-Hak Perempuan Dalam Transformasi Menuju Kesetaraan Gender,” &lt;i&gt;Interdisciplinary Explorations in Research Journal&lt;/i&gt; 2, no. 2 (2024): 677–94.","plainTextFormattedCitation":"Najwa Qurrata’Ayun et al., “Menggugat Kekuatan Patriarki: Hak-Hak Perempuan Dalam Transformasi Menuju Kesetaraan Gender,” Interdisciplinary Explorations in Research Journal 2, no. 2 (2024): 677–94.","previouslyFormattedCitation":"Najwa Qurrata’Ayun et al., “Menggugat Kekuatan Patriarki: Hak-Hak Perempuan Dalam Transformasi Menuju Kesetaraan Gender,” &lt;i&gt;Interdisciplinary Explorations in Research Journal&lt;/i&gt; 2, no. 2 (2024): 677–94."},"properties":{"noteIndex":22},"schema":"https://github.com/citation-style-language/schema/raw/master/csl-citation.json"}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Najwa Qurrata'Ayun et al., "Challenging the Power of Patriarchy: Women's Rights in the Transformation Towards Gender Equality," </w:t>
      </w:r>
      <w:r w:rsidRPr="00F22625">
        <w:rPr>
          <w:rFonts w:asciiTheme="majorBidi" w:hAnsiTheme="majorBidi" w:cstheme="majorBidi"/>
          <w:i/>
          <w:noProof/>
        </w:rPr>
        <w:t>Interdisciplinary Explorations in Research Journal</w:t>
      </w:r>
      <w:r w:rsidRPr="00F22625">
        <w:rPr>
          <w:rFonts w:asciiTheme="majorBidi" w:hAnsiTheme="majorBidi" w:cstheme="majorBidi"/>
          <w:noProof/>
        </w:rPr>
        <w:t xml:space="preserve"> 2, no. 2 (2024): 677–94.</w:t>
      </w:r>
      <w:r w:rsidRPr="00F22625">
        <w:rPr>
          <w:rFonts w:asciiTheme="majorBidi" w:hAnsiTheme="majorBidi" w:cstheme="majorBidi"/>
        </w:rPr>
        <w:fldChar w:fldCharType="end"/>
      </w:r>
      <w:r w:rsidRPr="00F22625">
        <w:rPr>
          <w:sz w:val="24"/>
          <w:szCs w:val="24"/>
        </w:rPr>
        <w:t xml:space="preserve"> </w:t>
      </w:r>
      <w:hyperlink r:id="rId15" w:history="1">
        <w:r w:rsidRPr="00F22625">
          <w:rPr>
            <w:rStyle w:val="Hyperlink"/>
            <w:rFonts w:asciiTheme="majorBidi" w:hAnsiTheme="majorBidi" w:cstheme="majorBidi"/>
            <w:color w:val="auto"/>
          </w:rPr>
          <w:t>https://doi.org/10.62976/ierj.v2i2.528</w:t>
        </w:r>
      </w:hyperlink>
    </w:p>
  </w:footnote>
  <w:footnote w:id="20">
    <w:p w14:paraId="29B1358E" w14:textId="77777777" w:rsidR="00546849" w:rsidRPr="00F22625" w:rsidRDefault="00546849" w:rsidP="00451389">
      <w:pPr>
        <w:pStyle w:val="FootnoteText"/>
        <w:jc w:val="both"/>
        <w:rPr>
          <w:rFonts w:asciiTheme="majorBidi" w:hAnsiTheme="majorBidi" w:cstheme="majorBidi"/>
        </w:rPr>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2828-8483","author":[{"dropping-particle":"","family":"Sridepi","given":"Sridepi","non-dropping-particle":"","parse-names":false,"suffix":""},{"dropping-particle":"","family":"Azzaki","given":"Adnan","non-dropping-particle":"","parse-names":false,"suffix":""},{"dropping-particle":"","family":"Rajab","given":"Khairunnas","non-dropping-particle":"","parse-names":false,"suffix":""},{"dropping-particle":"","family":"Jamal","given":"Khairunnas","non-dropping-particle":"","parse-names":false,"suffix":""},{"dropping-particle":"","family":"Jera","given":"Almi","non-dropping-particle":"","parse-names":false,"suffix":""}],"container-title":"JURNAL RISET RUMPUN ILMU PENDIDIKAN","id":"ITEM-1","issue":"2","issued":{"date-parts":[["2025"]]},"page":"756-765","title":"Analisis Kedudukan Perempuan dalam Hukum Keluarga Islam Perspektif Tafsir Surat An-Nisa Ayat 34 dan Teori Feminisme","type":"article-journal","volume":"4"},"uris":["http://www.mendeley.com/documents/?uuid=9559eb68-d28e-4f52-894f-96c3f3e353c2"]}],"mendeley":{"formattedCitation":"Sridepi Sridepi et al., “Analisis Kedudukan Perempuan Dalam Hukum Keluarga Islam Perspektif Tafsir Surat An-Nisa Ayat 34 Dan Teori Feminisme,” &lt;i&gt;JURNAL RISET RUMPUN ILMU PENDIDIKAN&lt;/i&gt; 4, no. 2 (2025): 756–65.","plainTextFormattedCitation":"Sridepi Sridepi et al., “Analisis Kedudukan Perempuan Dalam Hukum Keluarga Islam Perspektif Tafsir Surat An-Nisa Ayat 34 Dan Teori Feminisme,” JURNAL RISET RUMPUN ILMU PENDIDIKAN 4, no. 2 (2025): 756–65.","previouslyFormattedCitation":"Sridepi Sridepi et al., “Analisis Kedudukan Perempuan Dalam Hukum Keluarga Islam Perspektif Tafsir Surat An-Nisa Ayat 34 Dan Teori Feminisme,” &lt;i&gt;JURNAL RISET RUMPUN ILMU PENDIDIKAN&lt;/i&gt; 4, no. 2 (2025): 756–65."},"properties":{"noteIndex":23},"schema":"https://github.com/citation-style-language/schema/raw/master/csl-citation.json"}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 xml:space="preserve">Sridepi Sridepi et al., "Analysis of the Position of Women in Islamic Family Law Perspective of the Interpretation of Surah An-Nisa Verse 34 and the Theory of Feminism," </w:t>
      </w:r>
      <w:r w:rsidRPr="00F22625">
        <w:rPr>
          <w:rFonts w:asciiTheme="majorBidi" w:hAnsiTheme="majorBidi" w:cstheme="majorBidi"/>
          <w:i/>
          <w:noProof/>
        </w:rPr>
        <w:t xml:space="preserve">Journal of Research Cluster of Education </w:t>
      </w:r>
      <w:r w:rsidRPr="00F22625">
        <w:rPr>
          <w:rFonts w:asciiTheme="majorBidi" w:hAnsiTheme="majorBidi" w:cstheme="majorBidi"/>
          <w:noProof/>
        </w:rPr>
        <w:t xml:space="preserve"> 4, no. 2 (2025): 756–65.</w:t>
      </w:r>
      <w:r w:rsidRPr="00F22625">
        <w:rPr>
          <w:rFonts w:asciiTheme="majorBidi" w:hAnsiTheme="majorBidi" w:cstheme="majorBidi"/>
        </w:rPr>
        <w:fldChar w:fldCharType="end"/>
      </w:r>
      <w:r w:rsidRPr="00F22625">
        <w:rPr>
          <w:sz w:val="24"/>
          <w:szCs w:val="24"/>
        </w:rPr>
        <w:t xml:space="preserve"> </w:t>
      </w:r>
      <w:hyperlink r:id="rId16" w:history="1">
        <w:r w:rsidRPr="00F22625">
          <w:rPr>
            <w:rStyle w:val="Hyperlink"/>
            <w:rFonts w:asciiTheme="majorBidi" w:hAnsiTheme="majorBidi" w:cstheme="majorBidi"/>
            <w:color w:val="auto"/>
          </w:rPr>
          <w:t>https://doi.org/10.55606/jurripen.v4i2.5909</w:t>
        </w:r>
      </w:hyperlink>
    </w:p>
  </w:footnote>
  <w:footnote w:id="21">
    <w:p w14:paraId="471B02D9" w14:textId="77777777" w:rsidR="00546849" w:rsidRDefault="00546849" w:rsidP="00451389">
      <w:pPr>
        <w:pStyle w:val="FootnoteText"/>
        <w:jc w:val="both"/>
      </w:pPr>
      <w:r w:rsidRPr="00F22625">
        <w:rPr>
          <w:rStyle w:val="FootnoteReference"/>
          <w:rFonts w:asciiTheme="majorBidi" w:hAnsiTheme="majorBidi" w:cstheme="majorBidi"/>
        </w:rPr>
        <w:footnoteRef/>
      </w:r>
      <w:r w:rsidRPr="00F22625">
        <w:rPr>
          <w:rFonts w:asciiTheme="majorBidi" w:hAnsiTheme="majorBidi" w:cstheme="majorBidi"/>
        </w:rPr>
        <w:t xml:space="preserve"> </w:t>
      </w:r>
      <w:r w:rsidRPr="00F22625">
        <w:rPr>
          <w:rFonts w:asciiTheme="majorBidi" w:hAnsiTheme="majorBidi" w:cstheme="majorBidi"/>
        </w:rPr>
        <w:fldChar w:fldCharType="begin" w:fldLock="1"/>
      </w:r>
      <w:r w:rsidRPr="00F22625">
        <w:rPr>
          <w:rFonts w:asciiTheme="majorBidi" w:hAnsiTheme="majorBidi" w:cstheme="majorBidi"/>
        </w:rPr>
        <w:instrText>ADDIN CSL_CITATION {"citationItems":[{"id":"ITEM-1","itemData":{"ISSN":"2548-9887","author":[{"dropping-particle":"","family":"Nursaptini","given":"Nursaptini","non-dropping-particle":"","parse-names":false,"suffix":""},{"dropping-particle":"","family":"Sobri","given":"Muhammad","non-dropping-particle":"","parse-names":false,"suffix":""},{"dropping-particle":"","family":"Sutisna","given":"Deni","non-dropping-particle":"","parse-names":false,"suffix":""},{"dropping-particle":"","family":"Syazali","given":"Muhammad","non-dropping-particle":"","parse-names":false,"suffix":""},{"dropping-particle":"","family":"Widodo","given":"Arif","non-dropping-particle":"","parse-names":false,"suffix":""}],"id":"ITEM-1","issued":{"date-parts":[["2019"]]},"title":"Budaya patriarki dan akses perempuan dalam pendidikan","type":"article-journal"},"uris":["http://www.mendeley.com/documents/?uuid=fdd2c809-8348-470d-a554-125c16de79eb"]}],"mendeley":{"formattedCitation":"Nursaptini Nursaptini et al., “Budaya Patriarki Dan Akses Perempuan Dalam Pendidikan,” 2019.","plainTextFormattedCitation":"Nursaptini Nursaptini et al., “Budaya Patriarki Dan Akses Perempuan Dalam Pendidikan,” 2019.","previouslyFormattedCitation":"Nursaptini Nursaptini et al., “Budaya Patriarki Dan Akses Perempuan Dalam Pendidikan,” 2019."},"properties":{"noteIndex":24},"schema":"https://github.com/citation-style-language/schema/raw/master/csl-citation.json"}</w:instrText>
      </w:r>
      <w:r w:rsidRPr="00F22625">
        <w:rPr>
          <w:rFonts w:asciiTheme="majorBidi" w:hAnsiTheme="majorBidi" w:cstheme="majorBidi"/>
        </w:rPr>
        <w:fldChar w:fldCharType="separate"/>
      </w:r>
      <w:r w:rsidRPr="00F22625">
        <w:rPr>
          <w:rFonts w:asciiTheme="majorBidi" w:hAnsiTheme="majorBidi" w:cstheme="majorBidi"/>
          <w:noProof/>
        </w:rPr>
        <w:t>Nursaptini Nursaptini et al., "Patriarchal Culture and Women's Access in Education," 2019.</w:t>
      </w:r>
      <w:r w:rsidRPr="00F22625">
        <w:rPr>
          <w:rFonts w:asciiTheme="majorBidi" w:hAnsiTheme="majorBidi" w:cstheme="majorBidi"/>
        </w:rPr>
        <w:fldChar w:fldCharType="end"/>
      </w:r>
    </w:p>
  </w:footnote>
  <w:footnote w:id="22">
    <w:p w14:paraId="65CD7302" w14:textId="77777777" w:rsidR="00546849" w:rsidRPr="00451389" w:rsidRDefault="00546849" w:rsidP="00451389">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{"citationItems":[{"id":"ITEM-1","itemData":{"ISSN":"0928-9380","author":[{"dropping-particle":"","family":"March","given":"Andrew","non-dropping-particle":"","parse-names":false,"suffix":""}],"container-title":"Islamic Law and Society","id":"ITEM-1","issue":"1","issued":{"date-parts":[["2009"]]},"page":"34-94","publisher":"Brill","title":"Sources of Moral Obligation to non-Muslims in the\" Jurisprudence of Muslim Minorities\"(Fiqh al-aqalliyyāt) Discourse","type":"article-journal","volume":"16"},"uris":["http://www.mendeley.com/documents/?uuid=9d2c0cbf-fc22-4ee4-8524-539db7a8e949"]}],"mendeley":{"formattedCitation":"Andrew March, “Sources of Moral Obligation to Non-Muslims in the\" Jurisprudence of Muslim Minorities\"(Fiqh Al-Aqalliyyāt) Discourse,” &lt;i&gt;Islamic Law and Society&lt;/i&gt; 16, no. 1 (2009): 34–94.","plainTextFormattedCitation":"Andrew March, “Sources of Moral Obligation to Non-Muslims in the\" Jurisprudence of Muslim Minorities\"(Fiqh Al-Aqalliyyāt) Discourse,” Islamic Law and Society 16, no. 1 (2009): 34–94.","previouslyFormattedCitation":"Andrew March, “Sources of Moral Obligation to Non-Muslims in the\" Jurisprudence of Muslim Minorities\"(Fiqh Al-Aqalliyyāt) Discourse,” &lt;i&gt;Islamic Law and Society&lt;/i&gt; 16, no. 1 (2009): 34–94."},"properties":{"noteIndex":25},"schema":"https://github.com/citation-style-language/schema/raw/master/csl-citation.json"}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Andrew March, “Sources of Moral Obligation to Non-Muslims in the" Jurisprudence of Muslim Minorities"(Fiqh Al-Aqalliyyāt) Discourse,” </w:t>
      </w:r>
      <w:r w:rsidRPr="00451389">
        <w:rPr>
          <w:rFonts w:asciiTheme="majorBidi" w:hAnsiTheme="majorBidi" w:cstheme="majorBidi"/>
          <w:i/>
          <w:noProof/>
        </w:rPr>
        <w:t>Islamic Law and Society</w:t>
      </w:r>
      <w:r w:rsidRPr="00451389">
        <w:rPr>
          <w:rFonts w:asciiTheme="majorBidi" w:hAnsiTheme="majorBidi" w:cstheme="majorBidi"/>
          <w:noProof/>
        </w:rPr>
        <w:t xml:space="preserve"> 16, no. 1 (2009): 34–94.</w:t>
      </w:r>
      <w:r w:rsidRPr="00451389">
        <w:rPr>
          <w:rFonts w:asciiTheme="majorBidi" w:hAnsiTheme="majorBidi" w:cstheme="majorBidi"/>
        </w:rPr>
        <w:fldChar w:fldCharType="end"/>
      </w:r>
    </w:p>
  </w:footnote>
  <w:footnote w:id="23">
    <w:p w14:paraId="15C1F00B" w14:textId="77777777" w:rsidR="00546849" w:rsidRPr="00451389" w:rsidRDefault="00546849" w:rsidP="00451389">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2502-3209","author":[{"dropping-particle":"","family":"Muntaqo","given":"Firman","non-dropping-particle":"","parse-names":false,"suffix":""},{"dropping-particle":"","family":"Mashudi","given":"Mashudi","non-dropping-particle":"","parse-names":false,"suffix":""},{"dropping-particle":"","family":"Pratama","given":"Alip Dian","non-dropping-particle":"","parse-names":false,"suffix":""},{"dropping-particle":"","family":"Ilmi","given":"Abdullah Rosikh Fil","non-dropping-particle":"","parse-names":false,"suffix":""},{"dropping-particle":"","family":"Rumesten","given":"Iza","non-dropping-particle":"","parse-names":false,"suffix":""}],"container-title":"Al-Ahkam","id":"ITEM-1","issue":"2","issued":{"date-parts":[["2025"]]},"page":"287-312","title":"The Transformation of Land Law in Indonesia: From Commodification to Maqāṣid and Social Justice","type":"article-journal","volume":"35"},"uris":["http://www.mendeley.com/documents/?uuid=ce70fc70-e6a9-429a-a932-a603ef9d501e"]}],"mendeley":{"formattedCitation":"Firman Muntaqo et al., “The Transformation of Land Law in Indonesia: From Commodification to Maqāṣid and Social Justice,” &lt;i&gt;Al-Ahkam&lt;/i&gt; 35, no. 2 (2025): 287–312.","plainTextFormattedCitation":"Firman Muntaqo et al., “The Transformation of Land Law in Indonesia: From Commodification to Maqāṣid and Social Justice,” Al-Ahkam 35, no. 2 (2025): 287–312.","previouslyFormattedCitation":"Firman Muntaqo et al., “The Transformation of Land Law in Indonesia: From Commodification to Maqāṣid and Social Justice,” &lt;i&gt;Al-Ahkam&lt;/i&gt; 35, no. 2 (2025): 287–312."},"properties":{"noteIndex":26},"schema":"https://github.com/citation-style-language/schema/raw/master/csl-citation.json"}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Firman Muntaqo et al., “The Transformation of Land Law in Indonesia: From Commodification to Maqāṣid and Social Justice,” </w:t>
      </w:r>
      <w:r w:rsidRPr="00451389">
        <w:rPr>
          <w:rFonts w:asciiTheme="majorBidi" w:hAnsiTheme="majorBidi" w:cstheme="majorBidi"/>
          <w:i/>
          <w:noProof/>
        </w:rPr>
        <w:t>Al-Ahkam</w:t>
      </w:r>
      <w:r w:rsidRPr="00451389">
        <w:rPr>
          <w:rFonts w:asciiTheme="majorBidi" w:hAnsiTheme="majorBidi" w:cstheme="majorBidi"/>
          <w:noProof/>
        </w:rPr>
        <w:t xml:space="preserve"> 35, no. 2 (2025): 287–312.</w:t>
      </w:r>
      <w:r w:rsidRPr="00451389">
        <w:rPr>
          <w:rFonts w:asciiTheme="majorBidi" w:hAnsiTheme="majorBidi" w:cstheme="majorBidi"/>
        </w:rPr>
        <w:fldChar w:fldCharType="end"/>
      </w:r>
      <w:r w:rsidRPr="00451389">
        <w:rPr>
          <w:sz w:val="24"/>
          <w:szCs w:val="24"/>
        </w:rPr>
        <w:t xml:space="preserve"> </w:t>
      </w:r>
      <w:hyperlink r:id="rId17" w:history="1">
        <w:r w:rsidRPr="00451389">
          <w:rPr>
            <w:rStyle w:val="Hyperlink"/>
            <w:rFonts w:asciiTheme="majorBidi" w:hAnsiTheme="majorBidi" w:cstheme="majorBidi"/>
          </w:rPr>
          <w:t>https://doi.org/10.21580/ahkam.2025.35.2.25605</w:t>
        </w:r>
      </w:hyperlink>
    </w:p>
  </w:footnote>
  <w:footnote w:id="24">
    <w:p w14:paraId="4C228114" w14:textId="77777777" w:rsidR="00546849" w:rsidRPr="00451389" w:rsidRDefault="00546849" w:rsidP="00451389">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{"citationItems":[{"id":"ITEM-1","itemData":{"ISSN":"2502-3209","author":[{"dropping-particle":"","family":"Muzainah","given":"Gusti","non-dropping-particle":"","parse-names":false,"suffix":""},{"dropping-particle":"","family":"Mansyuroh","given":"Firqah Annajiyah","non-dropping-particle":"","parse-names":false,"suffix":""},{"dropping-particle":"","family":"Rusdiyah","given":"Rusdiyah","non-dropping-particle":"","parse-names":false,"suffix":""},{"dropping-particle":"","family":"Azhar","given":"Alias","non-dropping-particle":"","parse-names":false,"suffix":""}],"container-title":"Al-Ahkam","id":"ITEM-1","issue":"2","issued":{"date-parts":[["2025"]]},"page":"371-400","title":"Female Circumcision in Banjar Culture: Navigating Customary Law, Islamic Law, Human Rights","type":"article-journal","volume":"35"},"uris":["http://www.mendeley.com/documents/?uuid=84a17962-0f87-4d44-840f-771405ddf684"]}],"mendeley":{"formattedCitation":"Gusti Muzainah et al., “Female Circumcision in Banjar Culture: Navigating Customary Law, Islamic Law, Human Rights,” &lt;i&gt;Al-Ahkam&lt;/i&gt; 35, no. 2 (2025): 371–400.","plainTextFormattedCitation":"Gusti Muzainah et al., “Female Circumcision in Banjar Culture: Navigating Customary Law, Islamic Law, Human Rights,” Al-Ahkam 35, no. 2 (2025): 371–400.","previouslyFormattedCitation":"Gusti Muzainah et al., “Female Circumcision in Banjar Culture: Navigating Customary Law, Islamic Law, Human Rights,” &lt;i&gt;Al-Ahkam&lt;/i&gt; 35, no. 2 (2025): 371–400."},"properties":{"noteIndex":27},"schema":"https://github.com/citation-style-language/schema/raw/master/csl-citation.json"}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Gusti Muzainah et al., “Female Circumcision in Banjar Culture: Navigating Customary Law, Islamic Law, Human Rights,” </w:t>
      </w:r>
      <w:r w:rsidRPr="00451389">
        <w:rPr>
          <w:rFonts w:asciiTheme="majorBidi" w:hAnsiTheme="majorBidi" w:cstheme="majorBidi"/>
          <w:i/>
          <w:noProof/>
        </w:rPr>
        <w:t>Al-Ahkam</w:t>
      </w:r>
      <w:r w:rsidRPr="00451389">
        <w:rPr>
          <w:rFonts w:asciiTheme="majorBidi" w:hAnsiTheme="majorBidi" w:cstheme="majorBidi"/>
          <w:noProof/>
        </w:rPr>
        <w:t xml:space="preserve"> 35, no. 2 (2025): 371–400.</w:t>
      </w:r>
      <w:r w:rsidRPr="00451389">
        <w:rPr>
          <w:rFonts w:asciiTheme="majorBidi" w:hAnsiTheme="majorBidi" w:cstheme="majorBidi"/>
        </w:rPr>
        <w:fldChar w:fldCharType="end"/>
      </w:r>
      <w:r w:rsidRPr="00451389">
        <w:rPr>
          <w:sz w:val="24"/>
          <w:szCs w:val="24"/>
        </w:rPr>
        <w:t xml:space="preserve"> </w:t>
      </w:r>
      <w:hyperlink r:id="rId18" w:history="1">
        <w:r w:rsidRPr="00451389">
          <w:rPr>
            <w:rStyle w:val="Hyperlink"/>
            <w:rFonts w:asciiTheme="majorBidi" w:hAnsiTheme="majorBidi" w:cstheme="majorBidi"/>
          </w:rPr>
          <w:t>https://doi.org/10.21580/ahkam.2025.35.2.27814</w:t>
        </w:r>
      </w:hyperlink>
    </w:p>
  </w:footnote>
  <w:footnote w:id="25">
    <w:p w14:paraId="62BEC71D" w14:textId="77777777" w:rsidR="00546849" w:rsidRPr="00451389" w:rsidRDefault="00546849" w:rsidP="00451389">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2654-9042","author":[{"dropping-particle":"","family":"Jalili","given":"Ismail","non-dropping-particle":"","parse-names":false,"suffix":""},{"dropping-particle":"","family":"Syukri","given":"Ilham","non-dropping-particle":"","parse-names":false,"suffix":""}],"container-title":"istinbath","id":"ITEM-1","issue":"1","issued":{"date-parts":[["2025"]]},"page":"51-65","title":"UTILIZING QAWĀ’ID FIQHIYYAH IN LEGAL ANALYSIS: A REVIEW OF THEIR EVOLUTION AND APPLICATION IN INDONESIAN ISLAMIC JURISPRUDENCE","type":"article-journal","volume":"24"},"uris":["http://www.mendeley.com/documents/?uuid=5029063a-6677-4bb0-a9b0-4b4c3676f250"]}],"mendeley":{"formattedCitation":"Ismail Jalili and Ilham Syukri, “UTILIZING QAWĀ’ID FIQHIYYAH IN LEGAL ANALYSIS: A REVIEW OF THEIR EVOLUTION AND APPLICATION IN INDONESIAN ISLAMIC JURISPRUDENCE,” &lt;i&gt;Istinbath&lt;/i&gt; 24, no. 1 (2025): 51–65.","plainTextFormattedCitation":"Ismail Jalili and Ilham Syukri, “UTILIZING QAWĀ’ID FIQHIYYAH IN LEGAL ANALYSIS: A REVIEW OF THEIR EVOLUTION AND APPLICATION IN INDONESIAN ISLAMIC JURISPRUDENCE,” Istinbath 24, no. 1 (2025): 51–65.","previouslyFormattedCitation":"Ismail Jalili and Ilham Syukri, “UTILIZING QAWĀ’ID FIQHIYYAH IN LEGAL ANALYSIS: A REVIEW OF THEIR EVOLUTION AND APPLICATION IN INDONESIAN ISLAMIC JURISPRUDENCE,” &lt;i&gt;Istinbath&lt;/i&gt; 24, no. 1 (2025): 51–65."},"properties":{"noteIndex":28},"schema":"https://github.com/citation-style-language/schema/raw/master/csl-citation.json"}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Ismail Jalili and Ilham Syukri, “Utilizing Qawā’id Fiqhiyyah In Legal Analysis: A Review Of Their Evolution And Application In Indonesian Islamic Jurisprudence,” </w:t>
      </w:r>
      <w:r w:rsidRPr="00451389">
        <w:rPr>
          <w:rFonts w:asciiTheme="majorBidi" w:hAnsiTheme="majorBidi" w:cstheme="majorBidi"/>
          <w:i/>
          <w:noProof/>
        </w:rPr>
        <w:t>Istinbath</w:t>
      </w:r>
      <w:r w:rsidRPr="00451389">
        <w:rPr>
          <w:rFonts w:asciiTheme="majorBidi" w:hAnsiTheme="majorBidi" w:cstheme="majorBidi"/>
          <w:noProof/>
        </w:rPr>
        <w:t xml:space="preserve"> 24, no. 1 (2025): 51–65.</w:t>
      </w:r>
      <w:r w:rsidRPr="00451389">
        <w:rPr>
          <w:rFonts w:asciiTheme="majorBidi" w:hAnsiTheme="majorBidi" w:cstheme="majorBidi"/>
        </w:rPr>
        <w:fldChar w:fldCharType="end"/>
      </w:r>
      <w:r w:rsidRPr="00451389">
        <w:rPr>
          <w:sz w:val="24"/>
          <w:szCs w:val="24"/>
        </w:rPr>
        <w:t xml:space="preserve"> </w:t>
      </w:r>
      <w:hyperlink r:id="rId19" w:history="1">
        <w:r w:rsidRPr="00451389">
          <w:rPr>
            <w:rStyle w:val="Hyperlink"/>
            <w:rFonts w:asciiTheme="majorBidi" w:hAnsiTheme="majorBidi" w:cstheme="majorBidi"/>
          </w:rPr>
          <w:t>https://doi.org/10.20414/ijhi.v24i1.776</w:t>
        </w:r>
      </w:hyperlink>
    </w:p>
  </w:footnote>
  <w:footnote w:id="26">
    <w:p w14:paraId="4BE97E20" w14:textId="77777777" w:rsidR="00546849" w:rsidRPr="00451389" w:rsidRDefault="00546849" w:rsidP="00451389">
      <w:pPr>
        <w:pStyle w:val="FootnoteText"/>
        <w:jc w:val="both"/>
        <w:rPr>
          <w:rFonts w:asciiTheme="majorBidi" w:hAnsiTheme="majorBidi"/>
          <w:b/>
          <w:bCs/>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2548-3382","author":[{"dropping-particle":"","family":"Yunarti","given":"Sri","non-dropping-particle":"","parse-names":false,"suffix":""},{"dropping-particle":"","family":"Dedi","given":"Syarial","non-dropping-particle":"","parse-names":false,"suffix":""}],"container-title":"Al-Istinbath: Jurnal Hukum Islam","id":"ITEM-1","issue":"1","issued":{"date-parts":[["2026"]]},"title":"A Reconstruction Of Women's Fiqih On Tawaf For Menstruating Women (Exploring Ibn Qayyim Al-Zawjiyah's Theory of Ijtihad)","type":"article-journal","volume":"11"},"uris":["http://www.mendeley.com/documents/?uuid=d0997eff-f0d5-4441-af96-ba3716caf609"]}],"mendeley":{"formattedCitation":"Sri Yunarti and Syarial Dedi, “A Reconstruction Of Women’s Fiqih On Tawaf For Menstruating Women (Exploring Ibn Qayyim Al-Zawjiyah’s Theory of Ijtihad),” &lt;i&gt;Al-Istinbath: Jurnal Hukum Islam&lt;/i&gt; 11, no. 1 (2026).","plainTextFormattedCitation":"Sri Yunarti and Syarial Dedi, “A Reconstruction Of Women’s Fiqih On Tawaf For Menstruating Women (Exploring Ibn Qayyim Al-Zawjiyah’s Theory of Ijtihad),” Al-Istinbath: Jurnal Hukum Islam 11, no. 1 (2026).","previouslyFormattedCitation":"Sri Yunarti and Syarial Dedi, “A Reconstruction Of Women’s Fiqih On Tawaf For Menstruating Women (Exploring Ibn Qayyim Al-Zawjiyah’s Theory of Ijtihad),” &lt;i&gt;Al-Istinbath: Jurnal Hukum Islam&lt;/i&gt; 11, no. 1 (2026)."},"properties":{"noteIndex":29},"schema":"https://github.com/citation-style-language/schema/raw/master/csl-citation.json"}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Sri Yunarti and Syarial Dedi, “A Reconstruction Of Women’s Fiqih On Tawaf For Menstruating Women (Exploring Ibn Qayyim Al-Zawjiyah’s Theory of Ijtihad),” </w:t>
      </w:r>
      <w:r w:rsidRPr="00451389">
        <w:rPr>
          <w:rFonts w:asciiTheme="majorBidi" w:hAnsiTheme="majorBidi" w:cstheme="majorBidi"/>
          <w:i/>
          <w:noProof/>
        </w:rPr>
        <w:t>Al-Istinbath: Jurnal Hukum Islam</w:t>
      </w:r>
      <w:r w:rsidRPr="00451389">
        <w:rPr>
          <w:rFonts w:asciiTheme="majorBidi" w:hAnsiTheme="majorBidi" w:cstheme="majorBidi"/>
          <w:noProof/>
        </w:rPr>
        <w:t xml:space="preserve"> 11, no. 1 (2026).</w:t>
      </w:r>
      <w:r w:rsidRPr="00451389">
        <w:rPr>
          <w:rFonts w:asciiTheme="majorBidi" w:hAnsiTheme="majorBidi" w:cstheme="majorBidi"/>
        </w:rPr>
        <w:fldChar w:fldCharType="end"/>
      </w:r>
      <w:r w:rsidRPr="00451389">
        <w:rPr>
          <w:rFonts w:ascii="Montserrat" w:eastAsia="Times New Roman" w:hAnsi="Montserrat" w:cs="Times New Roman"/>
          <w:b/>
          <w:bCs/>
          <w:kern w:val="0"/>
          <w:sz w:val="36"/>
          <w:szCs w:val="36"/>
          <w14:ligatures w14:val="none"/>
        </w:rPr>
        <w:t xml:space="preserve"> </w:t>
      </w:r>
      <w:hyperlink r:id="rId20" w:history="1">
        <w:r w:rsidRPr="009E7968">
          <w:rPr>
            <w:rStyle w:val="Hyperlink"/>
            <w:rFonts w:asciiTheme="majorBidi" w:hAnsiTheme="majorBidi" w:cstheme="majorBidi"/>
          </w:rPr>
          <w:t>https://doi.org/10.29240/jhi.v11i1.12677</w:t>
        </w:r>
      </w:hyperlink>
    </w:p>
  </w:footnote>
  <w:footnote w:id="27">
    <w:p w14:paraId="57985C41" w14:textId="77777777" w:rsidR="00546849" w:rsidRPr="00451389" w:rsidRDefault="00546849" w:rsidP="00451389">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{"citationItems":[{"id":"ITEM-1","itemData":{"ISSN":"2986-528X","author":[{"dropping-particle":"","family":"Sebyar","given":"Muhamad Hasan","non-dropping-particle":"","parse-names":false,"suffix":""},{"dropping-particle":"","family":"Anisa","given":"Anisa","non-dropping-particle":"","parse-names":false,"suffix":""},{"dropping-particle":"","family":"Asrori","given":"Hadi","non-dropping-particle":"","parse-names":false,"suffix":""},{"dropping-particle":"","family":"Sukiati","given":"Sukiati","non-dropping-particle":"","parse-names":false,"suffix":""},{"dropping-particle":"","family":"Bahy","given":"Moh Buny Andaru","non-dropping-particle":"","parse-names":false,"suffix":""}],"container-title":"MILRev: Metro Islamic Law Review","id":"ITEM-1","issue":"1","issued":{"date-parts":[["2026"]]},"page":"150-177","title":"Revitalising Maskan during ʿIddah: A Fiqh Analysis of Contemporary Post-Divorce Challenges in Indonesia","type":"article-journal","volume":"5"},"uris":["http://www.mendeley.com/documents/?uuid=c3edf9e9-f086-4618-af95-a8c1d2dc365f"]}],"mendeley":{"formattedCitation":"Muhamad Hasan Sebyar et al., “Revitalising Maskan during ʿIddah: A Fiqh Analysis of Contemporary Post-Divorce Challenges in Indonesia,” &lt;i&gt;MILRev: Metro Islamic Law Review&lt;/i&gt; 5, no. 1 (2026): 150–77.","plainTextFormattedCitation":"Muhamad Hasan Sebyar et al., “Revitalising Maskan during ʿIddah: A Fiqh Analysis of Contemporary Post-Divorce Challenges in Indonesia,” MILRev: Metro Islamic Law Review 5, no. 1 (2026): 150–77.","previouslyFormattedCitation":"Muhamad Hasan Sebyar et al., “Revitalising Maskan during ʿIddah: A Fiqh Analysis of Contemporary Post-Divorce Challenges in Indonesia,” &lt;i&gt;MILRev: Metro Islamic Law Review&lt;/i&gt; 5, no. 1 (2026): 150–77."},"properties":{"noteIndex":30},"schema":"https://github.com/citation-style-language/schema/raw/master/csl-citation.json"}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Muhamad Hasan Sebyar et al., “Revitalising Maskan during ʿIddah: A Fiqh Analysis of Contemporary Post-Divorce Challenges in Indonesia,” </w:t>
      </w:r>
      <w:r w:rsidRPr="00451389">
        <w:rPr>
          <w:rFonts w:asciiTheme="majorBidi" w:hAnsiTheme="majorBidi" w:cstheme="majorBidi"/>
          <w:i/>
          <w:noProof/>
        </w:rPr>
        <w:t>MILRev: Metro Islamic Law Review</w:t>
      </w:r>
      <w:r w:rsidRPr="00451389">
        <w:rPr>
          <w:rFonts w:asciiTheme="majorBidi" w:hAnsiTheme="majorBidi" w:cstheme="majorBidi"/>
          <w:noProof/>
        </w:rPr>
        <w:t xml:space="preserve"> 5, no. 1 (2026): 150–77.</w:t>
      </w:r>
      <w:r w:rsidRPr="00451389">
        <w:rPr>
          <w:rFonts w:asciiTheme="majorBidi" w:hAnsiTheme="majorBidi" w:cstheme="majorBidi"/>
        </w:rPr>
        <w:fldChar w:fldCharType="end"/>
      </w:r>
      <w:r w:rsidRPr="00451389">
        <w:rPr>
          <w:sz w:val="24"/>
          <w:szCs w:val="24"/>
        </w:rPr>
        <w:t xml:space="preserve"> </w:t>
      </w:r>
      <w:hyperlink r:id="rId21" w:history="1">
        <w:r w:rsidRPr="00451389">
          <w:rPr>
            <w:rStyle w:val="Hyperlink"/>
            <w:rFonts w:asciiTheme="majorBidi" w:hAnsiTheme="majorBidi" w:cstheme="majorBidi"/>
          </w:rPr>
          <w:t>https://doi.org/10.32332/milrev.v5i1.11534</w:t>
        </w:r>
      </w:hyperlink>
    </w:p>
  </w:footnote>
  <w:footnote w:id="28">
    <w:p w14:paraId="0B180029" w14:textId="77777777" w:rsidR="00546849" w:rsidRDefault="00546849" w:rsidP="00451389">
      <w:pPr>
        <w:pStyle w:val="FootnoteText"/>
        <w:jc w:val="both"/>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{"citationItems":[{"id":"ITEM-1","itemData":{"author":[{"dropping-particle":"","family":"Rahayu","given":"Derita Prapti","non-dropping-particle":"","parse-names":false,"suffix":""},{"dropping-particle":"","family":"SH","given":"M","non-dropping-particle":"","parse-names":false,"suffix":""},{"dropping-particle":"","family":"Ke","given":"Sesi","non-dropping-particle":"","parse-names":false,"suffix":""}],"container-title":"Yogyakarta: Thafa Media","id":"ITEM-1","issued":{"date-parts":[["2020"]]},"title":"Metode Penelitian Hukum","type":"article-journal"},"uris":["http://www.mendeley.com/documents/?uuid=a0d2edc5-5c33-4072-99d7-93e63947674b"]}],"mendeley":{"formattedCitation":"Derita Prapti Rahayu, M SH, and Sesi Ke, “Metode Penelitian Hukum,” &lt;i&gt;Yogyakarta: Thafa Media&lt;/i&gt;, 2020.","plainTextFormattedCitation":"Derita Prapti Rahayu, M SH, and Sesi Ke, “Metode Penelitian Hukum,” Yogyakarta: Thafa Media, 2020.","previouslyFormattedCitation":"Derita Prapti Rahayu, M SH, and Sesi Ke, “Metode Penelitian Hukum,” &lt;i&gt;Yogyakarta: Thafa Media&lt;/i&gt;, 2020."},"properties":{"noteIndex":31},"schema":"https://github.com/citation-style-language/schema/raw/master/csl-citation.json"}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Derita Prapti Rahayu, M SH, and Session Ke, "Legal Research Methods," </w:t>
      </w:r>
      <w:r w:rsidRPr="00451389">
        <w:rPr>
          <w:rFonts w:asciiTheme="majorBidi" w:hAnsiTheme="majorBidi" w:cstheme="majorBidi"/>
          <w:i/>
          <w:noProof/>
        </w:rPr>
        <w:t>Yogyakarta: Thafa Media</w:t>
      </w:r>
      <w:r w:rsidRPr="00451389">
        <w:rPr>
          <w:rFonts w:asciiTheme="majorBidi" w:hAnsiTheme="majorBidi" w:cstheme="majorBidi"/>
          <w:noProof/>
        </w:rPr>
        <w:t>, 2020.</w:t>
      </w:r>
      <w:r w:rsidRPr="00451389">
        <w:rPr>
          <w:rFonts w:asciiTheme="majorBidi" w:hAnsiTheme="majorBidi" w:cstheme="majorBidi"/>
        </w:rPr>
        <w:fldChar w:fldCharType="end"/>
      </w:r>
    </w:p>
  </w:footnote>
  <w:footnote w:id="29">
    <w:p w14:paraId="32CAD081" w14:textId="77777777" w:rsidR="00546849" w:rsidRPr="00451389" w:rsidRDefault="00546849" w:rsidP="00D20395">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{"citationItems":[{"id":"ITEM-1","itemData":{"ISSN":"2986-528X","author":[{"dropping-particle":"","family":"Yuniardi","given":"Harry","non-dropping-particle":"","parse-names":false,"suffix":""},{"dropping-particle":"","family":"Sa’diah","given":"Diah Siti","non-dropping-particle":"","parse-names":false,"suffix":""},{"dropping-particle":"","family":"Sholeh","given":"Aziz","non-dropping-particle":"","parse-names":false,"suffix":""},{"dropping-particle":"","family":"Ziaharah","given":"Lena Ishelmiany","non-dropping-particle":"","parse-names":false,"suffix":""},{"dropping-particle":"","family":"Cason","given":"Christopher Michael","non-dropping-particle":"","parse-names":false,"suffix":""}],"container-title":"MILRev: Metro Islamic Law Review","id":"ITEM-1","issue":"2","issued":{"date-parts":[["2025"]]},"page":"899-932","title":"Between Tradition and Sharia: Endogamous Marriage Practices in the Pesantren Community of Bandung Regency from a Contemporary Islamic Legal Perspective","type":"article-journal","volume":"4"},"uris":["http://www.mendeley.com/documents/?uuid=4599e1b0-56c2-4bf3-b5d1-214b16a7622d"]}],"mendeley":{"formattedCitation":"Harry Yuniardi et al., “Between Tradition and Sharia: Endogamous Marriage Practices in the Pesantren Community of Bandung Regency from a Contemporary Islamic Legal Perspective,” &lt;i&gt;MILRev: Metro Islamic Law Review&lt;/i&gt; 4, no. 2 (2025): 899–932.","plainTextFormattedCitation":"Harry Yuniardi et al., “Between Tradition and Sharia: Endogamous Marriage Practices in the Pesantren Community of Bandung Regency from a Contemporary Islamic Legal Perspective,” MILRev: Metro Islamic Law Review 4, no. 2 (2025): 899–932.","previouslyFormattedCitation":"Harry Yuniardi et al., “Between Tradition and Sharia: Endogamous Marriage Practices in the Pesantren Community of Bandung Regency from a Contemporary Islamic Legal Perspective,” &lt;i&gt;MILRev: Metro Islamic Law Review&lt;/i&gt; 4, no. 2 (2025): 899–932."},"properties":{"noteIndex":32},"schema":"https://github.com/citation-style-language/schema/raw/master/csl-citation.json"}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Harry Yuniardi et al., “Between Tradition and Sharia: Endogamous Marriage Practices in the Pesantren Community of Bandung Regency from a Contemporary Islamic Legal Perspective,” </w:t>
      </w:r>
      <w:r w:rsidRPr="00451389">
        <w:rPr>
          <w:rFonts w:asciiTheme="majorBidi" w:hAnsiTheme="majorBidi" w:cstheme="majorBidi"/>
          <w:i/>
          <w:noProof/>
        </w:rPr>
        <w:t>MILRev: Metro Islamic Law Review</w:t>
      </w:r>
      <w:r w:rsidRPr="00451389">
        <w:rPr>
          <w:rFonts w:asciiTheme="majorBidi" w:hAnsiTheme="majorBidi" w:cstheme="majorBidi"/>
          <w:noProof/>
        </w:rPr>
        <w:t xml:space="preserve"> 4, no. 2 (2025): 899–932.</w:t>
      </w:r>
      <w:r w:rsidRPr="00451389">
        <w:rPr>
          <w:rFonts w:asciiTheme="majorBidi" w:hAnsiTheme="majorBidi" w:cstheme="majorBidi"/>
        </w:rPr>
        <w:fldChar w:fldCharType="end"/>
      </w:r>
      <w:r w:rsidRPr="00D20395">
        <w:rPr>
          <w:sz w:val="24"/>
          <w:szCs w:val="24"/>
        </w:rPr>
        <w:t xml:space="preserve"> </w:t>
      </w:r>
      <w:hyperlink r:id="rId22" w:history="1">
        <w:r w:rsidRPr="00D20395">
          <w:rPr>
            <w:rStyle w:val="Hyperlink"/>
            <w:rFonts w:asciiTheme="majorBidi" w:hAnsiTheme="majorBidi" w:cstheme="majorBidi"/>
          </w:rPr>
          <w:t>https://doi.org/10.32332/milrev.v4i2.10624</w:t>
        </w:r>
      </w:hyperlink>
    </w:p>
  </w:footnote>
  <w:footnote w:id="30">
    <w:p w14:paraId="29ADB3C4" w14:textId="77777777" w:rsidR="00546849" w:rsidRPr="00451389" w:rsidRDefault="00546849" w:rsidP="00D20395">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{"citationItems":[{"id":"ITEM-1","itemData":{"ISSN":"2550-0813","author":[{"dropping-particle":"","family":"Tan","given":"David","non-dropping-particle":"","parse-names":false,"suffix":""}],"container-title":"Nusantara: Jurnal Ilmu Pengetahuan Sosial","id":"ITEM-1","issue":"8","issued":{"date-parts":[["2021"]]},"page":"2463-2478","title":"Metode penelitian hukum: Mengupas dan mengulas metodologi dalam menyelenggarakan penelitian hukum","type":"article-journal","volume":"8"},"uris":["http://www.mendeley.com/documents/?uuid=9eeba66e-12fe-4c66-91d4-152caa2a0566"]}],"mendeley":{"formattedCitation":"David Tan, “Metode Penelitian Hukum: Mengupas Dan Mengulas Metodologi Dalam Menyelenggarakan Penelitian Hukum,” &lt;i&gt;Nusantara: Jurnal Ilmu Pengetahuan Sosial&lt;/i&gt; 8, no. 8 (2021): 2463–78.","plainTextFormattedCitation":"David Tan, “Metode Penelitian Hukum: Mengupas Dan Mengulas Metodologi Dalam Menyelenggarakan Penelitian Hukum,” Nusantara: Jurnal Ilmu Pengetahuan Sosial 8, no. 8 (2021): 2463–78.","previouslyFormattedCitation":"David Tan, “Metode Penelitian Hukum: Mengupas Dan Mengulas Metodologi Dalam Menyelenggarakan Penelitian Hukum,” &lt;i&gt;Nusantara: Jurnal Ilmu Pengetahuan Sosial&lt;/i&gt; 8, no. 8 (2021): 2463–78."},"properties":{"noteIndex":33},"schema":"https://github.com/citation-style-language/schema/raw/master/csl-citation.json"}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David Tan, "Legal Research Methods: Exploring and Reviewing Methodology in Conducting Legal Research," </w:t>
      </w:r>
      <w:r w:rsidRPr="00451389">
        <w:rPr>
          <w:rFonts w:asciiTheme="majorBidi" w:hAnsiTheme="majorBidi" w:cstheme="majorBidi"/>
          <w:i/>
          <w:noProof/>
        </w:rPr>
        <w:t>Nusantara: Journal of Social Sciences</w:t>
      </w:r>
      <w:r w:rsidRPr="00451389">
        <w:rPr>
          <w:rFonts w:asciiTheme="majorBidi" w:hAnsiTheme="majorBidi" w:cstheme="majorBidi"/>
          <w:noProof/>
        </w:rPr>
        <w:t xml:space="preserve"> 8, no. 8 (2021): 2463–78.</w:t>
      </w:r>
      <w:r w:rsidRPr="00451389">
        <w:rPr>
          <w:rFonts w:asciiTheme="majorBidi" w:hAnsiTheme="majorBidi" w:cstheme="majorBidi"/>
        </w:rPr>
        <w:fldChar w:fldCharType="end"/>
      </w:r>
      <w:r w:rsidRPr="00D20395">
        <w:rPr>
          <w:sz w:val="24"/>
          <w:szCs w:val="24"/>
        </w:rPr>
        <w:t xml:space="preserve"> </w:t>
      </w:r>
      <w:hyperlink r:id="rId23" w:history="1">
        <w:r w:rsidRPr="00D20395">
          <w:rPr>
            <w:rStyle w:val="Hyperlink"/>
            <w:rFonts w:asciiTheme="majorBidi" w:hAnsiTheme="majorBidi" w:cstheme="majorBidi"/>
          </w:rPr>
          <w:t>https://doi.org/10.31604/jips.v8i8.2021.2463-2478</w:t>
        </w:r>
      </w:hyperlink>
    </w:p>
  </w:footnote>
  <w:footnote w:id="31">
    <w:p w14:paraId="07D623F3" w14:textId="77777777" w:rsidR="00546849" w:rsidRPr="00451389" w:rsidRDefault="00546849" w:rsidP="00451389">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{"citationItems":[{"id":"ITEM-1","itemData":{"ISBN":"6236077207","author":[{"dropping-particle":"","family":"Huda","given":"Muhammad Chairul","non-dropping-particle":"","parse-names":false,"suffix":""},{"dropping-particle":"","family":"S HI","given":"M H","non-dropping-particle":"","parse-names":false,"suffix":""}],"id":"ITEM-1","issued":{"date-parts":[["2021"]]},"publisher":"The Mahfud Ridwan Institute","title":"Metode Penelitian Hukum (Pendekatan Yuridis Sosiologis)","type":"book"},"uris":["http://www.mendeley.com/documents/?uuid=602654a3-d7f2-455a-8386-86bf92e78123"]}],"mendeley":{"formattedCitation":"Muhammad Chairul Huda and M H S HI, &lt;i&gt;Metode Penelitian Hukum (Pendekatan Yuridis Sosiologis)&lt;/i&gt; (The Mahfud Ridwan Institute, 2021).","plainTextFormattedCitation":"Muhammad Chairul Huda and M H S HI, Metode Penelitian Hukum (Pendekatan Yuridis Sosiologis) (The Mahfud Ridwan Institute, 2021).","previouslyFormattedCitation":"Muhammad Chairul Huda and M H S HI, &lt;i&gt;Metode Penelitian Hukum (Pendekatan Yuridis Sosiologis)&lt;/i&gt; (The Mahfud Ridwan Institute, 2021)."},"properties":{"noteIndex":34},"schema":"https://github.com/citation-style-language/schema/raw/master/csl-citation.json"}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Muhammad Chairul Huda and M H S HI, </w:t>
      </w:r>
      <w:r w:rsidRPr="00451389">
        <w:rPr>
          <w:rFonts w:asciiTheme="majorBidi" w:hAnsiTheme="majorBidi" w:cstheme="majorBidi"/>
          <w:i/>
          <w:noProof/>
        </w:rPr>
        <w:t>Legal Research Methods (Sociological Juridical Approach)</w:t>
      </w:r>
      <w:r w:rsidRPr="00451389">
        <w:rPr>
          <w:rFonts w:asciiTheme="majorBidi" w:hAnsiTheme="majorBidi" w:cstheme="majorBidi"/>
          <w:noProof/>
        </w:rPr>
        <w:t xml:space="preserve"> (The Mahfud Ridwan Institute, 2021).</w:t>
      </w:r>
      <w:r w:rsidRPr="00451389">
        <w:rPr>
          <w:rFonts w:asciiTheme="majorBidi" w:hAnsiTheme="majorBidi" w:cstheme="majorBidi"/>
        </w:rPr>
        <w:fldChar w:fldCharType="end"/>
      </w:r>
    </w:p>
  </w:footnote>
  <w:footnote w:id="32">
    <w:p w14:paraId="3D2DC82A" w14:textId="77777777" w:rsidR="00546849" w:rsidRPr="00451389" w:rsidRDefault="00546849" w:rsidP="00451389">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{"citationItems":[{"id":"ITEM-1","itemData":{"ISSN":"6235003684","author":[{"dropping-particle":"","family":"Atikah","given":"Ika","non-dropping-particle":"","parse-names":false,"suffix":""},{"dropping-particle":"","family":"Rizkia","given":"Nanda Dwi","non-dropping-particle":"","parse-names":false,"suffix":""},{"dropping-particle":"","family":"Basri","given":"Basri","non-dropping-particle":"","parse-names":false,"suffix":""},{"dropping-particle":"","family":"Monteiro","given":"Josef Mario","non-dropping-particle":"","parse-names":false,"suffix":""},{"dropping-particle":"","family":"Jaelani","given":"Elan","non-dropping-particle":"","parse-names":false,"suffix":""},{"dropping-particle":"","family":"Silapurna","given":"Endah Labati","non-dropping-particle":"","parse-names":false,"suffix":""}],"id":"ITEM-1","issued":{"date-parts":[["2024"]]},"publisher":"CV Widina Media Utama","title":"Pengantar Metode Penelitian Hukum Sosio-Legal","type":"article-journal"},"uris":["http://www.mendeley.com/documents/?uuid=4b8a79ba-4925-440a-89a1-233f183754f7"]}],"mendeley":{"formattedCitation":"Ika Atikah et al., “Pengantar Metode Penelitian Hukum Sosio-Legal,” 2024.","plainTextFormattedCitation":"Ika Atikah et al., “Pengantar Metode Penelitian Hukum Sosio-Legal,” 2024.","previouslyFormattedCitation":"Ika Atikah et al., “Pengantar Metode Penelitian Hukum Sosio-Legal,” 2024."},"properties":{"noteIndex":35},"schema":"https://github.com/citation-style-language/schema/raw/master/csl-citation.json"}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Ika Atikah et al., "Introduction to Socio-Legal Law Research Methods," 2024.</w:t>
      </w:r>
      <w:r w:rsidRPr="00451389">
        <w:rPr>
          <w:rFonts w:asciiTheme="majorBidi" w:hAnsiTheme="majorBidi" w:cstheme="majorBidi"/>
        </w:rPr>
        <w:fldChar w:fldCharType="end"/>
      </w:r>
    </w:p>
  </w:footnote>
  <w:footnote w:id="33">
    <w:p w14:paraId="2064D784" w14:textId="77777777" w:rsidR="00546849" w:rsidRPr="00451389" w:rsidRDefault="00546849" w:rsidP="00451389">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2085-1618","author":[{"dropping-particle":"","family":"Fadil","given":"Fadil","non-dropping-particle":"","parse-names":false,"suffix":""},{"dropping-particle":"","family":"Mazidah","given":"Zidna","non-dropping-particle":"","parse-names":false,"suffix":""},{"dropping-particle":"","family":"Mahmudi","given":"Zaenul","non-dropping-particle":"","parse-names":false,"suffix":""}],"container-title":"De Jure: Jurnal Hukum dan Syari'ah","id":"ITEM-1","issue":"1","issued":{"date-parts":[["2024"]]},"page":"1-20","publisher":"Unit P3M Fakultas Syariah UIN Maulana Malik Ibrahim Malang","title":"Fulfillment of women's rights after divorce dynamics and transformation in the legal journey","type":"article-journal","volume":"16"},"uris":["http://www.mendeley.com/documents/?uuid=cfb8470d-d4cc-40c4-a943-60ae013c6b2b"]}],"mendeley":{"formattedCitation":"Fadil Fadil, Zidna Mazidah, and Zaenul Mahmudi, “Fulfillment of Women’s Rights after Divorce Dynamics and Transformation in the Legal Journey,” &lt;i&gt;De Jure: Jurnal Hukum Dan Syari’ah&lt;/i&gt; 16, no. 1 (2024): 1–20.","plainTextFormattedCitation":"Fadil Fadil, Zidna Mazidah, and Zaenul Mahmudi, “Fulfillment of Women’s Rights after Divorce Dynamics and Transformation in the Legal Journey,” De Jure: Jurnal Hukum Dan Syari’ah 16, no. 1 (2024): 1–20."},"properties":{"noteIndex":36},"schema":"https://github.com/citation-style-language/schema/raw/master/csl-citation.json"}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Fadil Fadil, Zidna Mazidah, and Zaenul Mahmudi, “Fulfillment of Women’s Rights after Divorce Dynamics and Transformation in the Legal Journey,” </w:t>
      </w:r>
      <w:r w:rsidRPr="00451389">
        <w:rPr>
          <w:rFonts w:asciiTheme="majorBidi" w:hAnsiTheme="majorBidi" w:cstheme="majorBidi"/>
          <w:i/>
          <w:noProof/>
        </w:rPr>
        <w:t>De Jure: Jurnal Hukum Dan Syari’ah</w:t>
      </w:r>
      <w:r w:rsidRPr="00451389">
        <w:rPr>
          <w:rFonts w:asciiTheme="majorBidi" w:hAnsiTheme="majorBidi" w:cstheme="majorBidi"/>
          <w:noProof/>
        </w:rPr>
        <w:t xml:space="preserve"> 16, no. 1 (2024): 1–20.</w:t>
      </w:r>
      <w:r w:rsidRPr="00451389">
        <w:rPr>
          <w:rFonts w:asciiTheme="majorBidi" w:hAnsiTheme="majorBidi" w:cstheme="majorBidi"/>
        </w:rPr>
        <w:fldChar w:fldCharType="end"/>
      </w:r>
    </w:p>
  </w:footnote>
  <w:footnote w:id="34">
    <w:p w14:paraId="57AC97C7" w14:textId="77777777" w:rsidR="00546849" w:rsidRPr="00451389" w:rsidRDefault="00546849" w:rsidP="00451389">
      <w:pPr>
        <w:pStyle w:val="FootnoteText"/>
        <w:jc w:val="both"/>
        <w:rPr>
          <w:rFonts w:asciiTheme="majorBidi" w:hAnsiTheme="majorBidi" w:cstheme="majorBidi"/>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BN":"6238598654","author":[{"dropping-particle":"","family":"Ahmad","given":"Ahmad","non-dropping-particle":"","parse-names":false,"suffix":""},{"dropping-particle":"","family":"Fachrurrazy","given":"Muhammad","non-dropping-particle":"","parse-names":false,"suffix":""},{"dropping-particle":"","family":"Amalia","given":"Mia","non-dropping-particle":"","parse-names":false,"suffix":""},{"dropping-particle":"","family":"Fauzi","given":"Engrina","non-dropping-particle":"","parse-names":false,"suffix":""},{"dropping-particle":"","family":"Gaol","given":"Selamat Lumban","non-dropping-particle":"","parse-names":false,"suffix":""},{"dropping-particle":"","family":"Siliwadi","given":"Dirah Nurmila","non-dropping-particle":"","parse-names":false,"suffix":""},{"dropping-particle":"","family":"Takdir","given":"Takdir","non-dropping-particle":"","parse-names":false,"suffix":""}],"id":"ITEM-1","issued":{"date-parts":[["2024"]]},"publisher":"PT. Sonpedia Publishing Indonesia","title":"Buku Ajar Metode Penelitian &amp; Penulisan Hukum","type":"book"},"uris":["http://www.mendeley.com/documents/?uuid=3e65ba11-8662-418a-b7a2-9eeb495283ea"]}],"mendeley":{"formattedCitation":"Ahmad Ahmad et al., &lt;i&gt;Buku Ajar Metode Penelitian &amp; Penulisan Hukum&lt;/i&gt; (PT. Sonpedia Publishing Indonesia, 2024).","plainTextFormattedCitation":"Ahmad Ahmad et al., Buku Ajar Metode Penelitian &amp; Penulisan Hukum (PT. Sonpedia Publishing Indonesia, 2024).","previouslyFormattedCitation":"Ahmad Ahmad et al., &lt;i&gt;Buku Ajar Metode Penelitian &amp; Penulisan Hukum&lt;/i&gt; (PT. Sonpedia Publishing Indonesia, 2024)."},"properties":{"noteIndex":37},"schema":"https://github.com/citation-style-language/schema/raw/master/csl-citation.json"}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Ahmad Ahmad et al., </w:t>
      </w:r>
      <w:r w:rsidRPr="00451389">
        <w:rPr>
          <w:rFonts w:asciiTheme="majorBidi" w:hAnsiTheme="majorBidi" w:cstheme="majorBidi"/>
          <w:i/>
          <w:noProof/>
        </w:rPr>
        <w:t>Textbook of Legal Research &amp; Writing Methods</w:t>
      </w:r>
      <w:r w:rsidRPr="00451389">
        <w:rPr>
          <w:rFonts w:asciiTheme="majorBidi" w:hAnsiTheme="majorBidi" w:cstheme="majorBidi"/>
          <w:noProof/>
        </w:rPr>
        <w:t xml:space="preserve"> (PT. Sonpedia Publishing Indonesia, 2024).</w:t>
      </w:r>
      <w:r w:rsidRPr="00451389">
        <w:rPr>
          <w:rFonts w:asciiTheme="majorBidi" w:hAnsiTheme="majorBidi" w:cstheme="majorBidi"/>
        </w:rPr>
        <w:fldChar w:fldCharType="end"/>
      </w:r>
    </w:p>
  </w:footnote>
  <w:footnote w:id="35">
    <w:p w14:paraId="1348045E" w14:textId="77777777" w:rsidR="00546849" w:rsidRPr="00EF7B41" w:rsidRDefault="00546849" w:rsidP="00EF7B41">
      <w:pPr>
        <w:pStyle w:val="FootnoteText"/>
        <w:jc w:val="both"/>
        <w:rPr>
          <w:rFonts w:asciiTheme="majorBidi" w:hAnsiTheme="majorBidi"/>
          <w:b/>
          <w:bCs/>
        </w:rPr>
      </w:pPr>
      <w:r w:rsidRPr="00451389">
        <w:rPr>
          <w:rStyle w:val="FootnoteReference"/>
          <w:rFonts w:asciiTheme="majorBidi" w:hAnsiTheme="majorBidi" w:cstheme="majorBidi"/>
        </w:rPr>
        <w:footnoteRef/>
      </w:r>
      <w:r w:rsidRPr="00451389">
        <w:rPr>
          <w:rFonts w:asciiTheme="majorBidi" w:hAnsiTheme="majorBidi" w:cstheme="majorBidi"/>
        </w:rPr>
        <w:t xml:space="preserve"> </w:t>
      </w:r>
      <w:r w:rsidRPr="00451389">
        <w:rPr>
          <w:rFonts w:asciiTheme="majorBidi" w:hAnsiTheme="majorBidi" w:cstheme="majorBidi"/>
        </w:rPr>
        <w:fldChar w:fldCharType="begin" w:fldLock="1"/>
      </w:r>
      <w:r w:rsidRPr="00451389">
        <w:rPr>
          <w:rFonts w:asciiTheme="majorBidi" w:hAnsiTheme="majorBidi" w:cstheme="majorBidi"/>
        </w:rPr>
        <w:instrText>ADDIN CSL_CITATION {"citationItems":[{"id":"ITEM-1","itemData":{"ISSN":"2988-5795","author":[{"dropping-particle":"","family":"Salsabila","given":"Destya","non-dropping-particle":"","parse-names":false,"suffix":""},{"dropping-particle":"","family":"Budhi","given":"Setia","non-dropping-particle":"","parse-names":false,"suffix":""}],"container-title":"Huma: Jurnal Sosiologi","id":"ITEM-1","issue":"1","issued":{"date-parts":[["2024"]]},"page":"29-39","title":"Antara stigma dan realitas sosial: Status janda dalam pandangan masyarakat desa","type":"article-journal","volume":"3"},"uris":["http://www.mendeley.com/documents/?uuid=87b307e9-bb71-420f-b90d-27fef1c4c874"]}],"mendeley":{"formattedCitation":"Destya Salsabila and Setia Budhi, “Antara Stigma Dan Realitas Sosial: Status Janda Dalam Pandangan Masyarakat Desa,” &lt;i&gt;Huma: Jurnal Sosiologi&lt;/i&gt; 3, no. 1 (2024): 29–39.","plainTextFormattedCitation":"Destya Salsabila and Setia Budhi, “Antara Stigma Dan Realitas Sosial: Status Janda Dalam Pandangan Masyarakat Desa,” Huma: Jurnal Sosiologi 3, no. 1 (2024): 29–39.","previouslyFormattedCitation":"Destya Salsabila and Setia Budhi, “Antara Stigma Dan Realitas Sosial: Status Janda Dalam Pandangan Masyarakat Desa,” &lt;i&gt;Huma: Jurnal Sosiologi&lt;/i&gt; 3, no. 1 (2024): 29–39."},"properties":{"noteIndex":38},"schema":"https://github.com/citation-style-language/schema/raw/master/csl-citation.json"}</w:instrText>
      </w:r>
      <w:r w:rsidRPr="00451389">
        <w:rPr>
          <w:rFonts w:asciiTheme="majorBidi" w:hAnsiTheme="majorBidi" w:cstheme="majorBidi"/>
        </w:rPr>
        <w:fldChar w:fldCharType="separate"/>
      </w:r>
      <w:r w:rsidRPr="00451389">
        <w:rPr>
          <w:rFonts w:asciiTheme="majorBidi" w:hAnsiTheme="majorBidi" w:cstheme="majorBidi"/>
          <w:noProof/>
        </w:rPr>
        <w:t xml:space="preserve">Destya Salsabila and Setia Budhi, "Between Stigma and Social Realities: The Status of Widows in the Perspective of Rural Communities," </w:t>
      </w:r>
      <w:r w:rsidRPr="00451389">
        <w:rPr>
          <w:rFonts w:asciiTheme="majorBidi" w:hAnsiTheme="majorBidi" w:cstheme="majorBidi"/>
          <w:i/>
          <w:noProof/>
        </w:rPr>
        <w:t>Huma: Journal of Sociology</w:t>
      </w:r>
      <w:r w:rsidRPr="00451389">
        <w:rPr>
          <w:rFonts w:asciiTheme="majorBidi" w:hAnsiTheme="majorBidi" w:cstheme="majorBidi"/>
          <w:noProof/>
        </w:rPr>
        <w:t xml:space="preserve"> 3, no. 1 (2024): 29–39.</w:t>
      </w:r>
      <w:r w:rsidRPr="00451389">
        <w:rPr>
          <w:rFonts w:asciiTheme="majorBidi" w:hAnsiTheme="majorBidi" w:cstheme="majorBidi"/>
        </w:rPr>
        <w:fldChar w:fldCharType="end"/>
      </w:r>
      <w:hyperlink r:id="rId24" w:history="1">
        <w:r w:rsidRPr="009E7968">
          <w:rPr>
            <w:rStyle w:val="Hyperlink"/>
            <w:rFonts w:asciiTheme="majorBidi" w:hAnsiTheme="majorBidi" w:cstheme="majorBidi"/>
          </w:rPr>
          <w:t>https://doi.org/10.20527/h-js.v3i1.210</w:t>
        </w:r>
      </w:hyperlink>
    </w:p>
  </w:footnote>
  <w:footnote w:id="36">
    <w:p w14:paraId="09959C69"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{"citationItems":[{"id":"ITEM-1","itemData":{"ISBN":"2355-6919","author":[{"dropping-particle":"","family":"Welly","given":"Nifki Setya","non-dropping-particle":"","parse-names":false,"suffix":""},{"dropping-particle":"","family":"Sari","given":"Genny Gustina","non-dropping-particle":"","parse-names":false,"suffix":""}],"id":"ITEM-1","issued":{"date-parts":[["2017"]]},"publisher":"Riau University","title":"Makna Hidup Janda Muda Pelaku Cerai Gugat Di Kota Pekanbaru","type":"article"},"uris":["http://www.mendeley.com/documents/?uuid=fa6360e6-9c0c-491e-9240-cd032375c5de"]}],"mendeley":{"formattedCitation":"Nifki Setya Welly and Genny Gustina Sari, “Makna Hidup Janda Muda Pelaku Cerai Gugat Di Kota Pekanbaru” (Riau University, 2017).","plainTextFormattedCitation":"Nifki Setya Welly and Genny Gustina Sari, “Makna Hidup Janda Muda Pelaku Cerai Gugat Di Kota Pekanbaru” (Riau University, 2017).","previouslyFormattedCitation":"Nifki Setya Welly and Genny Gustina Sari, “Makna Hidup Janda Muda Pelaku Cerai Gugat Di Kota Pekanbaru” (Riau University, 2017)."},"properties":{"noteIndex":39},"schema":"https://github.com/citation-style-language/schema/raw/master/csl-citation.json"}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Nifki Setya Welly and Genny Gustina Sari, "The Meaning of Life of Young Widows of Divorce Plaintiffs in the City of Pekanbaru" (Riau University, 2017).</w:t>
      </w:r>
      <w:r w:rsidRPr="00D20395">
        <w:rPr>
          <w:rFonts w:asciiTheme="majorBidi" w:hAnsiTheme="majorBidi" w:cstheme="majorBidi"/>
        </w:rPr>
        <w:fldChar w:fldCharType="end"/>
      </w:r>
    </w:p>
  </w:footnote>
  <w:footnote w:id="37">
    <w:p w14:paraId="24C1EE4A" w14:textId="77777777" w:rsidR="00546849" w:rsidRPr="00D20395" w:rsidRDefault="00546849" w:rsidP="00251789">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{"citationItems":[{"id":"ITEM-1","itemData":{"ISSN":"2580-8842","author":[{"dropping-particle":"","family":"Siregar","given":"Helmi Suryana","non-dropping-particle":"","parse-names":false,"suffix":""}],"container-title":"Jurnal Ius Constituendum","id":"ITEM-1","issue":"1","issued":{"date-parts":[["2021"]]},"page":"252-268","title":"Perubahan Kedudukan Perempuan Pada Masyarakat Batak Angkola","type":"article-journal","volume":"6"},"uris":["http://www.mendeley.com/documents/?uuid=49013edf-afc2-4c0d-96bc-84c99cc2bc43"]}],"mendeley":{"formattedCitation":"Helmi Suryana Siregar, “Perubahan Kedudukan Perempuan Pada Masyarakat Batak Angkola,” &lt;i&gt;Jurnal Ius Constituendum&lt;/i&gt; 6, no. 1 (2021): 252–68.","plainTextFormattedCitation":"Helmi Suryana Siregar, “Perubahan Kedudukan Perempuan Pada Masyarakat Batak Angkola,” Jurnal Ius Constituendum 6, no. 1 (2021): 252–68.","previouslyFormattedCitation":"Helmi Suryana Siregar, “Perubahan Kedudukan Perempuan Pada Masyarakat Batak Angkola,” &lt;i&gt;Jurnal Ius Constituendum&lt;/i&gt; 6, no. 1 (2021): 252–68."},"properties":{"noteIndex":40},"schema":"https://github.com/citation-style-language/schema/raw/master/csl-citation.json"}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Helmi Suryana Siregar, "Changes in the Position of Women in the Angkola Batak Community," </w:t>
      </w:r>
      <w:r w:rsidRPr="00D20395">
        <w:rPr>
          <w:rFonts w:asciiTheme="majorBidi" w:hAnsiTheme="majorBidi" w:cstheme="majorBidi"/>
          <w:i/>
          <w:noProof/>
        </w:rPr>
        <w:t>Journal of Ius Constituendum</w:t>
      </w:r>
      <w:r w:rsidRPr="00D20395">
        <w:rPr>
          <w:rFonts w:asciiTheme="majorBidi" w:hAnsiTheme="majorBidi" w:cstheme="majorBidi"/>
          <w:noProof/>
        </w:rPr>
        <w:t xml:space="preserve"> 6, no. 1 (2021): 252–68.</w:t>
      </w:r>
      <w:r w:rsidRPr="00D20395">
        <w:rPr>
          <w:rFonts w:asciiTheme="majorBidi" w:hAnsiTheme="majorBidi" w:cstheme="majorBidi"/>
        </w:rPr>
        <w:fldChar w:fldCharType="end"/>
      </w:r>
      <w:r w:rsidRPr="00251789">
        <w:rPr>
          <w:sz w:val="24"/>
          <w:szCs w:val="24"/>
        </w:rPr>
        <w:t xml:space="preserve"> </w:t>
      </w:r>
      <w:hyperlink r:id="rId25" w:history="1">
        <w:r w:rsidRPr="00251789">
          <w:rPr>
            <w:rStyle w:val="Hyperlink"/>
            <w:rFonts w:asciiTheme="majorBidi" w:hAnsiTheme="majorBidi" w:cstheme="majorBidi"/>
          </w:rPr>
          <w:t>https://doi.org/10.26623/jic.v6i1.3281</w:t>
        </w:r>
      </w:hyperlink>
    </w:p>
  </w:footnote>
  <w:footnote w:id="38">
    <w:p w14:paraId="0DB6765B" w14:textId="77777777" w:rsidR="00546849" w:rsidRPr="00D20395" w:rsidRDefault="00546849" w:rsidP="00251789">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{"citationItems":[{"id":"ITEM-1","itemData":{"ISSN":"2775-6327","author":[{"dropping-particle":"","family":"Nuroniyah","given":"Wardah","non-dropping-particle":"","parse-names":false,"suffix":""}],"container-title":"Equalita: Jurnal Studi Gender dan Anak","id":"ITEM-1","issue":"1","issued":{"date-parts":[["2022"]]},"page":"113-135","title":"Konsep qiwamah dan fenomena perempuan kepala keluarga","type":"article-journal","volume":"4"},"uris":["http://www.mendeley.com/documents/?uuid=3b7fb3c8-bc65-4b86-9c2c-092af9d9ab63"]}],"mendeley":{"formattedCitation":"Wardah Nuroniyah, “Konsep Qiwamah Dan Fenomena Perempuan Kepala Keluarga,” &lt;i&gt;Equalita: Jurnal Studi Gender Dan Anak&lt;/i&gt; 4, no. 1 (2022): 113–35.","plainTextFormattedCitation":"Wardah Nuroniyah, “Konsep Qiwamah Dan Fenomena Perempuan Kepala Keluarga,” Equalita: Jurnal Studi Gender Dan Anak 4, no. 1 (2022): 113–35.","previouslyFormattedCitation":"Wardah Nuroniyah, “Konsep Qiwamah Dan Fenomena Perempuan Kepala Keluarga,” &lt;i&gt;Equalita: Jurnal Studi Gender Dan Anak&lt;/i&gt; 4, no. 1 (2022): 113–35."},"properties":{"noteIndex":41},"schema":"https://github.com/citation-style-language/schema/raw/master/csl-citation.json"}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Wardah Nuroniyah, "The Concept of Qiwamah and the Phenomenon of Women as the Head of the Family," </w:t>
      </w:r>
      <w:r w:rsidRPr="00D20395">
        <w:rPr>
          <w:rFonts w:asciiTheme="majorBidi" w:hAnsiTheme="majorBidi" w:cstheme="majorBidi"/>
          <w:i/>
          <w:noProof/>
        </w:rPr>
        <w:t>Equalita: Journal of Gender and Child Studies</w:t>
      </w:r>
      <w:r w:rsidRPr="00D20395">
        <w:rPr>
          <w:rFonts w:asciiTheme="majorBidi" w:hAnsiTheme="majorBidi" w:cstheme="majorBidi"/>
          <w:noProof/>
        </w:rPr>
        <w:t xml:space="preserve"> 4, no. 1 (2022): 113–35.</w:t>
      </w:r>
      <w:r w:rsidRPr="00D20395">
        <w:rPr>
          <w:rFonts w:asciiTheme="majorBidi" w:hAnsiTheme="majorBidi" w:cstheme="majorBidi"/>
        </w:rPr>
        <w:fldChar w:fldCharType="end"/>
      </w:r>
      <w:r w:rsidRPr="00251789">
        <w:rPr>
          <w:rFonts w:ascii="Verdana" w:hAnsi="Verdana"/>
          <w:color w:val="111111"/>
          <w:sz w:val="17"/>
          <w:szCs w:val="17"/>
        </w:rPr>
        <w:t xml:space="preserve"> </w:t>
      </w:r>
      <w:r w:rsidRPr="00251789">
        <w:rPr>
          <w:rFonts w:asciiTheme="majorBidi" w:hAnsiTheme="majorBidi" w:cstheme="majorBidi"/>
        </w:rPr>
        <w:t xml:space="preserve">DOI: </w:t>
      </w:r>
      <w:hyperlink r:id="rId26" w:history="1">
        <w:r w:rsidRPr="00251789">
          <w:rPr>
            <w:rStyle w:val="Hyperlink"/>
            <w:rFonts w:asciiTheme="majorBidi" w:hAnsiTheme="majorBidi" w:cstheme="majorBidi"/>
          </w:rPr>
          <w:t>10.24235/equalita.v4i1.10900</w:t>
        </w:r>
      </w:hyperlink>
    </w:p>
  </w:footnote>
  <w:footnote w:id="39">
    <w:p w14:paraId="6AE853BE" w14:textId="77777777" w:rsidR="00546849" w:rsidRDefault="00546849" w:rsidP="00251789">
      <w:pPr>
        <w:pStyle w:val="FootnoteText"/>
        <w:jc w:val="both"/>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{"citationItems":[{"id":"ITEM-1","itemData":{"ISSN":"2774-3799","author":[{"dropping-particle":"","family":"Wahyudin","given":"Wahyudin","non-dropping-particle":"","parse-names":false,"suffix":""},{"dropping-particle":"","family":"Ma’arif","given":"Muhammad Anas","non-dropping-particle":"","parse-names":false,"suffix":""},{"dropping-particle":"","family":"Rofiq","given":"Muhammad Husnur","non-dropping-particle":"","parse-names":false,"suffix":""}],"container-title":"FATAWA: Jurnal Pendidikan Agama Islam","id":"ITEM-1","issue":"1","issued":{"date-parts":[["2023"]]},"page":"111-124","title":"Nilai-Nilai Pendidikan Islam Pada Adat Istiadat Masyarakat Pakpak Di Pesantren","type":"article-journal","volume":"4"},"uris":["http://www.mendeley.com/documents/?uuid=91c746f3-3d82-418e-8a1a-b707eba26ab1"]}],"mendeley":{"formattedCitation":"Wahyudin Wahyudin, Muhammad Anas Ma’arif, and Muhammad Husnur Rofiq, “Nilai-Nilai Pendidikan Islam Pada Adat Istiadat Masyarakat Pakpak Di Pesantren,” &lt;i&gt;FATAWA: Jurnal Pendidikan Agama Islam&lt;/i&gt; 4, no. 1 (2023): 111–24.","plainTextFormattedCitation":"Wahyudin Wahyudin, Muhammad Anas Ma’arif, and Muhammad Husnur Rofiq, “Nilai-Nilai Pendidikan Islam Pada Adat Istiadat Masyarakat Pakpak Di Pesantren,” FATAWA: Jurnal Pendidikan Agama Islam 4, no. 1 (2023): 111–24.","previouslyFormattedCitation":"Wahyudin Wahyudin, Muhammad Anas Ma’arif, and Muhammad Husnur Rofiq, “Nilai-Nilai Pendidikan Islam Pada Adat Istiadat Masyarakat Pakpak Di Pesantren,” &lt;i&gt;FATAWA: Jurnal Pendidikan Agama Islam&lt;/i&gt; 4, no. 1 (2023): 111–24."},"properties":{"noteIndex":42},"schema":"https://github.com/citation-style-language/schema/raw/master/csl-citation.json"}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Wahyudin Wahyudin, Muhammad Anas Ma'arif, and Muhammad Husnur Rofiq, "Islamic Education Values in the Customs of the Pakpak Community in Islamic Boarding Schools," </w:t>
      </w:r>
      <w:r w:rsidRPr="00D20395">
        <w:rPr>
          <w:rFonts w:asciiTheme="majorBidi" w:hAnsiTheme="majorBidi" w:cstheme="majorBidi"/>
          <w:i/>
          <w:noProof/>
        </w:rPr>
        <w:t>FATAWA: Journal of Islamic Religious Education</w:t>
      </w:r>
      <w:r w:rsidRPr="00D20395">
        <w:rPr>
          <w:rFonts w:asciiTheme="majorBidi" w:hAnsiTheme="majorBidi" w:cstheme="majorBidi"/>
          <w:noProof/>
        </w:rPr>
        <w:t xml:space="preserve"> 4, no. 1 (2023): 111–24.</w:t>
      </w:r>
      <w:r w:rsidRPr="00D20395">
        <w:rPr>
          <w:rFonts w:asciiTheme="majorBidi" w:hAnsiTheme="majorBidi" w:cstheme="majorBidi"/>
        </w:rPr>
        <w:fldChar w:fldCharType="end"/>
      </w:r>
      <w:r w:rsidRPr="00251789">
        <w:rPr>
          <w:sz w:val="24"/>
          <w:szCs w:val="24"/>
        </w:rPr>
        <w:t xml:space="preserve"> </w:t>
      </w:r>
      <w:hyperlink r:id="rId27" w:history="1">
        <w:r w:rsidRPr="00251789">
          <w:rPr>
            <w:rStyle w:val="Hyperlink"/>
            <w:rFonts w:asciiTheme="majorBidi" w:hAnsiTheme="majorBidi" w:cstheme="majorBidi"/>
          </w:rPr>
          <w:t>https://doi.org/10.37812/fatawa.v4i1.1540</w:t>
        </w:r>
      </w:hyperlink>
    </w:p>
  </w:footnote>
  <w:footnote w:id="40">
    <w:p w14:paraId="243EBF98" w14:textId="77777777" w:rsidR="00546849" w:rsidRPr="00D20395" w:rsidRDefault="00546849" w:rsidP="005072D2">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{"citationItems":[{"id":"ITEM-1","itemData":{"ISSN":"2808-831X","author":[{"dropping-particle":"","family":"Brutu","given":"Saparutdin","non-dropping-particle":"","parse-names":false,"suffix":""},{"dropping-particle":"","family":"Sihombing","given":"Frans Togu","non-dropping-particle":"","parse-names":false,"suffix":""},{"dropping-particle":"","family":"Aridho","given":"Ahmad","non-dropping-particle":"","parse-names":false,"suffix":""}],"container-title":"Jurnal Pusat Studi Pendidikan Rakyat","id":"ITEM-1","issued":{"date-parts":[["2023"]]},"page":"53-61","title":"Konsep Filosofis Pertuturen Sulang Silima Suku Pakpak Dalam Menjaga Persatuan Dan Kerukunan Di Tengah Keluarga","type":"article-journal"},"uris":["http://www.mendeley.com/documents/?uuid=233d98fb-9915-4647-ab32-488aae87808a"]}],"mendeley":{"formattedCitation":"Saparutdin Brutu, Frans Togu Sihombing, and Ahmad Aridho, “Konsep Filosofis Pertuturen Sulang Silima Suku Pakpak Dalam Menjaga Persatuan Dan Kerukunan Di Tengah Keluarga,” &lt;i&gt;Jurnal Pusat Studi Pendidikan Rakyat&lt;/i&gt;, 2023, 53–61.","plainTextFormattedCitation":"Saparutdin Brutu, Frans Togu Sihombing, and Ahmad Aridho, “Konsep Filosofis Pertuturen Sulang Silima Suku Pakpak Dalam Menjaga Persatuan Dan Kerukunan Di Tengah Keluarga,” Jurnal Pusat Studi Pendidikan Rakyat, 2023, 53–61.","previouslyFormattedCitation":"Saparutdin Brutu, Frans Togu Sihombing, and Ahmad Aridho, “Konsep Filosofis Pertuturen Sulang Silima Suku Pakpak Dalam Menjaga Persatuan Dan Kerukunan Di Tengah Keluarga,” &lt;i&gt;Jurnal Pusat Studi Pendidikan Rakyat&lt;/i&gt;, 2023, 53–61."},"properties":{"noteIndex":43},"schema":"https://github.com/citation-style-language/schema/raw/master/csl-citation.json"}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Saparutdin Brutu, Frans Togu Sihombing, and Ahmad Aridho, "The Philosophical Concept of Sulang Silima Speech of the Pakpak Tribe in Maintaining Unity and Harmony in the Family," </w:t>
      </w:r>
      <w:r w:rsidRPr="00D20395">
        <w:rPr>
          <w:rFonts w:asciiTheme="majorBidi" w:hAnsiTheme="majorBidi" w:cstheme="majorBidi"/>
          <w:i/>
          <w:noProof/>
        </w:rPr>
        <w:t>Journal of the Center for the Study of People</w:t>
      </w:r>
      <w:r w:rsidRPr="00D20395">
        <w:rPr>
          <w:rFonts w:asciiTheme="majorBidi" w:hAnsiTheme="majorBidi" w:cstheme="majorBidi"/>
          <w:noProof/>
        </w:rPr>
        <w:t>'s Education, 2023, 53–61.</w:t>
      </w:r>
      <w:r w:rsidRPr="00D20395">
        <w:rPr>
          <w:rFonts w:asciiTheme="majorBidi" w:hAnsiTheme="majorBidi" w:cstheme="majorBidi"/>
        </w:rPr>
        <w:fldChar w:fldCharType="end"/>
      </w:r>
      <w:r w:rsidRPr="005072D2">
        <w:rPr>
          <w:sz w:val="24"/>
          <w:szCs w:val="24"/>
        </w:rPr>
        <w:t xml:space="preserve"> </w:t>
      </w:r>
      <w:hyperlink r:id="rId28" w:history="1">
        <w:r w:rsidRPr="005072D2">
          <w:rPr>
            <w:rStyle w:val="Hyperlink"/>
            <w:rFonts w:asciiTheme="majorBidi" w:hAnsiTheme="majorBidi" w:cstheme="majorBidi"/>
          </w:rPr>
          <w:t>https://doi.org/10.51178/jpspr.v3i2.1350</w:t>
        </w:r>
      </w:hyperlink>
    </w:p>
  </w:footnote>
  <w:footnote w:id="41">
    <w:p w14:paraId="21349550" w14:textId="77777777" w:rsidR="00546849" w:rsidRPr="00D20395" w:rsidRDefault="00546849" w:rsidP="005072D2">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{"citationItems":[{"id":"ITEM-1","itemData":{"ISSN":"2528-1658","author":[{"dropping-particle":"","family":"Santoso","given":"Lukman","non-dropping-particle":"","parse-names":false,"suffix":""},{"dropping-particle":"","family":"Musyayyadah","given":"Ulvi Rohmatul","non-dropping-particle":"","parse-names":false,"suffix":""}],"container-title":"De Jure: Jurnal Hukum dan Syar'iah","id":"ITEM-1","issue":"2","issued":{"date-parts":[["2025"]]},"page":"675-696","title":"Challenging Legal Injustice against Children in Incest Cases: A Progressive and Islamic Human Rights Approach","type":"article-journal","volume":"17"},"uris":["http://www.mendeley.com/documents/?uuid=871b1246-9544-44b8-8913-ee22cf989d66"]}],"mendeley":{"formattedCitation":"Lukman Santoso and Ulvi Rohmatul Musyayyadah, “Challenging Legal Injustice against Children in Incest Cases: A Progressive and Islamic Human Rights Approach,” &lt;i&gt;De Jure: Jurnal Hukum Dan Syar’iah&lt;/i&gt; 17, no. 2 (2025): 675–96.","plainTextFormattedCitation":"Lukman Santoso and Ulvi Rohmatul Musyayyadah, “Challenging Legal Injustice against Children in Incest Cases: A Progressive and Islamic Human Rights Approach,” De Jure: Jurnal Hukum Dan Syar’iah 17, no. 2 (2025): 675–96.","previouslyFormattedCitation":"Lukman Santoso and Ulvi Rohmatul Musyayyadah, “Challenging Legal Injustice against Children in Incest Cases: A Progressive and Islamic Human Rights Approach,” &lt;i&gt;De Jure: Jurnal Hukum Dan Syar’iah&lt;/i&gt; 17, no. 2 (2025): 675–96."},"properties":{"noteIndex":44},"schema":"https://github.com/citation-style-language/schema/raw/master/csl-citation.json"}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Lukman Santoso and Ulvi Rohmatul Musyayyadah, “Challenging Legal Injustice against Children in Incest Cases: A Progressive and Islamic Human Rights Approach,” </w:t>
      </w:r>
      <w:r w:rsidRPr="00D20395">
        <w:rPr>
          <w:rFonts w:asciiTheme="majorBidi" w:hAnsiTheme="majorBidi" w:cstheme="majorBidi"/>
          <w:i/>
          <w:noProof/>
        </w:rPr>
        <w:t>De Jure: Jurnal Hukum Dan Syar’iah</w:t>
      </w:r>
      <w:r w:rsidRPr="00D20395">
        <w:rPr>
          <w:rFonts w:asciiTheme="majorBidi" w:hAnsiTheme="majorBidi" w:cstheme="majorBidi"/>
          <w:noProof/>
        </w:rPr>
        <w:t xml:space="preserve"> 17, no. 2 (2025): 675–96.</w:t>
      </w:r>
      <w:r w:rsidRPr="00D20395">
        <w:rPr>
          <w:rFonts w:asciiTheme="majorBidi" w:hAnsiTheme="majorBidi" w:cstheme="majorBidi"/>
        </w:rPr>
        <w:fldChar w:fldCharType="end"/>
      </w:r>
      <w:r w:rsidRPr="005072D2">
        <w:rPr>
          <w:rFonts w:ascii="Tahoma" w:hAnsi="Tahoma" w:cs="Tahoma"/>
          <w:color w:val="222222"/>
          <w:sz w:val="18"/>
          <w:szCs w:val="18"/>
          <w:shd w:val="clear" w:color="auto" w:fill="FFFFFF"/>
        </w:rPr>
        <w:t xml:space="preserve">  </w:t>
      </w:r>
      <w:hyperlink r:id="rId29" w:history="1">
        <w:r w:rsidRPr="005072D2">
          <w:rPr>
            <w:rStyle w:val="Hyperlink"/>
            <w:rFonts w:asciiTheme="majorBidi" w:hAnsiTheme="majorBidi" w:cstheme="majorBidi"/>
          </w:rPr>
          <w:t>https://doi.org/10.18860/j-fsh.v17i2.36277</w:t>
        </w:r>
      </w:hyperlink>
    </w:p>
  </w:footnote>
  <w:footnote w:id="42">
    <w:p w14:paraId="7950D2BC"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{"citationItems":[{"id":"ITEM-1","itemData":{"ISBN":"2775-9121","author":[{"dropping-particle":"","family":"Saputra","given":"Johan","non-dropping-particle":"","parse-names":false,"suffix":""},{"dropping-particle":"","family":"Wardhana","given":"Indra Jaya Kusuma","non-dropping-particle":"","parse-names":false,"suffix":""},{"dropping-particle":"","family":"Pranata","given":"Arie Wahyu","non-dropping-particle":"","parse-names":false,"suffix":""}],"container-title":"Prosiding SeNSosio (Seminar Nasional Prodi Sosiologi)","id":"ITEM-1","issue":"1","issued":{"date-parts":[["2025"]]},"page":"471-479","title":"Reproduksi Sosial Dan Praktik Pernikahan Dini: Analisis Struktur Kemiskinan, Budaya, Dan Akses Pendidikan Masyarakat Pesisir Sampang Madura","type":"paper-conference","volume":"6"},"uris":["http://www.mendeley.com/documents/?uuid=6e5d8514-15a5-42de-9b8e-aabc4bb89542"]}],"mendeley":{"formattedCitation":"Johan Saputra, Indra Jaya Kusuma Wardhana, and Arie Wahyu Pranata, “Reproduksi Sosial Dan Praktik Pernikahan Dini: Analisis Struktur Kemiskinan, Budaya, Dan Akses Pendidikan Masyarakat Pesisir Sampang Madura,” in &lt;i&gt;Prosiding SeNSosio (Seminar Nasional Prodi Sosiologi)&lt;/i&gt;, vol. 6, 2025, 471–79.","plainTextFormattedCitation":"Johan Saputra, Indra Jaya Kusuma Wardhana, and Arie Wahyu Pranata, “Reproduksi Sosial Dan Praktik Pernikahan Dini: Analisis Struktur Kemiskinan, Budaya, Dan Akses Pendidikan Masyarakat Pesisir Sampang Madura,” in Prosiding SeNSosio (Seminar Nasional Prodi Sosiologi), vol. 6, 2025, 471–79.","previouslyFormattedCitation":"Johan Saputra, Indra Jaya Kusuma Wardhana, and Arie Wahyu Pranata, “Reproduksi Sosial Dan Praktik Pernikahan Dini: Analisis Struktur Kemiskinan, Budaya, Dan Akses Pendidikan Masyarakat Pesisir Sampang Madura,” in &lt;i&gt;Prosiding SeNSosio (Seminar Nasional Prodi Sosiologi)&lt;/i&gt;, vol. 6, 2025, 471–79."},"properties":{"noteIndex":45},"schema":"https://github.com/citation-style-language/schema/raw/master/csl-citation.json"}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Johan Saputra, Indra Jaya Kusuma Wardhana, and Arie Wahyu Pranata, "Social Reproduction and Early Marriage Practices: An Analysis of the Structure of Poverty, Culture, and Access to Education of the Coastal Community of Sampang Madura," in </w:t>
      </w:r>
      <w:r w:rsidRPr="00D20395">
        <w:rPr>
          <w:rFonts w:asciiTheme="majorBidi" w:hAnsiTheme="majorBidi" w:cstheme="majorBidi"/>
          <w:i/>
          <w:noProof/>
        </w:rPr>
        <w:t>Proceedings of SeNSosio (National Seminar of Sociology Study Program),</w:t>
      </w:r>
      <w:r w:rsidRPr="00D20395">
        <w:rPr>
          <w:rFonts w:asciiTheme="majorBidi" w:hAnsiTheme="majorBidi" w:cstheme="majorBidi"/>
          <w:noProof/>
        </w:rPr>
        <w:t xml:space="preserve"> vol. 6, 2025, 471–79.</w:t>
      </w:r>
      <w:r w:rsidRPr="00D20395">
        <w:rPr>
          <w:rFonts w:asciiTheme="majorBidi" w:hAnsiTheme="majorBidi" w:cstheme="majorBidi"/>
        </w:rPr>
        <w:fldChar w:fldCharType="end"/>
      </w:r>
    </w:p>
  </w:footnote>
  <w:footnote w:id="43">
    <w:p w14:paraId="621878D7" w14:textId="321531FC" w:rsidR="00546849" w:rsidRDefault="00546849" w:rsidP="005072D2">
      <w:pPr>
        <w:pStyle w:val="FootnoteText"/>
        <w:jc w:val="both"/>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{"citationItems":[{"id":"ITEM-1","itemData":{"ISSN":"2962-861X","author":[{"dropping-particle":"","family":"Najamudin","given":"Atho’ilah Aly","non-dropping-particle":"","parse-names":false,"suffix":""},{"dropping-particle":"","family":"Iqbal","given":"Mohammad","non-dropping-particle":"","parse-names":false,"suffix":""}],"container-title":"Islamic Economics And Finance Journal","id":"ITEM-1","issue":"1","issued":{"date-parts":[["2023"]]},"page":"48-54","title":"Eksistensi Pelaku Umkm Batik: Life Story Pembaktik Desa Banjar Banyuwangi","type":"article-journal","volume":"2"},"uris":["http://www.mendeley.com/documents/?uuid=5a091c0f-c478-4490-9bd2-e363e01114d9"]}],"mendeley":{"formattedCitation":"Atho’ilah Aly Najamudin and Mohammad Iqbal, “Eksistensi Pelaku Umkm Batik: Life Story Pembaktik Desa Banjar Banyuwangi,” &lt;i&gt;Islamic Economics And Finance Journal&lt;/i&gt; 2, no. 1 (2023): 48–54.","plainTextFormattedCitation":"Atho’ilah Aly Najamudin and Mohammad Iqbal, “Eksistensi Pelaku Umkm Batik: Life Story Pembaktik Desa Banjar Banyuwangi,” Islamic Economics And Finance Journal 2, no. 1 (2023): 48–54.","previouslyFormattedCitation":"Atho’ilah Aly Najamudin and Mohammad Iqbal, “Eksistensi Pelaku Umkm Batik: Life Story Pembaktik Desa Banjar Banyuwangi,” &lt;i&gt;Islamic Economics And Finance Journal&lt;/i&gt; 2, no. 1 (2023): 48–54."},"properties":{"noteIndex":46},"schema":"https://github.com/citation-style-language/schema/raw/master/csl-citation.json"}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Atho'ilah Aly Najamudin and Mohammad Iqbal, "The Existence of Batik MSME Actors: The Life Story of Banjar Banyuwangi Village Actors," </w:t>
      </w:r>
      <w:r w:rsidRPr="00D20395">
        <w:rPr>
          <w:rFonts w:asciiTheme="majorBidi" w:hAnsiTheme="majorBidi" w:cstheme="majorBidi"/>
          <w:i/>
          <w:noProof/>
        </w:rPr>
        <w:t>Islamic Economics And Finance Journal</w:t>
      </w:r>
      <w:r w:rsidRPr="00D20395">
        <w:rPr>
          <w:rFonts w:asciiTheme="majorBidi" w:hAnsiTheme="majorBidi" w:cstheme="majorBidi"/>
          <w:noProof/>
        </w:rPr>
        <w:t xml:space="preserve"> 2, no. 1 (2023): 48–54.</w:t>
      </w:r>
      <w:r w:rsidRPr="00D20395">
        <w:rPr>
          <w:rFonts w:asciiTheme="majorBidi" w:hAnsiTheme="majorBidi" w:cstheme="majorBidi"/>
        </w:rPr>
        <w:fldChar w:fldCharType="end"/>
      </w:r>
      <w:r w:rsidR="00F22625">
        <w:rPr>
          <w:sz w:val="24"/>
          <w:szCs w:val="24"/>
        </w:rPr>
        <w:t xml:space="preserve"> </w:t>
      </w:r>
      <w:hyperlink r:id="rId30" w:history="1">
        <w:r w:rsidR="00F22625" w:rsidRPr="009E7968">
          <w:rPr>
            <w:rStyle w:val="Hyperlink"/>
            <w:rFonts w:asciiTheme="majorBidi" w:hAnsiTheme="majorBidi" w:cstheme="majorBidi"/>
          </w:rPr>
          <w:t>https://doi.org/10.62005/iseco.v2i1.33</w:t>
        </w:r>
      </w:hyperlink>
    </w:p>
  </w:footnote>
  <w:footnote w:id="44">
    <w:p w14:paraId="5FE0ACF1" w14:textId="77777777" w:rsidR="00546849" w:rsidRPr="00D20395" w:rsidRDefault="00546849" w:rsidP="005072D2">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{"citationItems":[{"id":"ITEM-1","itemData":{"ISSN":"3047-0064","author":[{"dropping-particle":"","family":"Fauzan","given":"Riantama Sulthana","non-dropping-particle":"","parse-names":false,"suffix":""},{"dropping-particle":"","family":"Sugiharti","given":"Endang","non-dropping-particle":"","parse-names":false,"suffix":""}],"container-title":"Journal of Economic Resilience and Sustainable Development","id":"ITEM-1","issue":"1","issued":{"date-parts":[["2024"]]},"page":"1-19","title":"Perubahan nilai kedaulatan pangan pada sistem pertanian subak di Bali dengan pendekatan life story","type":"article-journal","volume":"1"},"uris":["http://www.mendeley.com/documents/?uuid=1360d234-0540-47bd-a0ae-116b54e5b9f9"]}],"mendeley":{"formattedCitation":"Riantama Sulthana Fauzan and Endang Sugiharti, “Perubahan Nilai Kedaulatan Pangan Pada Sistem Pertanian Subak Di Bali Dengan Pendekatan Life Story,” &lt;i&gt;Journal of Economic Resilience and Sustainable Development&lt;/i&gt; 1, no. 1 (2024): 1–19.","plainTextFormattedCitation":"Riantama Sulthana Fauzan and Endang Sugiharti, “Perubahan Nilai Kedaulatan Pangan Pada Sistem Pertanian Subak Di Bali Dengan Pendekatan Life Story,” Journal of Economic Resilience and Sustainable Development 1, no. 1 (2024): 1–19.","previouslyFormattedCitation":"Riantama Sulthana Fauzan and Endang Sugiharti, “Perubahan Nilai Kedaulatan Pangan Pada Sistem Pertanian Subak Di Bali Dengan Pendekatan Life Story,” &lt;i&gt;Journal of Economic Resilience and Sustainable Development&lt;/i&gt; 1, no. 1 (2024): 1–19."},"properties":{"noteIndex":47},"schema":"https://github.com/citation-style-language/schema/raw/master/csl-citation.json"}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Riantama Sulthana Fauzan and Endang Sugiharti, "Changes in Food Sovereignty Value in Subak Agricultural System in Bali with a Life Story Approach," </w:t>
      </w:r>
      <w:r w:rsidRPr="00D20395">
        <w:rPr>
          <w:rFonts w:asciiTheme="majorBidi" w:hAnsiTheme="majorBidi" w:cstheme="majorBidi"/>
          <w:i/>
          <w:noProof/>
        </w:rPr>
        <w:t>Journal of Economic Resilience and Sustainable Development</w:t>
      </w:r>
      <w:r w:rsidRPr="00D20395">
        <w:rPr>
          <w:rFonts w:asciiTheme="majorBidi" w:hAnsiTheme="majorBidi" w:cstheme="majorBidi"/>
          <w:noProof/>
        </w:rPr>
        <w:t xml:space="preserve"> 1, no. 1 (2024): 1–19.</w:t>
      </w:r>
      <w:r w:rsidRPr="00D20395">
        <w:rPr>
          <w:rFonts w:asciiTheme="majorBidi" w:hAnsiTheme="majorBidi" w:cstheme="majorBidi"/>
        </w:rPr>
        <w:fldChar w:fldCharType="end"/>
      </w:r>
      <w:r w:rsidRPr="005072D2">
        <w:rPr>
          <w:sz w:val="24"/>
          <w:szCs w:val="24"/>
        </w:rPr>
        <w:t xml:space="preserve"> </w:t>
      </w:r>
      <w:hyperlink r:id="rId31" w:history="1">
        <w:r w:rsidRPr="005072D2">
          <w:rPr>
            <w:rStyle w:val="Hyperlink"/>
            <w:rFonts w:asciiTheme="majorBidi" w:hAnsiTheme="majorBidi" w:cstheme="majorBidi"/>
          </w:rPr>
          <w:t>https://doi.org/10.61511/ersud.v1i1.2024.473</w:t>
        </w:r>
      </w:hyperlink>
    </w:p>
  </w:footnote>
  <w:footnote w:id="45">
    <w:p w14:paraId="11BAC4BF"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{"citationItems":[{"id":"ITEM-1","itemData":{"ISSN":"2614-3135","author":[{"dropping-particle":"","family":"Munthe","given":"Hadriana Marhaeni","non-dropping-particle":"","parse-names":false,"suffix":""},{"dropping-particle":"","family":"Daulay","given":"Harmona","non-dropping-particle":"","parse-names":false,"suffix":""},{"dropping-particle":"","family":"Napsiah","given":"Napsiah","non-dropping-particle":"","parse-names":false,"suffix":""}],"container-title":"KURIOS (Jurnal Teologi dan Pendidikan Agama Kristen)","id":"ITEM-1","issue":"2","issued":{"date-parts":[["2020"]]},"page":"380-396","title":"Kebertahanan Janda Kristen Batak Toba dalam Hidup Menjanda Setelah Cerai Mati dan Cerai Hidup","type":"article-journal","volume":"6"},"uris":["http://www.mendeley.com/documents/?uuid=4e436c0a-776a-4dad-8ab8-8c329d39b724"]}],"mendeley":{"formattedCitation":"Hadriana Marhaeni Munthe, Harmona Daulay, and Napsiah Napsiah, “Kebertahanan Janda Kristen Batak Toba Dalam Hidup Menjanda Setelah Cerai Mati Dan Cerai Hidup,” &lt;i&gt;KURIOS (Jurnal Teologi Dan Pendidikan Agama Kristen)&lt;/i&gt; 6, no. 2 (2020): 380–96.","plainTextFormattedCitation":"Hadriana Marhaeni Munthe, Harmona Daulay, and Napsiah Napsiah, “Kebertahanan Janda Kristen Batak Toba Dalam Hidup Menjanda Setelah Cerai Mati Dan Cerai Hidup,” KURIOS (Jurnal Teologi Dan Pendidikan Agama Kristen) 6, no. 2 (2020): 380–96.","previouslyFormattedCitation":"Hadriana Marhaeni Munthe, Harmona Daulay, and Napsiah Napsiah, “Kebertahanan Janda Kristen Batak Toba Dalam Hidup Menjanda Setelah Cerai Mati Dan Cerai Hidup,” &lt;i&gt;KURIOS (Jurnal Teologi Dan Pendidikan Agama Kristen)&lt;/i&gt; 6, no. 2 (2020): 380–96."},"properties":{"noteIndex":48},"schema":"https://github.com/citation-style-language/schema/raw/master/csl-citation.json"}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Hadriana Marhaeni Munthe, Harmona Daulay, and Napsiah Napsiah, "The Survival of Batak Toba Christian Widows in the Life of Widowhood after Divorce and Divorce for Life," </w:t>
      </w:r>
      <w:r w:rsidRPr="00D20395">
        <w:rPr>
          <w:rFonts w:asciiTheme="majorBidi" w:hAnsiTheme="majorBidi" w:cstheme="majorBidi"/>
          <w:i/>
          <w:noProof/>
        </w:rPr>
        <w:t>KURIOS (Journal of Christian Theology and Religious Education)</w:t>
      </w:r>
      <w:r w:rsidRPr="00D20395">
        <w:rPr>
          <w:rFonts w:asciiTheme="majorBidi" w:hAnsiTheme="majorBidi" w:cstheme="majorBidi"/>
          <w:noProof/>
        </w:rPr>
        <w:t xml:space="preserve"> 6, no. 2 (2020): 380–96.</w:t>
      </w:r>
      <w:r w:rsidRPr="00D20395">
        <w:rPr>
          <w:rFonts w:asciiTheme="majorBidi" w:hAnsiTheme="majorBidi" w:cstheme="majorBidi"/>
        </w:rPr>
        <w:fldChar w:fldCharType="end"/>
      </w:r>
    </w:p>
  </w:footnote>
  <w:footnote w:id="46">
    <w:p w14:paraId="5377D849" w14:textId="77777777" w:rsidR="00546849" w:rsidRDefault="00546849" w:rsidP="005072D2">
      <w:pPr>
        <w:pStyle w:val="FootnoteText"/>
        <w:jc w:val="both"/>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{"citationItems":[{"id":"ITEM-1","itemData":{"ISSN":"2407-1587","author":[{"dropping-particle":"","family":"Sandora","given":"Meri","non-dropping-particle":"","parse-names":false,"suffix":""}],"container-title":"Marwah: Jurnal Perempuan, Agama dan Jender","id":"ITEM-1","issue":"2","issued":{"date-parts":[["2019"]]},"page":"196-216","title":"Konsep pendidkan anak marginal dalam perspektif pendidikan berbasis masyarakat","type":"article-journal","volume":"18"},"uris":["http://www.mendeley.com/documents/?uuid=5fae8751-2ab1-44c6-b668-2f4f327249ff"]}],"mendeley":{"formattedCitation":"Meri Sandora, “Konsep Pendidkan Anak Marginal Dalam Perspektif Pendidikan Berbasis Masyarakat,” &lt;i&gt;Marwah: Jurnal Perempuan, Agama Dan Jender&lt;/i&gt; 18, no. 2 (2019): 196–216.","plainTextFormattedCitation":"Meri Sandora, “Konsep Pendidkan Anak Marginal Dalam Perspektif Pendidikan Berbasis Masyarakat,” Marwah: Jurnal Perempuan, Agama Dan Jender 18, no. 2 (2019): 196–216.","previouslyFormattedCitation":"Meri Sandora, “Konsep Pendidkan Anak Marginal Dalam Perspektif Pendidikan Berbasis Masyarakat,” &lt;i&gt;Marwah: Jurnal Perempuan, Agama Dan Jender&lt;/i&gt; 18, no. 2 (2019): 196–216."},"properties":{"noteIndex":49},"schema":"https://github.com/citation-style-language/schema/raw/master/csl-citation.json"}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Meri Sandora, "The Concept of Marginalized Children's Education in the Perspective of Community-Based Education," </w:t>
      </w:r>
      <w:r w:rsidRPr="00D20395">
        <w:rPr>
          <w:rFonts w:asciiTheme="majorBidi" w:hAnsiTheme="majorBidi" w:cstheme="majorBidi"/>
          <w:i/>
          <w:noProof/>
        </w:rPr>
        <w:t>Marwah: Journal of Women, Religion and Gender</w:t>
      </w:r>
      <w:r w:rsidRPr="00D20395">
        <w:rPr>
          <w:rFonts w:asciiTheme="majorBidi" w:hAnsiTheme="majorBidi" w:cstheme="majorBidi"/>
          <w:noProof/>
        </w:rPr>
        <w:t xml:space="preserve"> 18, no. 2 (2019): 196–216.</w:t>
      </w:r>
      <w:r w:rsidRPr="00D20395">
        <w:rPr>
          <w:rFonts w:asciiTheme="majorBidi" w:hAnsiTheme="majorBidi" w:cstheme="majorBidi"/>
        </w:rPr>
        <w:fldChar w:fldCharType="end"/>
      </w:r>
      <w:r w:rsidRPr="005072D2">
        <w:rPr>
          <w:sz w:val="24"/>
          <w:szCs w:val="24"/>
        </w:rPr>
        <w:t xml:space="preserve"> </w:t>
      </w:r>
      <w:hyperlink r:id="rId32" w:history="1">
        <w:r w:rsidRPr="005072D2">
          <w:rPr>
            <w:rStyle w:val="Hyperlink"/>
            <w:rFonts w:asciiTheme="majorBidi" w:hAnsiTheme="majorBidi" w:cstheme="majorBidi"/>
          </w:rPr>
          <w:t>http://dx.doi.org/10.24014/marwah.v18i2.7588</w:t>
        </w:r>
      </w:hyperlink>
    </w:p>
  </w:footnote>
  <w:footnote w:id="47">
    <w:p w14:paraId="210F2424" w14:textId="77777777" w:rsidR="00546849" w:rsidRPr="00D20395" w:rsidRDefault="00546849" w:rsidP="006E19BC">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{"citationItems":[{"id":"ITEM-1","itemData":{"ISSN":"2528-1658","author":[{"dropping-particle":"","family":"Jafar","given":"Wahyu Abdul","non-dropping-particle":"","parse-names":false,"suffix":""},{"dropping-particle":"","family":"Asmara","given":"Musda","non-dropping-particle":"","parse-names":false,"suffix":""},{"dropping-particle":"","family":"Faizin","given":"Mu'adil","non-dropping-particle":"","parse-names":false,"suffix":""},{"dropping-particle":"","family":"Octavianne","given":"Helena","non-dropping-particle":"","parse-names":false,"suffix":""},{"dropping-particle":"","family":"Kisworo","given":"Budi","non-dropping-particle":"","parse-names":false,"suffix":""}],"container-title":"De Jure: Jurnal Hukum dan Syar'iah","id":"ITEM-1","issue":"1","issued":{"date-parts":[["2024"]]},"page":"212-233","title":"Philosophical Foundations and Human Rights in the Bajapuik Tradition: Bridging Local Wisdom and Islamic Law in Minangkabau Marriage Practices","type":"article-journal","volume":"16"},"uris":["http://www.mendeley.com/documents/?uuid=b6a1f2d1-8ef4-425b-b423-77268cbbbc2a"]}],"mendeley":{"formattedCitation":"Wahyu Abdul Jafar et al., “Philosophical Foundations and Human Rights in the Bajapuik Tradition: Bridging Local Wisdom and Islamic Law in Minangkabau Marriage Practices,” &lt;i&gt;De Jure: Jurnal Hukum Dan Syar’iah&lt;/i&gt; 16, no. 1 (2024): 212–33.","plainTextFormattedCitation":"Wahyu Abdul Jafar et al., “Philosophical Foundations and Human Rights in the Bajapuik Tradition: Bridging Local Wisdom and Islamic Law in Minangkabau Marriage Practices,” De Jure: Jurnal Hukum Dan Syar’iah 16, no. 1 (2024): 212–33.","previouslyFormattedCitation":"Wahyu Abdul Jafar et al., “Philosophical Foundations and Human Rights in the Bajapuik Tradition: Bridging Local Wisdom and Islamic Law in Minangkabau Marriage Practices,” &lt;i&gt;De Jure: Jurnal Hukum Dan Syar’iah&lt;/i&gt; 16, no. 1 (2024): 212–33."},"properties":{"noteIndex":50},"schema":"https://github.com/citation-style-language/schema/raw/master/csl-citation.json"}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Wahyu Abdul Jafar et al., “Philosophical Foundations and Human Rights in the Bajapuik Tradition: Bridging Local Wisdom and Islamic Law in Minangkabau Marriage Practices,” </w:t>
      </w:r>
      <w:r w:rsidRPr="00D20395">
        <w:rPr>
          <w:rFonts w:asciiTheme="majorBidi" w:hAnsiTheme="majorBidi" w:cstheme="majorBidi"/>
          <w:i/>
          <w:noProof/>
        </w:rPr>
        <w:t>De Jure: Jurnal Hukum Dan Syar’iah</w:t>
      </w:r>
      <w:r w:rsidRPr="00D20395">
        <w:rPr>
          <w:rFonts w:asciiTheme="majorBidi" w:hAnsiTheme="majorBidi" w:cstheme="majorBidi"/>
          <w:noProof/>
        </w:rPr>
        <w:t xml:space="preserve"> 16, no. 1 (2024): 212–33.</w:t>
      </w:r>
      <w:r w:rsidRPr="00D20395">
        <w:rPr>
          <w:rFonts w:asciiTheme="majorBidi" w:hAnsiTheme="majorBidi" w:cstheme="majorBidi"/>
        </w:rPr>
        <w:fldChar w:fldCharType="end"/>
      </w:r>
      <w:r w:rsidRPr="006E19BC">
        <w:rPr>
          <w:rFonts w:ascii="Tahoma" w:hAnsi="Tahoma" w:cs="Tahoma"/>
          <w:color w:val="222222"/>
          <w:sz w:val="18"/>
          <w:szCs w:val="18"/>
        </w:rPr>
        <w:t xml:space="preserve"> </w:t>
      </w:r>
      <w:hyperlink r:id="rId33" w:history="1">
        <w:r w:rsidRPr="006E19BC">
          <w:rPr>
            <w:rStyle w:val="Hyperlink"/>
            <w:rFonts w:asciiTheme="majorBidi" w:hAnsiTheme="majorBidi" w:cstheme="majorBidi"/>
          </w:rPr>
          <w:t>https://doi.org/10.18860/j-fsh.v16i1.27681</w:t>
        </w:r>
      </w:hyperlink>
    </w:p>
  </w:footnote>
  <w:footnote w:id="48">
    <w:p w14:paraId="7CEB72A0"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{"citationItems":[{"id":"ITEM-1","itemData":{"DOI":"10.1080/13642529.2022.2037864","ISSN":"13642529","abstract":"The concept ‘patriarchy’ has endured decline in use by historians despite calls for its redemption. One of the main reasons is that uses of ‘patriarchy’ fall into potentially clashing categories: There are theories of ‘patriarchy’ as hierarchical authority in the family and there are theories of ‘patriarchy’ as a ubiquitous or universal structure through which men dominate women. I suggest that the first is more useful because it allows for a better historically situated understanding of patriarchal power. Yet, patriarchy as hierarchical authority is less applicable as a toolbox to understand gender history diachronically, something patriarchy as universal structure aspired to, and a project that we should not abandon along with the abandonment of patriarchy as universal structure. Instead, I argue for an understanding of patriarchal power as something that can help us think about how gendered bodies move through time. By turning more explicitly to the way in which patriarchal power appropriates the body and claims natural and universal status, it can be a potential conceptual tool in the historian’s toolbox that helps us address the challenge of diachronic history of gendered bodies without resorting to a biological essentialism.","author":[{"dropping-particle":"","family":"Pierik","given":"Bob","non-dropping-particle":"","parse-names":false,"suffix":""}],"container-title":"Rethinking History","id":"ITEM-1","issue":"1","issued":{"date-parts":[["2022"]]},"page":"71-92","publisher":"Routledge","title":"Patriarchal power as a conceptual tool for gender history","type":"article-journal","volume":"26"},"uris":["http://www.mendeley.com/documents/?uuid=0bab7990-126c-4cb9-9c7d-ea86a6287ad8","http://www.mendeley.com/documents/?uuid=f1ccc599-104b-4e1e-883a-1b16b7d51174"]}],"mendeley":{"formattedCitation":"Bob Pierik, “Patriarchal Power as a Conceptual Tool for Gender History,” &lt;i&gt;Rethinking History&lt;/i&gt; 26, no. 1 (2022): 71–92, https://doi.org/10.1080/13642529.2022.2037864.","plainTextFormattedCitation":"Bob Pierik, “Patriarchal Power as a Conceptual Tool for Gender History,” Rethinking History 26, no. 1 (2022): 71–92, https://doi.org/10.1080/13642529.2022.2037864.","previouslyFormattedCitation":"Bob Pierik, “Patriarchal Power as a Conceptual Tool for Gender History,” &lt;i&gt;Rethinking History&lt;/i&gt; 26, no. 1 (2022): 71–92, https://doi.org/10.1080/13642529.2022.2037864."},"properties":{"noteIndex":51},"schema":"https://github.com/citation-style-language/schema/raw/master/csl-citation.json"}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Bob Pierik, “Patriarchal Power as a Conceptual Tool for Gender History,” </w:t>
      </w:r>
      <w:r w:rsidRPr="00D20395">
        <w:rPr>
          <w:rFonts w:asciiTheme="majorBidi" w:hAnsiTheme="majorBidi" w:cstheme="majorBidi"/>
          <w:i/>
          <w:noProof/>
        </w:rPr>
        <w:t>Rethinking History</w:t>
      </w:r>
      <w:r w:rsidRPr="00D20395">
        <w:rPr>
          <w:rFonts w:asciiTheme="majorBidi" w:hAnsiTheme="majorBidi" w:cstheme="majorBidi"/>
          <w:noProof/>
        </w:rPr>
        <w:t xml:space="preserve"> 26, no. 1 (2022): 71–92, https://doi.org/10.1080/13642529.2022.2037864.</w:t>
      </w:r>
      <w:r w:rsidRPr="00D20395">
        <w:rPr>
          <w:rFonts w:asciiTheme="majorBidi" w:hAnsiTheme="majorBidi" w:cstheme="majorBidi"/>
        </w:rPr>
        <w:fldChar w:fldCharType="end"/>
      </w:r>
    </w:p>
  </w:footnote>
  <w:footnote w:id="49">
    <w:p w14:paraId="6F99666C"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{"citationItems":[{"id":"ITEM-1","itemData":{"DOI":"10.1016/j.cpa.2023.102625","ISSN":"10959955","abstract":"There are fewer women in the upper echelons of accounting academia in Italy than in other European countries, and fewer female full professors than in other disciplines at Italian universities. The purpose of this research is to investigate the barriers experienced by Italian women in accounting academia and contributes with suggestions to alleviate these. The paper adopts a phenomenographic approach to identify the ways in which a group of 24 Italian women, at different hierarchical levels, experienced barriers to their academic careers. The study identifies different categories of barriers that combine to prevent female perspectives and progression within accounting academia. Underpinning these barriers is a patriarchal culture that has a significant influence on women's careers in academia. The patriarchal structure in both the workplace and society, engenders difficulties in maintaining work-life balance, and shapes male and female roles in the academic workplace. The paper contributes to the literature on gender in the academic accounting discipline, exploring women's experiences of accounting academia, linking findings of a persistence of patriarchy, and arguing for a more feminist academic organisation. This is the first research in this area to use a phenomenographic method to investigate the barriers to career progression for Italian female academics in accounting and in examining the experience of women at different career levels, including those who have left accounting academia. The paper contributes to research on women's barriers to career advancement, bringing new insights to the understanding of the gender gap in accounting academia and in making suggestions for structural change.","author":[{"dropping-particle":"","family":"Galizzi","given":"Giovanna","non-dropping-particle":"","parse-names":false,"suffix":""},{"dropping-particle":"","family":"McBride","given":"Karen","non-dropping-particle":"","parse-names":false,"suffix":""},{"dropping-particle":"","family":"Siboni","given":"Benedetta","non-dropping-particle":"","parse-names":false,"suffix":""}],"container-title":"Critical Perspectives on Accounting","id":"ITEM-1","issued":{"date-parts":[["2024"]]},"page":"1-19","publisher":"Elsevier Ltd","title":"Patriarchy persists: Experiences of barriers to women's career progression in Italian accounting academia","type":"article-journal","volume":"99"},"uris":["http://www.mendeley.com/documents/?uuid=f9576ab8-6ba2-42e1-b814-b934757179cd","http://www.mendeley.com/documents/?uuid=78450330-ec67-4342-840e-5a6ca93c50d6"]}],"mendeley":{"formattedCitation":"Giovanna Galizzi, Karen McBride, and Benedetta Siboni, “Patriarchy Persists: Experiences of Barriers to Women’s Career Progression in Italian Accounting Academia,” &lt;i&gt;Critical Perspectives on Accounting&lt;/i&gt; 99 (2024): 1–19, https://doi.org/10.1016/j.cpa.2023.102625.","plainTextFormattedCitation":"Giovanna Galizzi, Karen McBride, and Benedetta Siboni, “Patriarchy Persists: Experiences of Barriers to Women’s Career Progression in Italian Accounting Academia,” Critical Perspectives on Accounting 99 (2024): 1–19, https://doi.org/10.1016/j.cpa.2023.102625.","previouslyFormattedCitation":"Giovanna Galizzi, Karen McBride, and Benedetta Siboni, “Patriarchy Persists: Experiences of Barriers to Women’s Career Progression in Italian Accounting Academia,” &lt;i&gt;Critical Perspectives on Accounting&lt;/i&gt; 99 (2024): 1–19, https://doi.org/10.1016/j.cpa.2023.102625."},"properties":{"noteIndex":52},"schema":"https://github.com/citation-style-language/schema/raw/master/csl-citation.json"}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Giovanna Galizzi, Karen McBride, and Benedetta Siboni, “Patriarchy Persists: Experiences of Barriers to Women’s Career Progression in Italian Accounting Academia,” </w:t>
      </w:r>
      <w:r w:rsidRPr="00D20395">
        <w:rPr>
          <w:rFonts w:asciiTheme="majorBidi" w:hAnsiTheme="majorBidi" w:cstheme="majorBidi"/>
          <w:i/>
          <w:noProof/>
        </w:rPr>
        <w:t>Critical Perspectives on Accounting</w:t>
      </w:r>
      <w:r w:rsidRPr="00D20395">
        <w:rPr>
          <w:rFonts w:asciiTheme="majorBidi" w:hAnsiTheme="majorBidi" w:cstheme="majorBidi"/>
          <w:noProof/>
        </w:rPr>
        <w:t xml:space="preserve"> 99 (2024): 1–19, https://doi.org/10.1016/j.cpa.2023.102625.</w:t>
      </w:r>
      <w:r w:rsidRPr="00D20395">
        <w:rPr>
          <w:rFonts w:asciiTheme="majorBidi" w:hAnsiTheme="majorBidi" w:cstheme="majorBidi"/>
        </w:rPr>
        <w:fldChar w:fldCharType="end"/>
      </w:r>
    </w:p>
  </w:footnote>
  <w:footnote w:id="50">
    <w:p w14:paraId="6AFB38A4"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{"citationItems":[{"id":"ITEM-1","itemData":{"author":[{"dropping-particle":"","family":"Walby","given":"Sylvia","non-dropping-particle":"","parse-names":false,"suffix":""}],"id":"ITEM-1","issued":{"date-parts":[["1990"]]},"publisher":"Oxford: Basic Blackwell Ltd","title":"Theorizing Patriarchy","type":"book"},"uris":["http://www.mendeley.com/documents/?uuid=a835eb30-9c40-418d-9509-6545be39b68c","http://www.mendeley.com/documents/?uuid=8daac785-e257-44eb-8ed6-d70339dee8e4"]}],"mendeley":{"formattedCitation":"Sylvia Walby, &lt;i&gt;Theorizing Patriarchy&lt;/i&gt; (Oxford: Basic Blackwell Ltd, 1990).","plainTextFormattedCitation":"Sylvia Walby, Theorizing Patriarchy (Oxford: Basic Blackwell Ltd, 1990).","previouslyFormattedCitation":"Sylvia Walby, &lt;i&gt;Theorizing Patriarchy&lt;/i&gt; (Oxford: Basic Blackwell Ltd, 1990)."},"properties":{"noteIndex":53},"schema":"https://github.com/citation-style-language/schema/raw/master/csl-citation.json"}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Sylvia Walby, </w:t>
      </w:r>
      <w:r w:rsidRPr="00D20395">
        <w:rPr>
          <w:rFonts w:asciiTheme="majorBidi" w:hAnsiTheme="majorBidi" w:cstheme="majorBidi"/>
          <w:i/>
          <w:noProof/>
        </w:rPr>
        <w:t>Theorizing Patriarchy</w:t>
      </w:r>
      <w:r w:rsidRPr="00D20395">
        <w:rPr>
          <w:rFonts w:asciiTheme="majorBidi" w:hAnsiTheme="majorBidi" w:cstheme="majorBidi"/>
          <w:noProof/>
        </w:rPr>
        <w:t xml:space="preserve"> (Oxford: Basic Blackwell Ltd, 1990).</w:t>
      </w:r>
      <w:r w:rsidRPr="00D20395">
        <w:rPr>
          <w:rFonts w:asciiTheme="majorBidi" w:hAnsiTheme="majorBidi" w:cstheme="majorBidi"/>
        </w:rPr>
        <w:fldChar w:fldCharType="end"/>
      </w:r>
    </w:p>
  </w:footnote>
  <w:footnote w:id="51">
    <w:p w14:paraId="42B8CBB6" w14:textId="77777777" w:rsidR="00546849" w:rsidRPr="00D20395" w:rsidRDefault="00546849" w:rsidP="006E19BC">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2528-1658","author":[{"dropping-particle":"","family":"Salam","given":"Nor","non-dropping-particle":"","parse-names":false,"suffix":""},{"dropping-particle":"","family":"Purnomo","given":"Agus","non-dropping-particle":"","parse-names":false,"suffix":""},{"dropping-particle":"","family":"Saifullah","given":"Saifullah","non-dropping-particle":"","parse-names":false,"suffix":""},{"dropping-particle":"","family":"Ahmad","given":"Sirojuddin","non-dropping-particle":"","parse-names":false,"suffix":""}],"container-title":"De Jure: Jurnal Hukum Dan Syar'iah","id":"ITEM-1","issue":"1","issued":{"date-parts":[["2024"]]},"page":"179-196","title":"Interfaith marriage from the perspective of rationality: Theocentrism in Islamic law and anthropocentrism in human rights law","type":"article-journal","volume":"16"},"uris":["http://www.mendeley.com/documents/?uuid=e58aca22-87b0-46e4-a84c-6bb58c3870fc"]}],"mendeley":{"formattedCitation":"Nor Salam et al., “Interfaith Marriage from the Perspective of Rationality: Theocentrism in Islamic Law and Anthropocentrism in Human Rights Law,” &lt;i&gt;De Jure: Jurnal Hukum Dan Syar’iah&lt;/i&gt; 16, no. 1 (2024): 179–96.","plainTextFormattedCitation":"Nor Salam et al., “Interfaith Marriage from the Perspective of Rationality: Theocentrism in Islamic Law and Anthropocentrism in Human Rights Law,” De Jure: Jurnal Hukum Dan Syar’iah 16, no. 1 (2024): 179–96.","previouslyFormattedCitation":"Nor Salam et al., “Interfaith Marriage from the Perspective of Rationality: Theocentrism in Islamic Law and Anthropocentrism in Human Rights Law,” &lt;i&gt;De Jure: Jurnal Hukum Dan Syar’iah&lt;/i&gt; 16, no. 1 (2024): 179–96."},"properties":{"noteIndex":54},"schema":"https://github.com/citation-style-language/schema/raw/master/csl-citation.json"}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Nor Salam et al., “Interfaith Marriage from the Perspective of Rationality: Theocentrism in Islamic Law and Anthropocentrism in Human Rights Law,” </w:t>
      </w:r>
      <w:r w:rsidRPr="00D20395">
        <w:rPr>
          <w:rFonts w:asciiTheme="majorBidi" w:hAnsiTheme="majorBidi" w:cstheme="majorBidi"/>
          <w:i/>
          <w:noProof/>
        </w:rPr>
        <w:t>De Jure: Jurnal Hukum Dan Syar’iah</w:t>
      </w:r>
      <w:r w:rsidRPr="00D20395">
        <w:rPr>
          <w:rFonts w:asciiTheme="majorBidi" w:hAnsiTheme="majorBidi" w:cstheme="majorBidi"/>
          <w:noProof/>
        </w:rPr>
        <w:t xml:space="preserve"> 16, no. 1 (2024): 179–96.</w:t>
      </w:r>
      <w:r w:rsidRPr="00D20395">
        <w:rPr>
          <w:rFonts w:asciiTheme="majorBidi" w:hAnsiTheme="majorBidi" w:cstheme="majorBidi"/>
        </w:rPr>
        <w:fldChar w:fldCharType="end"/>
      </w:r>
      <w:r w:rsidRPr="006E19BC">
        <w:rPr>
          <w:rFonts w:ascii="Tahoma" w:hAnsi="Tahoma" w:cs="Tahoma"/>
          <w:color w:val="222222"/>
          <w:sz w:val="18"/>
          <w:szCs w:val="18"/>
        </w:rPr>
        <w:t xml:space="preserve"> </w:t>
      </w:r>
      <w:hyperlink r:id="rId34" w:history="1">
        <w:r w:rsidRPr="006E19BC">
          <w:rPr>
            <w:rStyle w:val="Hyperlink"/>
            <w:rFonts w:asciiTheme="majorBidi" w:hAnsiTheme="majorBidi" w:cstheme="majorBidi"/>
          </w:rPr>
          <w:t>https://doi.org/10.18860/j-fsh.v16i1.23989</w:t>
        </w:r>
      </w:hyperlink>
    </w:p>
  </w:footnote>
  <w:footnote w:id="52">
    <w:p w14:paraId="466BE0C1"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{"citationItems":[{"id":"ITEM-1","itemData":{"DOI":"10.1111/gwao.13145","ISSN":"14680432","abstract":"In this paper I analyze 30 years of research on patriarchy in top management and organization studies (MOS) journals, and I map out an agenda for (re)igniting patriarchy as both a topic of study and lens for viewing key MOS issues in a new light. I organize my review (175 articles) around three themes: intersections, subjects, and contexts. By intersections I refer to the nuanced ways that scholars define patriarchy, adopting interdisciplinary and intersectional perspectives to understand the diversity of women's experiences under patriarchal domination. By subjects I refer to the primary focus on women's experiences, and on the ways that women's subjectivities are socially constituted and negotiated within patriarchal discourses of work and organizational life. By contexts I refer to the sites where MOS research has investigated patriarchy, as well as the ways this research has framed patriarchy itself as a context. Based on this thematic review, I outline a future research agenda to further refine the concept in MOS in three key ways. I call for increased research approaches that center the structural/political forces of patriarchy and gender, increased focus on the experiences of men as agents and subjects of patriarchal domination, and increased attention on patriarchy in Western contexts to redress the overrepresentation of research on patriarchy in the Global South. I conclude that patriarchy is an important line of inquiry for MOS, and that further attention to the concept would enable MOS research to contribute more fully to contemporary debates on gender.","author":[{"dropping-particle":"","family":"Ferry","given":"Nicole","non-dropping-particle":"","parse-names":false,"suffix":""}],"container-title":"Gender, Work and Organization","id":"ITEM-1","issue":"1","issued":{"date-parts":[["2025"]]},"page":"302-329","title":"Where is the patriarchy?: A review and research agenda for the concept of patriarchy in management and organization studies","type":"article-journal","volume":"32"},"uris":["http://www.mendeley.com/documents/?uuid=66637a12-8093-4fd3-90a1-f2dc6a7b1a1d","http://www.mendeley.com/documents/?uuid=992c49cd-f55f-4cf3-bd26-b8ee4b147bc8"]}],"mendeley":{"formattedCitation":"Nicole Ferry, “Where Is the Patriarchy?: A Review and Research Agenda for the Concept of Patriarchy in Management and Organization Studies,” &lt;i&gt;Gender, Work and Organization&lt;/i&gt; 32, no. 1 (2025): 302–29, https://doi.org/10.1111/gwao.13145.","plainTextFormattedCitation":"Nicole Ferry, “Where Is the Patriarchy?: A Review and Research Agenda for the Concept of Patriarchy in Management and Organization Studies,” Gender, Work and Organization 32, no. 1 (2025): 302–29, https://doi.org/10.1111/gwao.13145.","previouslyFormattedCitation":"Nicole Ferry, “Where Is the Patriarchy?: A Review and Research Agenda for the Concept of Patriarchy in Management and Organization Studies,” &lt;i&gt;Gender, Work and Organization&lt;/i&gt; 32, no. 1 (2025): 302–29, https://doi.org/10.1111/gwao.13145."},"properties":{"noteIndex":55},"schema":"https://github.com/citation-style-language/schema/raw/master/csl-citation.json"}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Nicole Ferry, “Where Is the Patriarchy?: A Review and Research Agenda for the Concept of Patriarchy in Management and Organization Studies,” </w:t>
      </w:r>
      <w:r w:rsidRPr="00D20395">
        <w:rPr>
          <w:rFonts w:asciiTheme="majorBidi" w:hAnsiTheme="majorBidi" w:cstheme="majorBidi"/>
          <w:i/>
          <w:noProof/>
        </w:rPr>
        <w:t>Gender, Work and Organization</w:t>
      </w:r>
      <w:r w:rsidRPr="00D20395">
        <w:rPr>
          <w:rFonts w:asciiTheme="majorBidi" w:hAnsiTheme="majorBidi" w:cstheme="majorBidi"/>
          <w:noProof/>
        </w:rPr>
        <w:t xml:space="preserve"> 32, no. 1 (2025): 302–29, https://doi.org/10.1111/gwao.13145.</w:t>
      </w:r>
      <w:r w:rsidRPr="00D20395">
        <w:rPr>
          <w:rFonts w:asciiTheme="majorBidi" w:hAnsiTheme="majorBidi" w:cstheme="majorBidi"/>
        </w:rPr>
        <w:fldChar w:fldCharType="end"/>
      </w:r>
    </w:p>
  </w:footnote>
  <w:footnote w:id="53">
    <w:p w14:paraId="0A26796D" w14:textId="77777777" w:rsidR="00546849" w:rsidRPr="00546849" w:rsidRDefault="00546849" w:rsidP="006E19BC">
      <w:pPr>
        <w:pStyle w:val="FootnoteText"/>
        <w:jc w:val="both"/>
        <w:rPr>
          <w:rFonts w:asciiTheme="majorBidi" w:hAnsiTheme="majorBidi" w:cstheme="majorBidi"/>
        </w:rPr>
      </w:pPr>
      <w:r w:rsidRPr="006E19BC">
        <w:rPr>
          <w:rStyle w:val="FootnoteReference"/>
          <w:rFonts w:asciiTheme="majorBidi" w:hAnsiTheme="majorBidi" w:cstheme="majorBidi"/>
        </w:rPr>
        <w:footnoteRef/>
      </w:r>
      <w:r w:rsidRPr="006E19BC">
        <w:rPr>
          <w:rFonts w:asciiTheme="majorBidi" w:hAnsiTheme="majorBidi" w:cstheme="majorBidi"/>
        </w:rPr>
        <w:t xml:space="preserve"> </w:t>
      </w:r>
      <w:r w:rsidRPr="006E19BC">
        <w:rPr>
          <w:rFonts w:asciiTheme="majorBidi" w:hAnsiTheme="majorBidi" w:cstheme="majorBidi"/>
        </w:rPr>
        <w:fldChar w:fldCharType="begin" w:fldLock="1"/>
      </w:r>
      <w:r w:rsidRPr="006E19BC">
        <w:rPr>
          <w:rFonts w:asciiTheme="majorBidi" w:hAnsiTheme="majorBidi" w:cstheme="majorBidi"/>
        </w:rPr>
        <w:instrText>ADDIN CSL_CITATION {"citationItems":[{"id":"ITEM-1","itemData":{"author":[{"dropping-particle":"","family":"Mks","given":"Kristianti","non-dropping-particle":"","parse-names":false,"suffix":""}],"id":"ITEM-1","issued":{"date-parts":[["2009"]]},"publisher":"UNS (Sebelas Maret University)","title":"Obsesi perempuan dalam menggapai kebebasan dan emansipasi","type":"article-journal"},"uris":["http://www.mendeley.com/documents/?uuid=6db69ff5-e8ef-4a32-849a-6e704927edca"]}],"mendeley":{"formattedCitation":"Kristianti Mks, “Obsesi Perempuan Dalam Menggapai Kebebasan Dan Emansipasi,” 2009.","plainTextFormattedCitation":"Kristianti Mks, “Obsesi Perempuan Dalam Menggapai Kebebasan Dan Emansipasi,” 2009.","previouslyFormattedCitation":"Kristianti Mks, “Obsesi Perempuan Dalam Menggapai Kebebasan Dan Emansipasi,” 2009."},"properties":{"noteIndex":56},"schema":"https://github.com/citation-style-language/schema/raw/master/csl-citation.json"}</w:instrText>
      </w:r>
      <w:r w:rsidRPr="006E19BC">
        <w:rPr>
          <w:rFonts w:asciiTheme="majorBidi" w:hAnsiTheme="majorBidi" w:cstheme="majorBidi"/>
        </w:rPr>
        <w:fldChar w:fldCharType="separate"/>
      </w:r>
      <w:r w:rsidRPr="006E19BC">
        <w:rPr>
          <w:rFonts w:asciiTheme="majorBidi" w:hAnsiTheme="majorBidi" w:cstheme="majorBidi"/>
          <w:noProof/>
        </w:rPr>
        <w:t>Kristianti Mks, "Women's Obsession in Achieving Freedom and Emancipation," 2009.</w:t>
      </w:r>
      <w:r w:rsidRPr="006E19BC">
        <w:rPr>
          <w:rFonts w:asciiTheme="majorBidi" w:hAnsiTheme="majorBidi" w:cstheme="majorBidi"/>
        </w:rPr>
        <w:fldChar w:fldCharType="end"/>
      </w:r>
    </w:p>
  </w:footnote>
  <w:footnote w:id="54">
    <w:p w14:paraId="010D0186" w14:textId="77777777" w:rsidR="00546849" w:rsidRPr="00546849" w:rsidRDefault="00546849" w:rsidP="006E19BC">
      <w:pPr>
        <w:pStyle w:val="FootnoteText"/>
        <w:jc w:val="both"/>
        <w:rPr>
          <w:rFonts w:asciiTheme="majorBidi" w:hAnsiTheme="majorBidi" w:cstheme="majorBidi"/>
        </w:rPr>
      </w:pPr>
      <w:r w:rsidRPr="006E19BC">
        <w:rPr>
          <w:rStyle w:val="FootnoteReference"/>
          <w:rFonts w:asciiTheme="majorBidi" w:hAnsiTheme="majorBidi" w:cstheme="majorBidi"/>
        </w:rPr>
        <w:footnoteRef/>
      </w:r>
      <w:r w:rsidRPr="006E19BC">
        <w:rPr>
          <w:rFonts w:asciiTheme="majorBidi" w:hAnsiTheme="majorBidi" w:cstheme="majorBidi"/>
        </w:rPr>
        <w:t xml:space="preserve"> </w:t>
      </w:r>
      <w:r w:rsidRPr="006E19BC">
        <w:rPr>
          <w:rFonts w:asciiTheme="majorBidi" w:hAnsiTheme="majorBidi" w:cstheme="majorBidi"/>
        </w:rPr>
        <w:fldChar w:fldCharType="begin" w:fldLock="1"/>
      </w:r>
      <w:r w:rsidRPr="006E19BC">
        <w:rPr>
          <w:rFonts w:asciiTheme="majorBidi" w:hAnsiTheme="majorBidi" w:cstheme="majorBidi"/>
        </w:rPr>
        <w:instrText>ADDIN CSL_CITATION {"citationItems":[{"id":"ITEM-1","itemData":{"ISSN":"2621-5977","author":[{"dropping-particle":"","family":"Naila","given":"Elsa","non-dropping-particle":"","parse-names":false,"suffix":""},{"dropping-particle":"","family":"Chynta","given":"Nazwa Archika","non-dropping-particle":"","parse-names":false,"suffix":""},{"dropping-particle":"","family":"Supena","given":"Ahmad","non-dropping-particle":"","parse-names":false,"suffix":""}],"container-title":"Jurnal Basataka (JBT)","id":"ITEM-1","issue":"1","issued":{"date-parts":[["2025"]]},"page":"564-572","title":"DOMINASI PATRIARKI DAN PERLAWANAN PEREMPUAN: STUDI FEMINISME TERHADAP NOVEL YUNI","type":"article-journal","volume":"8"},"uris":["http://www.mendeley.com/documents/?uuid=bc0c555a-2a66-4f4c-a303-218e315bf0fa"]}],"mendeley":{"formattedCitation":"Elsa Naila, Nazwa Archika Chynta, and Ahmad Supena, “DOMINASI PATRIARKI DAN PERLAWANAN PEREMPUAN: STUDI FEMINISME TERHADAP NOVEL YUNI,” &lt;i&gt;Jurnal Basataka (JBT)&lt;/i&gt; 8, no. 1 (2025): 564–72.","plainTextFormattedCitation":"Elsa Naila, Nazwa Archika Chynta, and Ahmad Supena, “DOMINASI PATRIARKI DAN PERLAWANAN PEREMPUAN: STUDI FEMINISME TERHADAP NOVEL YUNI,” Jurnal Basataka (JBT) 8, no. 1 (2025): 564–72.","previouslyFormattedCitation":"Elsa Naila, Nazwa Archika Chynta, and Ahmad Supena, “DOMINASI PATRIARKI DAN PERLAWANAN PEREMPUAN: STUDI FEMINISME TERHADAP NOVEL YUNI,” &lt;i&gt;Jurnal Basataka (JBT)&lt;/i&gt; 8, no. 1 (2025): 564–72."},"properties":{"noteIndex":57},"schema":"https://github.com/citation-style-language/schema/raw/master/csl-citation.json"}</w:instrText>
      </w:r>
      <w:r w:rsidRPr="006E19BC">
        <w:rPr>
          <w:rFonts w:asciiTheme="majorBidi" w:hAnsiTheme="majorBidi" w:cstheme="majorBidi"/>
        </w:rPr>
        <w:fldChar w:fldCharType="separate"/>
      </w:r>
      <w:r w:rsidRPr="006E19BC">
        <w:rPr>
          <w:rFonts w:asciiTheme="majorBidi" w:hAnsiTheme="majorBidi" w:cstheme="majorBidi"/>
          <w:noProof/>
        </w:rPr>
        <w:t xml:space="preserve">Elsa Naila, Nazwa Archika Chynta, and Ahmad Supena, "Patriarchal Domination and Women's Resistance: A Feminism Study of Yuni's Novel," </w:t>
      </w:r>
      <w:r w:rsidRPr="006E19BC">
        <w:rPr>
          <w:rFonts w:asciiTheme="majorBidi" w:hAnsiTheme="majorBidi" w:cstheme="majorBidi"/>
          <w:i/>
          <w:noProof/>
        </w:rPr>
        <w:t>Basataka Journal (JBT)</w:t>
      </w:r>
      <w:r w:rsidRPr="006E19BC">
        <w:rPr>
          <w:rFonts w:asciiTheme="majorBidi" w:hAnsiTheme="majorBidi" w:cstheme="majorBidi"/>
          <w:noProof/>
        </w:rPr>
        <w:t xml:space="preserve"> 8, no. 1 (2025): 564–72.</w:t>
      </w:r>
      <w:r w:rsidRPr="006E19BC">
        <w:rPr>
          <w:rFonts w:asciiTheme="majorBidi" w:hAnsiTheme="majorBidi" w:cstheme="majorBidi"/>
        </w:rPr>
        <w:fldChar w:fldCharType="end"/>
      </w:r>
      <w:r w:rsidRPr="006E19BC">
        <w:rPr>
          <w:sz w:val="24"/>
          <w:szCs w:val="24"/>
        </w:rPr>
        <w:t xml:space="preserve"> </w:t>
      </w:r>
      <w:hyperlink r:id="rId35" w:history="1">
        <w:r w:rsidRPr="006E19BC">
          <w:rPr>
            <w:rStyle w:val="Hyperlink"/>
            <w:rFonts w:asciiTheme="majorBidi" w:hAnsiTheme="majorBidi" w:cstheme="majorBidi"/>
          </w:rPr>
          <w:t>https://doi.org/10.36277/basataka.v8i1.732</w:t>
        </w:r>
      </w:hyperlink>
    </w:p>
  </w:footnote>
  <w:footnote w:id="55">
    <w:p w14:paraId="6B002A9F" w14:textId="77777777" w:rsidR="00546849" w:rsidRPr="00546849" w:rsidRDefault="00546849" w:rsidP="006E19BC">
      <w:pPr>
        <w:pStyle w:val="FootnoteText"/>
        <w:jc w:val="both"/>
      </w:pPr>
      <w:r w:rsidRPr="006E19BC">
        <w:rPr>
          <w:rStyle w:val="FootnoteReference"/>
          <w:rFonts w:asciiTheme="majorBidi" w:hAnsiTheme="majorBidi" w:cstheme="majorBidi"/>
        </w:rPr>
        <w:footnoteRef/>
      </w:r>
      <w:r w:rsidRPr="006E19BC">
        <w:rPr>
          <w:rFonts w:asciiTheme="majorBidi" w:hAnsiTheme="majorBidi" w:cstheme="majorBidi"/>
        </w:rPr>
        <w:t xml:space="preserve"> </w:t>
      </w:r>
      <w:r w:rsidRPr="006E19BC">
        <w:rPr>
          <w:rFonts w:asciiTheme="majorBidi" w:hAnsiTheme="majorBidi" w:cstheme="majorBidi"/>
        </w:rPr>
        <w:fldChar w:fldCharType="begin" w:fldLock="1"/>
      </w:r>
      <w:r w:rsidRPr="006E19BC">
        <w:rPr>
          <w:rFonts w:asciiTheme="majorBidi" w:hAnsiTheme="majorBidi" w:cstheme="majorBidi"/>
        </w:rPr>
        <w:instrText>ADDIN CSL_CITATION {"citationItems":[{"id":"ITEM-1","itemData":{"ISBN":"6231628760","author":[{"dropping-particle":"","family":"Taqwiem","given":"Ahsani","non-dropping-particle":"","parse-names":false,"suffix":""}],"id":"ITEM-1","issued":{"date-parts":[["2024"]]},"publisher":"Penerbit Adab","title":"Patriarki dan Perlawanan Perempuan dalam Konteks Bumi Manusia","type":"book"},"uris":["http://www.mendeley.com/documents/?uuid=51d3becc-4e0a-4ebe-afa0-86aa4e18b41f"]}],"mendeley":{"formattedCitation":"Ahsani Taqwiem, &lt;i&gt;Patriarki Dan Perlawanan Perempuan Dalam Konteks Bumi Manusia&lt;/i&gt; (Penerbit Adab, 2024).","plainTextFormattedCitation":"Ahsani Taqwiem, Patriarki Dan Perlawanan Perempuan Dalam Konteks Bumi Manusia (Penerbit Adab, 2024).","previouslyFormattedCitation":"Ahsani Taqwiem, &lt;i&gt;Patriarki Dan Perlawanan Perempuan Dalam Konteks Bumi Manusia&lt;/i&gt; (Penerbit Adab, 2024)."},"properties":{"noteIndex":58},"schema":"https://github.com/citation-style-language/schema/raw/master/csl-citation.json"}</w:instrText>
      </w:r>
      <w:r w:rsidRPr="006E19BC">
        <w:rPr>
          <w:rFonts w:asciiTheme="majorBidi" w:hAnsiTheme="majorBidi" w:cstheme="majorBidi"/>
        </w:rPr>
        <w:fldChar w:fldCharType="separate"/>
      </w:r>
      <w:r w:rsidRPr="006E19BC">
        <w:rPr>
          <w:rFonts w:asciiTheme="majorBidi" w:hAnsiTheme="majorBidi" w:cstheme="majorBidi"/>
          <w:noProof/>
        </w:rPr>
        <w:t xml:space="preserve">Ahsani Taqwiem, </w:t>
      </w:r>
      <w:r w:rsidRPr="006E19BC">
        <w:rPr>
          <w:rFonts w:asciiTheme="majorBidi" w:hAnsiTheme="majorBidi" w:cstheme="majorBidi"/>
          <w:i/>
          <w:noProof/>
        </w:rPr>
        <w:t>Patriarchy and Women's Resistance in the Context of Human Earth</w:t>
      </w:r>
      <w:r w:rsidRPr="006E19BC">
        <w:rPr>
          <w:rFonts w:asciiTheme="majorBidi" w:hAnsiTheme="majorBidi" w:cstheme="majorBidi"/>
          <w:noProof/>
        </w:rPr>
        <w:t xml:space="preserve"> (Adab Publisher, 2024).</w:t>
      </w:r>
      <w:r w:rsidRPr="006E19BC">
        <w:rPr>
          <w:rFonts w:asciiTheme="majorBidi" w:hAnsiTheme="majorBidi" w:cstheme="majorBidi"/>
        </w:rPr>
        <w:fldChar w:fldCharType="end"/>
      </w:r>
    </w:p>
  </w:footnote>
  <w:footnote w:id="56">
    <w:p w14:paraId="007017C5" w14:textId="77777777" w:rsidR="00546849" w:rsidRPr="00546849" w:rsidRDefault="00546849" w:rsidP="006E19BC">
      <w:pPr>
        <w:pStyle w:val="FootnoteText"/>
        <w:jc w:val="both"/>
        <w:rPr>
          <w:rFonts w:asciiTheme="majorBidi" w:hAnsiTheme="majorBidi" w:cstheme="majorBidi"/>
        </w:rPr>
      </w:pPr>
      <w:r w:rsidRPr="005D4507">
        <w:rPr>
          <w:rStyle w:val="FootnoteReference"/>
          <w:rFonts w:asciiTheme="majorBidi" w:hAnsiTheme="majorBidi" w:cstheme="majorBidi"/>
        </w:rPr>
        <w:footnoteRef/>
      </w:r>
      <w:r w:rsidRPr="005D4507">
        <w:rPr>
          <w:rFonts w:asciiTheme="majorBidi" w:hAnsiTheme="majorBidi" w:cstheme="majorBidi"/>
        </w:rPr>
        <w:t xml:space="preserve"> </w:t>
      </w:r>
      <w:r w:rsidRPr="005D4507">
        <w:rPr>
          <w:rFonts w:asciiTheme="majorBidi" w:hAnsiTheme="majorBidi" w:cstheme="majorBidi"/>
        </w:rPr>
        <w:fldChar w:fldCharType="begin" w:fldLock="1"/>
      </w:r>
      <w:r w:rsidRPr="005D4507">
        <w:rPr>
          <w:rFonts w:asciiTheme="majorBidi" w:hAnsiTheme="majorBidi" w:cstheme="majorBidi"/>
        </w:rPr>
        <w:instrText>ADDIN CSL_CITATION {"citationItems":[{"id":"ITEM-1","itemData":{"ISSN":"2807-7504","author":[{"dropping-particle":"","family":"Abror","given":"Muchlas","non-dropping-particle":"","parse-names":false,"suffix":""},{"dropping-particle":"","family":"Afrianti","given":"Hanifah Dwi","non-dropping-particle":"","parse-names":false,"suffix":""}],"container-title":"DEIKTIS: Jurnal Pendidikan Bahasa dan Sastra","id":"ITEM-1","issue":"1","issued":{"date-parts":[["2025"]]},"page":"326-347","title":"Representasi Perempuan dalam Lirik Lagu Sal Priadi: Antara Reproduksi dan Tantangan terhadap Norma Gender dalam Budaya Patriarki Indonesia","type":"article-journal","volume":"5"},"uris":["http://www.mendeley.com/documents/?uuid=3f7758ac-590c-4c30-bb05-f3b0813bdb39"]}],"mendeley":{"formattedCitation":"Muchlas Abror and Hanifah Dwi Afrianti, “Representasi Perempuan Dalam Lirik Lagu Sal Priadi: Antara Reproduksi Dan Tantangan Terhadap Norma Gender Dalam Budaya Patriarki Indonesia,” &lt;i&gt;DEIKTIS: Jurnal Pendidikan Bahasa Dan Sastra&lt;/i&gt; 5, no. 1 (2025): 326–47.","plainTextFormattedCitation":"Muchlas Abror and Hanifah Dwi Afrianti, “Representasi Perempuan Dalam Lirik Lagu Sal Priadi: Antara Reproduksi Dan Tantangan Terhadap Norma Gender Dalam Budaya Patriarki Indonesia,” DEIKTIS: Jurnal Pendidikan Bahasa Dan Sastra 5, no. 1 (2025): 326–47.","previouslyFormattedCitation":"Muchlas Abror and Hanifah Dwi Afrianti, “Representasi Perempuan Dalam Lirik Lagu Sal Priadi: Antara Reproduksi Dan Tantangan Terhadap Norma Gender Dalam Budaya Patriarki Indonesia,” &lt;i&gt;DEIKTIS: Jurnal Pendidikan Bahasa Dan Sastra&lt;/i&gt; 5, no. 1 (2025): 326–47."},"properties":{"noteIndex":59},"schema":"https://github.com/citation-style-language/schema/raw/master/csl-citation.json"}</w:instrText>
      </w:r>
      <w:r w:rsidRPr="005D4507">
        <w:rPr>
          <w:rFonts w:asciiTheme="majorBidi" w:hAnsiTheme="majorBidi" w:cstheme="majorBidi"/>
        </w:rPr>
        <w:fldChar w:fldCharType="separate"/>
      </w:r>
      <w:r w:rsidRPr="005D4507">
        <w:rPr>
          <w:rFonts w:asciiTheme="majorBidi" w:hAnsiTheme="majorBidi" w:cstheme="majorBidi"/>
          <w:noProof/>
        </w:rPr>
        <w:t xml:space="preserve">Muchlas Abror and Hanifah Dwi Afrianti, "Women's Representation in Sal Male Song Lyrics: Between Reproduction and Challenges to Gender Norms in Indonesian Patriarchal Culture," </w:t>
      </w:r>
      <w:r w:rsidRPr="005D4507">
        <w:rPr>
          <w:rFonts w:asciiTheme="majorBidi" w:hAnsiTheme="majorBidi" w:cstheme="majorBidi"/>
          <w:i/>
          <w:noProof/>
        </w:rPr>
        <w:t>DEIKTIS: Journal of Language and Literature Education</w:t>
      </w:r>
      <w:r w:rsidRPr="005D4507">
        <w:rPr>
          <w:rFonts w:asciiTheme="majorBidi" w:hAnsiTheme="majorBidi" w:cstheme="majorBidi"/>
          <w:noProof/>
        </w:rPr>
        <w:t xml:space="preserve"> 5, no. 1 (2025): 326–47.</w:t>
      </w:r>
      <w:r w:rsidRPr="005D4507">
        <w:rPr>
          <w:rFonts w:asciiTheme="majorBidi" w:hAnsiTheme="majorBidi" w:cstheme="majorBidi"/>
        </w:rPr>
        <w:fldChar w:fldCharType="end"/>
      </w:r>
      <w:r w:rsidRPr="006E19BC">
        <w:rPr>
          <w:sz w:val="24"/>
          <w:szCs w:val="24"/>
        </w:rPr>
        <w:t xml:space="preserve"> </w:t>
      </w:r>
      <w:hyperlink r:id="rId36" w:history="1">
        <w:r w:rsidRPr="006E19BC">
          <w:rPr>
            <w:rStyle w:val="Hyperlink"/>
            <w:rFonts w:asciiTheme="majorBidi" w:hAnsiTheme="majorBidi" w:cstheme="majorBidi"/>
          </w:rPr>
          <w:t>https://doi.org/10.53769/deiktis.v5i1.1395</w:t>
        </w:r>
      </w:hyperlink>
    </w:p>
  </w:footnote>
  <w:footnote w:id="57">
    <w:p w14:paraId="674C7EE9" w14:textId="77777777" w:rsidR="00546849" w:rsidRPr="005D4507" w:rsidRDefault="00546849" w:rsidP="005D4507">
      <w:pPr>
        <w:pStyle w:val="FootnoteText"/>
        <w:jc w:val="both"/>
        <w:rPr>
          <w:rFonts w:asciiTheme="majorBidi" w:hAnsiTheme="majorBidi" w:cstheme="majorBidi"/>
        </w:rPr>
      </w:pPr>
      <w:r w:rsidRPr="005D4507">
        <w:rPr>
          <w:rStyle w:val="FootnoteReference"/>
          <w:rFonts w:asciiTheme="majorBidi" w:hAnsiTheme="majorBidi" w:cstheme="majorBidi"/>
        </w:rPr>
        <w:footnoteRef/>
      </w:r>
      <w:r w:rsidRPr="005D4507">
        <w:rPr>
          <w:rFonts w:asciiTheme="majorBidi" w:hAnsiTheme="majorBidi" w:cstheme="majorBidi"/>
        </w:rPr>
        <w:t xml:space="preserve"> </w:t>
      </w:r>
      <w:r w:rsidRPr="005D4507">
        <w:rPr>
          <w:rFonts w:asciiTheme="majorBidi" w:hAnsiTheme="majorBidi" w:cstheme="majorBidi"/>
        </w:rPr>
        <w:fldChar w:fldCharType="begin" w:fldLock="1"/>
      </w:r>
      <w:r w:rsidRPr="005D4507">
        <w:rPr>
          <w:rFonts w:asciiTheme="majorBidi" w:hAnsiTheme="majorBidi" w:cstheme="majorBidi"/>
        </w:rPr>
        <w:instrText>ADDIN CSL_CITATION {"citationItems":[{"id":"ITEM-1","itemData":{"author":[{"dropping-particle":"","family":"Tobing","given":"Bima Ardiansyah Lumban","non-dropping-particle":"","parse-names":false,"suffix":""},{"dropping-particle":"","family":"Simatupang","given":"Helga Yohana","non-dropping-particle":"","parse-names":false,"suffix":""}],"container-title":"Journal of Global Perspective","id":"ITEM-1","issue":"1","issued":{"date-parts":[["2024"]]},"page":"85-97","title":"Peran Tradisi dan Budaya Dalam Menciptakan Ketidakadilan Terhadap Wanita India","type":"article-journal","volume":"2"},"uris":["http://www.mendeley.com/documents/?uuid=6fa37e33-6dc6-489d-9532-bbe90848210a"]}],"mendeley":{"formattedCitation":"Bima Ardiansyah Lumban Tobing and Helga Yohana Simatupang, “Peran Tradisi Dan Budaya Dalam Menciptakan Ketidakadilan Terhadap Wanita India,” &lt;i&gt;Journal of Global Perspective&lt;/i&gt; 2, no. 1 (2024): 85–97.","plainTextFormattedCitation":"Bima Ardiansyah Lumban Tobing and Helga Yohana Simatupang, “Peran Tradisi Dan Budaya Dalam Menciptakan Ketidakadilan Terhadap Wanita India,” Journal of Global Perspective 2, no. 1 (2024): 85–97.","previouslyFormattedCitation":"Bima Ardiansyah Lumban Tobing and Helga Yohana Simatupang, “Peran Tradisi Dan Budaya Dalam Menciptakan Ketidakadilan Terhadap Wanita India,” &lt;i&gt;Journal of Global Perspective&lt;/i&gt; 2, no. 1 (2024): 85–97."},"properties":{"noteIndex":60},"schema":"https://github.com/citation-style-language/schema/raw/master/csl-citation.json"}</w:instrText>
      </w:r>
      <w:r w:rsidRPr="005D4507">
        <w:rPr>
          <w:rFonts w:asciiTheme="majorBidi" w:hAnsiTheme="majorBidi" w:cstheme="majorBidi"/>
        </w:rPr>
        <w:fldChar w:fldCharType="separate"/>
      </w:r>
      <w:r w:rsidRPr="005D4507">
        <w:rPr>
          <w:rFonts w:asciiTheme="majorBidi" w:hAnsiTheme="majorBidi" w:cstheme="majorBidi"/>
          <w:noProof/>
        </w:rPr>
        <w:t xml:space="preserve">Bima Ardiansyah Lumban Tobing and Helga Yohana Simatupang, "The Role of Tradition and Culture in Creating Injustice for Indian Women," </w:t>
      </w:r>
      <w:r w:rsidRPr="005D4507">
        <w:rPr>
          <w:rFonts w:asciiTheme="majorBidi" w:hAnsiTheme="majorBidi" w:cstheme="majorBidi"/>
          <w:i/>
          <w:noProof/>
        </w:rPr>
        <w:t>Journal of Global Perspective</w:t>
      </w:r>
      <w:r w:rsidRPr="005D4507">
        <w:rPr>
          <w:rFonts w:asciiTheme="majorBidi" w:hAnsiTheme="majorBidi" w:cstheme="majorBidi"/>
          <w:noProof/>
        </w:rPr>
        <w:t xml:space="preserve"> 2, no. 1 (2024): 85–97.</w:t>
      </w:r>
      <w:r w:rsidRPr="005D4507">
        <w:rPr>
          <w:rFonts w:asciiTheme="majorBidi" w:hAnsiTheme="majorBidi" w:cstheme="majorBidi"/>
        </w:rPr>
        <w:fldChar w:fldCharType="end"/>
      </w:r>
    </w:p>
  </w:footnote>
  <w:footnote w:id="58">
    <w:p w14:paraId="7CADA023" w14:textId="77777777" w:rsidR="00546849" w:rsidRPr="005D4507" w:rsidRDefault="00546849" w:rsidP="005D4507">
      <w:pPr>
        <w:pStyle w:val="FootnoteText"/>
        <w:jc w:val="both"/>
        <w:rPr>
          <w:rFonts w:asciiTheme="majorBidi" w:hAnsiTheme="majorBidi" w:cstheme="majorBidi"/>
        </w:rPr>
      </w:pPr>
      <w:r w:rsidRPr="005D4507">
        <w:rPr>
          <w:rStyle w:val="FootnoteReference"/>
          <w:rFonts w:asciiTheme="majorBidi" w:hAnsiTheme="majorBidi" w:cstheme="majorBidi"/>
        </w:rPr>
        <w:footnoteRef/>
      </w:r>
      <w:r w:rsidRPr="005D4507">
        <w:rPr>
          <w:rFonts w:asciiTheme="majorBidi" w:hAnsiTheme="majorBidi" w:cstheme="majorBidi"/>
        </w:rPr>
        <w:t xml:space="preserve"> </w:t>
      </w:r>
      <w:r w:rsidRPr="005D4507">
        <w:rPr>
          <w:rFonts w:asciiTheme="majorBidi" w:hAnsiTheme="majorBidi" w:cstheme="majorBidi"/>
        </w:rPr>
        <w:fldChar w:fldCharType="begin" w:fldLock="1"/>
      </w:r>
      <w:r w:rsidRPr="005D4507">
        <w:rPr>
          <w:rFonts w:asciiTheme="majorBidi" w:hAnsiTheme="majorBidi" w:cstheme="majorBidi"/>
        </w:rPr>
        <w:instrText>ADDIN CSL_CITATION {"citationItems":[{"id":"ITEM-1","itemData":{"ISSN":"3024-9376","author":[{"dropping-particle":"","family":"Salim","given":"Revy Ardinata","non-dropping-particle":"","parse-names":false,"suffix":""}],"container-title":"Linguistika Kultura: Jurnal Linguistik Sastra Berdimensi Cultural Studies","id":"ITEM-1","issue":"2","issued":{"date-parts":[["2023"]]},"title":"Pentingnya Keluarga, Kerja Keras dan Pengorbanan dalam Little Woman","type":"article-journal","volume":"12"},"uris":["http://www.mendeley.com/documents/?uuid=a0c71fd1-62cf-45d8-8a9a-9fe1ae01595c"]}],"mendeley":{"formattedCitation":"Revy Ardinata Salim, “Pentingnya Keluarga, Kerja Keras Dan Pengorbanan Dalam Little Woman,” &lt;i&gt;Linguistika Kultura: Jurnal Linguistik Sastra Berdimensi Cultural Studies&lt;/i&gt; 12, no. 2 (2023).","plainTextFormattedCitation":"Revy Ardinata Salim, “Pentingnya Keluarga, Kerja Keras Dan Pengorbanan Dalam Little Woman,” Linguistika Kultura: Jurnal Linguistik Sastra Berdimensi Cultural Studies 12, no. 2 (2023).","previouslyFormattedCitation":"Revy Ardinata Salim, “Pentingnya Keluarga, Kerja Keras Dan Pengorbanan Dalam Little Woman,” &lt;i&gt;Linguistika Kultura: Jurnal Linguistik Sastra Berdimensi Cultural Studies&lt;/i&gt; 12, no. 2 (2023)."},"properties":{"noteIndex":61},"schema":"https://github.com/citation-style-language/schema/raw/master/csl-citation.json"}</w:instrText>
      </w:r>
      <w:r w:rsidRPr="005D4507">
        <w:rPr>
          <w:rFonts w:asciiTheme="majorBidi" w:hAnsiTheme="majorBidi" w:cstheme="majorBidi"/>
        </w:rPr>
        <w:fldChar w:fldCharType="separate"/>
      </w:r>
      <w:r w:rsidRPr="005D4507">
        <w:rPr>
          <w:rFonts w:asciiTheme="majorBidi" w:hAnsiTheme="majorBidi" w:cstheme="majorBidi"/>
          <w:noProof/>
        </w:rPr>
        <w:t xml:space="preserve">Revy Ardinata Salim, "The Importance of Family, Hard Work and Sacrifice in Little Woman," </w:t>
      </w:r>
      <w:r w:rsidRPr="005D4507">
        <w:rPr>
          <w:rFonts w:asciiTheme="majorBidi" w:hAnsiTheme="majorBidi" w:cstheme="majorBidi"/>
          <w:i/>
          <w:noProof/>
        </w:rPr>
        <w:t>Cultural Linguistics: Journal of Linguistic Literature with Cultural Studies</w:t>
      </w:r>
      <w:r w:rsidRPr="005D4507">
        <w:rPr>
          <w:rFonts w:asciiTheme="majorBidi" w:hAnsiTheme="majorBidi" w:cstheme="majorBidi"/>
          <w:noProof/>
        </w:rPr>
        <w:t xml:space="preserve"> 12, no. 2 (2023).</w:t>
      </w:r>
      <w:r w:rsidRPr="005D4507">
        <w:rPr>
          <w:rFonts w:asciiTheme="majorBidi" w:hAnsiTheme="majorBidi" w:cstheme="majorBidi"/>
        </w:rPr>
        <w:fldChar w:fldCharType="end"/>
      </w:r>
    </w:p>
  </w:footnote>
  <w:footnote w:id="59">
    <w:p w14:paraId="3426CF4F" w14:textId="77777777" w:rsidR="00546849" w:rsidRDefault="00546849" w:rsidP="005D4507">
      <w:pPr>
        <w:pStyle w:val="FootnoteText"/>
        <w:jc w:val="both"/>
      </w:pPr>
      <w:r w:rsidRPr="005D4507">
        <w:rPr>
          <w:rStyle w:val="FootnoteReference"/>
          <w:rFonts w:asciiTheme="majorBidi" w:hAnsiTheme="majorBidi" w:cstheme="majorBidi"/>
        </w:rPr>
        <w:footnoteRef/>
      </w:r>
      <w:r w:rsidRPr="005D4507">
        <w:rPr>
          <w:rFonts w:asciiTheme="majorBidi" w:hAnsiTheme="majorBidi" w:cstheme="majorBidi"/>
        </w:rPr>
        <w:t xml:space="preserve"> </w:t>
      </w:r>
      <w:r w:rsidRPr="005D4507">
        <w:rPr>
          <w:rFonts w:asciiTheme="majorBidi" w:hAnsiTheme="majorBidi" w:cstheme="majorBidi"/>
        </w:rPr>
        <w:fldChar w:fldCharType="begin" w:fldLock="1"/>
      </w:r>
      <w:r w:rsidRPr="005D4507">
        <w:rPr>
          <w:rFonts w:asciiTheme="majorBidi" w:hAnsiTheme="majorBidi" w:cstheme="majorBidi"/>
        </w:rPr>
        <w:instrText>ADDIN CSL_CITATION {"citationItems":[{"id":"ITEM-1","itemData":{"ISSN":"2528-1658","author":[{"dropping-particle":"","family":"Tambunan","given":"Rico J R","non-dropping-particle":"","parse-names":false,"suffix":""},{"dropping-particle":"","family":"Safa'at","given":"Rachmat","non-dropping-particle":"","parse-names":false,"suffix":""},{"dropping-particle":"","family":"Permadi","given":"Iwan","non-dropping-particle":"","parse-names":false,"suffix":""},{"dropping-particle":"","family":"Sulistyarini","given":"Rachmi","non-dropping-particle":"","parse-names":false,"suffix":""}],"container-title":"De Jure: Jurnal Hukum dan Syar'iah","id":"ITEM-1","issue":"2","issued":{"date-parts":[["2025"]]},"page":"530-552","title":"Justice, Land, and Sharia: Conceptualizing Agrarian Courts in the Settlement of Land Ownership Disputes","type":"article-journal","volume":"17"},"uris":["http://www.mendeley.com/documents/?uuid=b1a6d8cd-bdf3-4c19-9b4d-09dbff5acb6a"]}],"mendeley":{"formattedCitation":"Rico J R Tambunan et al., “Justice, Land, and Sharia: Conceptualizing Agrarian Courts in the Settlement of Land Ownership Disputes,” &lt;i&gt;De Jure: Jurnal Hukum Dan Syar’iah&lt;/i&gt; 17, no. 2 (2025): 530–52.","plainTextFormattedCitation":"Rico J R Tambunan et al., “Justice, Land, and Sharia: Conceptualizing Agrarian Courts in the Settlement of Land Ownership Disputes,” De Jure: Jurnal Hukum Dan Syar’iah 17, no. 2 (2025): 530–52.","previouslyFormattedCitation":"Rico J R Tambunan et al., “Justice, Land, and Sharia: Conceptualizing Agrarian Courts in the Settlement of Land Ownership Disputes,” &lt;i&gt;De Jure: Jurnal Hukum Dan Syar’iah&lt;/i&gt; 17, no. 2 (2025): 530–52."},"properties":{"noteIndex":62},"schema":"https://github.com/citation-style-language/schema/raw/master/csl-citation.json"}</w:instrText>
      </w:r>
      <w:r w:rsidRPr="005D4507">
        <w:rPr>
          <w:rFonts w:asciiTheme="majorBidi" w:hAnsiTheme="majorBidi" w:cstheme="majorBidi"/>
        </w:rPr>
        <w:fldChar w:fldCharType="separate"/>
      </w:r>
      <w:r w:rsidRPr="005D4507">
        <w:rPr>
          <w:rFonts w:asciiTheme="majorBidi" w:hAnsiTheme="majorBidi" w:cstheme="majorBidi"/>
          <w:noProof/>
        </w:rPr>
        <w:t xml:space="preserve">Rico J R Tambunan et al., “Justice, Land, and Sharia: Conceptualizing Agrarian Courts in the Settlement of Land Ownership Disputes,” </w:t>
      </w:r>
      <w:r w:rsidRPr="005D4507">
        <w:rPr>
          <w:rFonts w:asciiTheme="majorBidi" w:hAnsiTheme="majorBidi" w:cstheme="majorBidi"/>
          <w:i/>
          <w:noProof/>
        </w:rPr>
        <w:t>De Jure: Jurnal Hukum Dan Syar’iah</w:t>
      </w:r>
      <w:r w:rsidRPr="005D4507">
        <w:rPr>
          <w:rFonts w:asciiTheme="majorBidi" w:hAnsiTheme="majorBidi" w:cstheme="majorBidi"/>
          <w:noProof/>
        </w:rPr>
        <w:t xml:space="preserve"> 17, no. 2 (2025): 530–52.</w:t>
      </w:r>
      <w:r w:rsidRPr="005D4507">
        <w:rPr>
          <w:rFonts w:asciiTheme="majorBidi" w:hAnsiTheme="majorBidi" w:cstheme="majorBidi"/>
        </w:rPr>
        <w:fldChar w:fldCharType="end"/>
      </w:r>
      <w:r w:rsidRPr="005D4507">
        <w:rPr>
          <w:sz w:val="24"/>
          <w:szCs w:val="24"/>
        </w:rPr>
        <w:t xml:space="preserve"> </w:t>
      </w:r>
      <w:r w:rsidRPr="005D4507">
        <w:rPr>
          <w:rFonts w:asciiTheme="majorBidi" w:hAnsiTheme="majorBidi" w:cstheme="majorBidi"/>
        </w:rPr>
        <w:t>http://dx.doi.org/10.18860/j-fsh.v17i2.32486</w:t>
      </w:r>
    </w:p>
  </w:footnote>
  <w:footnote w:id="60">
    <w:p w14:paraId="533C976C" w14:textId="77777777" w:rsidR="00546849" w:rsidRPr="005D4507" w:rsidRDefault="00546849" w:rsidP="005D4507">
      <w:pPr>
        <w:pStyle w:val="FootnoteText"/>
        <w:jc w:val="both"/>
        <w:rPr>
          <w:rFonts w:asciiTheme="majorBidi" w:hAnsiTheme="majorBidi" w:cstheme="majorBidi"/>
        </w:rPr>
      </w:pPr>
      <w:r w:rsidRPr="005D4507">
        <w:rPr>
          <w:rStyle w:val="FootnoteReference"/>
          <w:rFonts w:asciiTheme="majorBidi" w:hAnsiTheme="majorBidi" w:cstheme="majorBidi"/>
        </w:rPr>
        <w:footnoteRef/>
      </w:r>
      <w:r w:rsidRPr="005D4507">
        <w:rPr>
          <w:rFonts w:asciiTheme="majorBidi" w:hAnsiTheme="majorBidi" w:cstheme="majorBidi"/>
        </w:rPr>
        <w:t xml:space="preserve"> </w:t>
      </w:r>
      <w:r w:rsidRPr="005D4507">
        <w:rPr>
          <w:rFonts w:asciiTheme="majorBidi" w:hAnsiTheme="majorBidi" w:cstheme="majorBidi"/>
        </w:rPr>
        <w:fldChar w:fldCharType="begin" w:fldLock="1"/>
      </w:r>
      <w:r w:rsidRPr="005D4507">
        <w:rPr>
          <w:rFonts w:asciiTheme="majorBidi" w:hAnsiTheme="majorBidi" w:cstheme="majorBidi"/>
        </w:rPr>
        <w:instrText>ADDIN CSL_CITATION {"citationItems":[{"id":"ITEM-1","itemData":{"ISSN":"2528-1658","author":[{"dropping-particle":"","family":"Hussin","given":"Mohd Norhusairi Mat","non-dropping-particle":"","parse-names":false,"suffix":""},{"dropping-particle":"","family":"Arifah","given":"Risma Nur","non-dropping-particle":"","parse-names":false,"suffix":""},{"dropping-particle":"","family":"Aisyah","given":"Siti","non-dropping-particle":"","parse-names":false,"suffix":""},{"dropping-particle":"","family":"Daud","given":"Mohd Zaidi","non-dropping-particle":"","parse-names":false,"suffix":""},{"dropping-particle":"","family":"Samah","given":"Mahamatayuding","non-dropping-particle":"","parse-names":false,"suffix":""}],"container-title":"De Jure: Jurnal Hukum dan Syar'iah","id":"ITEM-1","issue":"2","issued":{"date-parts":[["2025"]]},"page":"394-416","title":"Local Wisdom and Gender Equality in Joint Property Division: An Islamic Legal Perspective from Malaysia","type":"article-journal","volume":"17"},"uris":["http://www.mendeley.com/documents/?uuid=bfa50a6e-29dc-4a9b-a313-55c19a89886c"]}],"mendeley":{"formattedCitation":"Mohd Norhusairi Mat Hussin et al., “Local Wisdom and Gender Equality in Joint Property Division: An Islamic Legal Perspective from Malaysia,” &lt;i&gt;De Jure: Jurnal Hukum Dan Syar’iah&lt;/i&gt; 17, no. 2 (2025): 394–416.","plainTextFormattedCitation":"Mohd Norhusairi Mat Hussin et al., “Local Wisdom and Gender Equality in Joint Property Division: An Islamic Legal Perspective from Malaysia,” De Jure: Jurnal Hukum Dan Syar’iah 17, no. 2 (2025): 394–416.","previouslyFormattedCitation":"Mohd Norhusairi Mat Hussin et al., “Local Wisdom and Gender Equality in Joint Property Division: An Islamic Legal Perspective from Malaysia,” &lt;i&gt;De Jure: Jurnal Hukum Dan Syar’iah&lt;/i&gt; 17, no. 2 (2025): 394–416."},"properties":{"noteIndex":63},"schema":"https://github.com/citation-style-language/schema/raw/master/csl-citation.json"}</w:instrText>
      </w:r>
      <w:r w:rsidRPr="005D4507">
        <w:rPr>
          <w:rFonts w:asciiTheme="majorBidi" w:hAnsiTheme="majorBidi" w:cstheme="majorBidi"/>
        </w:rPr>
        <w:fldChar w:fldCharType="separate"/>
      </w:r>
      <w:r w:rsidRPr="005D4507">
        <w:rPr>
          <w:rFonts w:asciiTheme="majorBidi" w:hAnsiTheme="majorBidi" w:cstheme="majorBidi"/>
          <w:noProof/>
        </w:rPr>
        <w:t xml:space="preserve">Mohd Norhusairi Mat Hussin et al., “Local Wisdom and Gender Equality in Joint Property Division: An Islamic Legal Perspective from Malaysia,” </w:t>
      </w:r>
      <w:r w:rsidRPr="005D4507">
        <w:rPr>
          <w:rFonts w:asciiTheme="majorBidi" w:hAnsiTheme="majorBidi" w:cstheme="majorBidi"/>
          <w:i/>
          <w:noProof/>
        </w:rPr>
        <w:t>De Jure: Jurnal Hukum Dan Syar’iah</w:t>
      </w:r>
      <w:r w:rsidRPr="005D4507">
        <w:rPr>
          <w:rFonts w:asciiTheme="majorBidi" w:hAnsiTheme="majorBidi" w:cstheme="majorBidi"/>
          <w:noProof/>
        </w:rPr>
        <w:t xml:space="preserve"> 17, no. 2 (2025): 394–416.</w:t>
      </w:r>
      <w:r w:rsidRPr="005D4507">
        <w:rPr>
          <w:rFonts w:asciiTheme="majorBidi" w:hAnsiTheme="majorBidi" w:cstheme="majorBidi"/>
        </w:rPr>
        <w:fldChar w:fldCharType="end"/>
      </w:r>
      <w:r w:rsidRPr="005D4507">
        <w:rPr>
          <w:sz w:val="24"/>
          <w:szCs w:val="24"/>
        </w:rPr>
        <w:t xml:space="preserve"> </w:t>
      </w:r>
      <w:hyperlink r:id="rId37" w:history="1">
        <w:r w:rsidRPr="005D4507">
          <w:rPr>
            <w:rStyle w:val="Hyperlink"/>
            <w:rFonts w:asciiTheme="majorBidi" w:hAnsiTheme="majorBidi" w:cstheme="majorBidi"/>
          </w:rPr>
          <w:t>https://doi.org/10.18860/j-fsh.v17i2.31562</w:t>
        </w:r>
      </w:hyperlink>
    </w:p>
  </w:footnote>
  <w:footnote w:id="61">
    <w:p w14:paraId="32519331" w14:textId="77777777" w:rsidR="00546849" w:rsidRPr="005D4507" w:rsidRDefault="00546849" w:rsidP="005D4507">
      <w:pPr>
        <w:pStyle w:val="FootnoteText"/>
        <w:jc w:val="both"/>
        <w:rPr>
          <w:rFonts w:asciiTheme="majorBidi" w:hAnsiTheme="majorBidi" w:cstheme="majorBidi"/>
        </w:rPr>
      </w:pPr>
      <w:r w:rsidRPr="005D4507">
        <w:rPr>
          <w:rStyle w:val="FootnoteReference"/>
          <w:rFonts w:asciiTheme="majorBidi" w:hAnsiTheme="majorBidi" w:cstheme="majorBidi"/>
        </w:rPr>
        <w:footnoteRef/>
      </w:r>
      <w:r w:rsidRPr="005D4507">
        <w:rPr>
          <w:rFonts w:asciiTheme="majorBidi" w:hAnsiTheme="majorBidi" w:cstheme="majorBidi"/>
        </w:rPr>
        <w:t xml:space="preserve"> </w:t>
      </w:r>
      <w:r w:rsidRPr="005D4507">
        <w:rPr>
          <w:rFonts w:asciiTheme="majorBidi" w:hAnsiTheme="majorBidi" w:cstheme="majorBidi"/>
        </w:rPr>
        <w:fldChar w:fldCharType="begin" w:fldLock="1"/>
      </w:r>
      <w:r w:rsidRPr="005D4507">
        <w:rPr>
          <w:rFonts w:asciiTheme="majorBidi" w:hAnsiTheme="majorBidi" w:cstheme="majorBidi"/>
        </w:rPr>
        <w:instrText>ADDIN CSL_CITATION {"citationItems":[{"id":"ITEM-1","itemData":{"ISSN":"2809-3291","author":[{"dropping-particle":"","family":"Mulawarman","given":"Widyatmike Gede","non-dropping-particle":"","parse-names":false,"suffix":""}],"container-title":"Dikmas: Jurnal Pendidikan Masyarakat Dan Pengabdian","id":"ITEM-1","issue":"1","issued":{"date-parts":[["2022"]]},"page":"171-182","title":"Pendidikan Kritis Bagi Keluarga Rentan Melalui Kegiatan Manajemen Ketahanan Keluarga","type":"article-journal","volume":"2"},"uris":["http://www.mendeley.com/documents/?uuid=b9a06fe2-a913-4e4b-a2b8-27d9b7cdd536"]}],"mendeley":{"formattedCitation":"Widyatmike Gede Mulawarman, “Pendidikan Kritis Bagi Keluarga Rentan Melalui Kegiatan Manajemen Ketahanan Keluarga,” &lt;i&gt;Dikmas: Jurnal Pendidikan Masyarakat Dan Pengabdian&lt;/i&gt; 2, no. 1 (2022): 171–82.","plainTextFormattedCitation":"Widyatmike Gede Mulawarman, “Pendidikan Kritis Bagi Keluarga Rentan Melalui Kegiatan Manajemen Ketahanan Keluarga,” Dikmas: Jurnal Pendidikan Masyarakat Dan Pengabdian 2, no. 1 (2022): 171–82.","previouslyFormattedCitation":"Widyatmike Gede Mulawarman, “Pendidikan Kritis Bagi Keluarga Rentan Melalui Kegiatan Manajemen Ketahanan Keluarga,” &lt;i&gt;Dikmas: Jurnal Pendidikan Masyarakat Dan Pengabdian&lt;/i&gt; 2, no. 1 (2022): 171–82."},"properties":{"noteIndex":64},"schema":"https://github.com/citation-style-language/schema/raw/master/csl-citation.json"}</w:instrText>
      </w:r>
      <w:r w:rsidRPr="005D4507">
        <w:rPr>
          <w:rFonts w:asciiTheme="majorBidi" w:hAnsiTheme="majorBidi" w:cstheme="majorBidi"/>
        </w:rPr>
        <w:fldChar w:fldCharType="separate"/>
      </w:r>
      <w:r w:rsidRPr="005D4507">
        <w:rPr>
          <w:rFonts w:asciiTheme="majorBidi" w:hAnsiTheme="majorBidi" w:cstheme="majorBidi"/>
          <w:noProof/>
        </w:rPr>
        <w:t xml:space="preserve">Widyatmike Gede Mulawarman, "Critical Education for Vulnerable Families through Family Resilience Management Activities," </w:t>
      </w:r>
      <w:r w:rsidRPr="005D4507">
        <w:rPr>
          <w:rFonts w:asciiTheme="majorBidi" w:hAnsiTheme="majorBidi" w:cstheme="majorBidi"/>
          <w:i/>
          <w:noProof/>
        </w:rPr>
        <w:t>Dikmas: Journal of Community Education and Service</w:t>
      </w:r>
      <w:r w:rsidRPr="005D4507">
        <w:rPr>
          <w:rFonts w:asciiTheme="majorBidi" w:hAnsiTheme="majorBidi" w:cstheme="majorBidi"/>
          <w:noProof/>
        </w:rPr>
        <w:t xml:space="preserve"> 2, no. 1 (2022): 171–82.</w:t>
      </w:r>
      <w:r w:rsidRPr="005D4507">
        <w:rPr>
          <w:rFonts w:asciiTheme="majorBidi" w:hAnsiTheme="majorBidi" w:cstheme="majorBidi"/>
        </w:rPr>
        <w:fldChar w:fldCharType="end"/>
      </w:r>
      <w:r w:rsidRPr="005D4507">
        <w:rPr>
          <w:sz w:val="24"/>
          <w:szCs w:val="24"/>
        </w:rPr>
        <w:t xml:space="preserve"> </w:t>
      </w:r>
      <w:hyperlink r:id="rId38" w:history="1">
        <w:r w:rsidRPr="005D4507">
          <w:rPr>
            <w:rStyle w:val="Hyperlink"/>
            <w:rFonts w:asciiTheme="majorBidi" w:hAnsiTheme="majorBidi" w:cstheme="majorBidi"/>
          </w:rPr>
          <w:t>http://dx.doi.org/10.37905/dikmas.2.1.171-182.2022</w:t>
        </w:r>
      </w:hyperlink>
    </w:p>
  </w:footnote>
  <w:footnote w:id="62">
    <w:p w14:paraId="7E888874"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{"citationItems":[{"id":"ITEM-1","itemData":{"author":[{"dropping-particle":"","family":"Hidayati","given":"Niswatul","non-dropping-particle":"","parse-names":false,"suffix":""}],"container-title":"Memahami Teori Hukum: Percikan Pemikiran Ilmu Hukum Lintas Mazhab","id":"ITEM-1","issued":{"date-parts":[["2022"]]},"publisher":"Q Media","title":"Rasionalitas Hukum dalam Pandangan Max Weber","type":"article-journal","volume":"113"},"uris":["http://www.mendeley.com/documents/?uuid=c820410a-b6ab-4e83-928e-6d0bb8c08cb1"]}],"mendeley":{"formattedCitation":"Niswatul Hidayati, “Rasionalitas Hukum Dalam Pandangan Max Weber,” &lt;i&gt;Memahami Teori Hukum: Percikan Pemikiran Ilmu Hukum Lintas Mazhab&lt;/i&gt; 113 (2022).","plainTextFormattedCitation":"Niswatul Hidayati, “Rasionalitas Hukum Dalam Pandangan Max Weber,” Memahami Teori Hukum: Percikan Pemikiran Ilmu Hukum Lintas Mazhab 113 (2022).","previouslyFormattedCitation":"Niswatul Hidayati, “Rasionalitas Hukum Dalam Pandangan Max Weber,” &lt;i&gt;Memahami Teori Hukum: Percikan Pemikiran Ilmu Hukum Lintas Mazhab&lt;/i&gt; 113 (2022)."},"properties":{"noteIndex":65},"schema":"https://github.com/citation-style-language/schema/raw/master/csl-citation.json"}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Niswatul Hidayati, "Legal Rationality in Max Weber's View," </w:t>
      </w:r>
      <w:r w:rsidRPr="00D20395">
        <w:rPr>
          <w:rFonts w:asciiTheme="majorBidi" w:hAnsiTheme="majorBidi" w:cstheme="majorBidi"/>
          <w:i/>
          <w:noProof/>
        </w:rPr>
        <w:t>Understanding Legal Theory: A Spark of Interdisciplinary Legal Thought</w:t>
      </w:r>
      <w:r w:rsidRPr="00D20395">
        <w:rPr>
          <w:rFonts w:asciiTheme="majorBidi" w:hAnsiTheme="majorBidi" w:cstheme="majorBidi"/>
          <w:noProof/>
        </w:rPr>
        <w:t xml:space="preserve"> 113 (2022).</w:t>
      </w:r>
      <w:r w:rsidRPr="00D20395">
        <w:rPr>
          <w:rFonts w:asciiTheme="majorBidi" w:hAnsiTheme="majorBidi" w:cstheme="majorBidi"/>
        </w:rPr>
        <w:fldChar w:fldCharType="end"/>
      </w:r>
    </w:p>
  </w:footnote>
  <w:footnote w:id="63">
    <w:p w14:paraId="56E7B92F" w14:textId="77777777" w:rsidR="00546849" w:rsidRPr="005D4507" w:rsidRDefault="00546849" w:rsidP="005D4507">
      <w:pPr>
        <w:pStyle w:val="FootnoteText"/>
        <w:jc w:val="both"/>
        <w:rPr>
          <w:rFonts w:asciiTheme="majorBidi" w:hAnsiTheme="majorBidi"/>
          <w:b/>
          <w:bCs/>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{"citationItems":[{"id":"ITEM-1","itemData":{"ISSN":"2503-1465","author":[{"dropping-particle":"","family":"Isdiyanto","given":"Ilham Yuli","non-dropping-particle":"","parse-names":false,"suffix":""}],"container-title":"Jurnal Hukum &amp; Pembangunan","id":"ITEM-1","issue":"2","issued":{"date-parts":[["2025"]]},"page":"209-230","title":"Max Weber vs Émile Durkheim: Pertarungan Paradigma dalam Sosiologi Hukum di Indonesia","type":"article-journal","volume":"55"},"uris":["http://www.mendeley.com/documents/?uuid=e27e73ff-2552-4895-a87a-b972d5bcf19d"]}],"mendeley":{"formattedCitation":"Ilham Yuli Isdiyanto, “Max Weber vs Émile Durkheim: Pertarungan Paradigma Dalam Sosiologi Hukum Di Indonesia,” &lt;i&gt;Jurnal Hukum &amp; Pembangunan&lt;/i&gt; 55, no. 2 (2025): 209–30.","plainTextFormattedCitation":"Ilham Yuli Isdiyanto, “Max Weber vs Émile Durkheim: Pertarungan Paradigma Dalam Sosiologi Hukum Di Indonesia,” Jurnal Hukum &amp; Pembangunan 55, no. 2 (2025): 209–30.","previouslyFormattedCitation":"Ilham Yuli Isdiyanto, “Max Weber vs Émile Durkheim: Pertarungan Paradigma Dalam Sosiologi Hukum Di Indonesia,” &lt;i&gt;Jurnal Hukum &amp; Pembangunan&lt;/i&gt; 55, no. 2 (2025): 209–30."},"properties":{"noteIndex":66},"schema":"https://github.com/citation-style-language/schema/raw/master/csl-citation.json"}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Ilham Yuli Isdiyanto, "Max Weber vs Émile Durkheim: Paradigm Fight in Legal Sociology in Indonesia," </w:t>
      </w:r>
      <w:r w:rsidRPr="00D20395">
        <w:rPr>
          <w:rFonts w:asciiTheme="majorBidi" w:hAnsiTheme="majorBidi" w:cstheme="majorBidi"/>
          <w:i/>
          <w:noProof/>
        </w:rPr>
        <w:t>Journal of Law &amp; Development</w:t>
      </w:r>
      <w:r w:rsidRPr="00D20395">
        <w:rPr>
          <w:rFonts w:asciiTheme="majorBidi" w:hAnsiTheme="majorBidi" w:cstheme="majorBidi"/>
          <w:noProof/>
        </w:rPr>
        <w:t xml:space="preserve"> 55, no. 2 (2025): 209–30.</w:t>
      </w:r>
      <w:r w:rsidRPr="00D20395">
        <w:rPr>
          <w:rFonts w:asciiTheme="majorBidi" w:hAnsiTheme="majorBidi" w:cstheme="majorBidi"/>
        </w:rPr>
        <w:fldChar w:fldCharType="end"/>
      </w:r>
      <w:r w:rsidRPr="005D4507">
        <w:rPr>
          <w:rFonts w:ascii="Lora" w:eastAsia="Times New Roman" w:hAnsi="Lora" w:cs="Times New Roman"/>
          <w:b/>
          <w:bCs/>
          <w:color w:val="000000"/>
          <w:kern w:val="0"/>
          <w:sz w:val="23"/>
          <w:szCs w:val="23"/>
          <w14:ligatures w14:val="none"/>
        </w:rPr>
        <w:t xml:space="preserve"> </w:t>
      </w:r>
      <w:r w:rsidRPr="005D4507">
        <w:rPr>
          <w:rFonts w:asciiTheme="majorBidi" w:hAnsiTheme="majorBidi"/>
          <w:b/>
          <w:bCs/>
        </w:rPr>
        <w:t xml:space="preserve">https://doi.org/ </w:t>
      </w:r>
      <w:r w:rsidRPr="005D4507">
        <w:rPr>
          <w:rFonts w:asciiTheme="majorBidi" w:hAnsiTheme="majorBidi" w:cstheme="majorBidi"/>
        </w:rPr>
        <w:t>10.21143/jhp.vol55.no.2.1782</w:t>
      </w:r>
    </w:p>
  </w:footnote>
  <w:footnote w:id="64">
    <w:p w14:paraId="12B82169"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{"citationItems":[{"id":"ITEM-1","itemData":{"author":[{"dropping-particle":"","family":"adalah putra tertua Max","given":"Weber","non-dropping-particle":"","parse-names":false,"suffix":""}],"id":"ITEM-1","issued":{"date-parts":[["0"]]},"title":"Sosiologi menurut Max Weber","type":"article-journal"},"uris":["http://www.mendeley.com/documents/?uuid=6a73ed47-b1ee-4b14-b42f-136ead44c994"]}],"mendeley":{"formattedCitation":"Weber adalah putra tertua Max, “Sosiologi Menurut Max Weber,” n.d.","plainTextFormattedCitation":"Weber adalah putra tertua Max, “Sosiologi Menurut Max Weber,” n.d.","previouslyFormattedCitation":"Weber adalah putra tertua Max, “Sosiologi Menurut Max Weber,” n.d."},"properties":{"noteIndex":67},"schema":"https://github.com/citation-style-language/schema/raw/master/csl-citation.json"}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Weber was Max's eldest son, "Sociology According to Max Weber," n.d.</w:t>
      </w:r>
      <w:r w:rsidRPr="00D20395">
        <w:rPr>
          <w:rFonts w:asciiTheme="majorBidi" w:hAnsiTheme="majorBidi" w:cstheme="majorBidi"/>
        </w:rPr>
        <w:fldChar w:fldCharType="end"/>
      </w:r>
    </w:p>
  </w:footnote>
  <w:footnote w:id="65">
    <w:p w14:paraId="3CE66ABF"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{"citationItems":[{"id":"ITEM-1","itemData":{"author":[{"dropping-particle":"","family":"Ridwan","given":"Muhammad","non-dropping-particle":"","parse-names":false,"suffix":""}],"container-title":"Al-Istinbath: Jurnal Ilmu Hukum Dan Hukum Keluarga Islam","id":"ITEM-1","issue":"1","issued":{"date-parts":[["2024"]]},"page":"11-20","title":"Transformasi Hukum Keluarga Islam Di Era Digital: Analisis Sosiologi Hukum Terhadap Regulasi Perkawinan dan Perceraian Di Indonesia","type":"article-journal","volume":"1"},"uris":["http://www.mendeley.com/documents/?uuid=6bc38155-fb6b-44f6-b650-aa0931f7b0f9"]}],"mendeley":{"formattedCitation":"Muhammad Ridwan, “Transformasi Hukum Keluarga Islam Di Era Digital: Analisis Sosiologi Hukum Terhadap Regulasi Perkawinan Dan Perceraian Di Indonesia,” &lt;i&gt;Al-Istinbath: Jurnal Ilmu Hukum Dan Hukum Keluarga Islam&lt;/i&gt; 1, no. 1 (2024): 11–20.","plainTextFormattedCitation":"Muhammad Ridwan, “Transformasi Hukum Keluarga Islam Di Era Digital: Analisis Sosiologi Hukum Terhadap Regulasi Perkawinan Dan Perceraian Di Indonesia,” Al-Istinbath: Jurnal Ilmu Hukum Dan Hukum Keluarga Islam 1, no. 1 (2024): 11–20.","previouslyFormattedCitation":"Muhammad Ridwan, “Transformasi Hukum Keluarga Islam Di Era Digital: Analisis Sosiologi Hukum Terhadap Regulasi Perkawinan Dan Perceraian Di Indonesia,” &lt;i&gt;Al-Istinbath: Jurnal Ilmu Hukum Dan Hukum Keluarga Islam&lt;/i&gt; 1, no. 1 (2024): 11–20."},"properties":{"noteIndex":68},"schema":"https://github.com/citation-style-language/schema/raw/master/csl-citation.json"}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Muhammad Ridwan, "The Transformation of Islamic Family Law in the Digital Era: A Sociological Analysis of Law on Marriage and Divorce Regulations in Indonesia," </w:t>
      </w:r>
      <w:r w:rsidRPr="00D20395">
        <w:rPr>
          <w:rFonts w:asciiTheme="majorBidi" w:hAnsiTheme="majorBidi" w:cstheme="majorBidi"/>
          <w:i/>
          <w:noProof/>
        </w:rPr>
        <w:t xml:space="preserve">Al-Istinbath: Journal of Islamic Family Law and Law </w:t>
      </w:r>
      <w:r w:rsidRPr="00D20395">
        <w:rPr>
          <w:rFonts w:asciiTheme="majorBidi" w:hAnsiTheme="majorBidi" w:cstheme="majorBidi"/>
          <w:noProof/>
        </w:rPr>
        <w:t xml:space="preserve"> 1, no. 1 (2024): 11–20.</w:t>
      </w:r>
      <w:r w:rsidRPr="00D20395">
        <w:rPr>
          <w:rFonts w:asciiTheme="majorBidi" w:hAnsiTheme="majorBidi" w:cstheme="majorBidi"/>
        </w:rPr>
        <w:fldChar w:fldCharType="end"/>
      </w:r>
      <w:r w:rsidRPr="00D20395">
        <w:rPr>
          <w:sz w:val="24"/>
          <w:szCs w:val="24"/>
        </w:rPr>
        <w:t xml:space="preserve"> </w:t>
      </w:r>
      <w:hyperlink r:id="rId39" w:history="1">
        <w:r w:rsidRPr="00D20395">
          <w:rPr>
            <w:rStyle w:val="Hyperlink"/>
            <w:rFonts w:asciiTheme="majorBidi" w:hAnsiTheme="majorBidi" w:cstheme="majorBidi"/>
          </w:rPr>
          <w:t>https://doi.org/10.71242/akcp9f65</w:t>
        </w:r>
      </w:hyperlink>
    </w:p>
  </w:footnote>
  <w:footnote w:id="66">
    <w:p w14:paraId="4C4E9DBC"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{"citationItems":[{"id":"ITEM-1","itemData":{"author":[{"dropping-particle":"","family":"Hidayati","given":"Niswatul","non-dropping-particle":"","parse-names":false,"suffix":""}],"container-title":"Memahami Teori Hukum: Percikan Pemikiran Ilmu Hukum Lintas Mazhab","id":"ITEM-1","issued":{"date-parts":[["2022"]]},"publisher":"Q Media","title":"Rasionalitas Hukum dalam Pandangan Max Weber","type":"article-journal","volume":"113"},"uris":["http://www.mendeley.com/documents/?uuid=c820410a-b6ab-4e83-928e-6d0bb8c08cb1"]}],"mendeley":{"formattedCitation":"Hidayati, “Rasionalitas Hukum Dalam Pandangan Max Weber.”","plainTextFormattedCitation":"Hidayati, “Rasionalitas Hukum Dalam Pandangan Max Weber.”","previouslyFormattedCitation":"Hidayati, “Rasionalitas Hukum Dalam Pandangan Max Weber.”"},"properties":{"noteIndex":69},"schema":"https://github.com/citation-style-language/schema/raw/master/csl-citation.json"}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Hidayati, "Legal Rationality in Max Weber's View."</w:t>
      </w:r>
      <w:r w:rsidRPr="00D20395">
        <w:rPr>
          <w:rFonts w:asciiTheme="majorBidi" w:hAnsiTheme="majorBidi" w:cstheme="majorBidi"/>
        </w:rPr>
        <w:fldChar w:fldCharType="end"/>
      </w:r>
    </w:p>
  </w:footnote>
  <w:footnote w:id="67">
    <w:p w14:paraId="62609A55" w14:textId="77777777" w:rsidR="00546849" w:rsidRDefault="00546849" w:rsidP="00D20395">
      <w:pPr>
        <w:pStyle w:val="FootnoteText"/>
        <w:jc w:val="both"/>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{"citationItems":[{"id":"ITEM-1","itemData":{"author":[{"dropping-particle":"","family":"Utomo","given":"Laksanto","non-dropping-particle":"","parse-names":false,"suffix":""}],"id":"ITEM-1","issued":{"date-parts":[["2025"]]},"publisher":"Lembaga Studi Hukum Indonesia","title":"Hukum Di Balik Teks: Memahami Sosiologi Hukum","type":"book"},"uris":["http://www.mendeley.com/documents/?uuid=e01e8664-da67-4414-aee5-56d815570469"]}],"mendeley":{"formattedCitation":"Laksanto Utomo, &lt;i&gt;Hukum Di Balik Teks: Memahami Sosiologi Hukum&lt;/i&gt; (Lembaga Studi Hukum Indonesia, 2025).","plainTextFormattedCitation":"Laksanto Utomo, Hukum Di Balik Teks: Memahami Sosiologi Hukum (Lembaga Studi Hukum Indonesia, 2025).","previouslyFormattedCitation":"Laksanto Utomo, &lt;i&gt;Hukum Di Balik Teks: Memahami Sosiologi Hukum&lt;/i&gt; (Lembaga Studi Hukum Indonesia, 2025)."},"properties":{"noteIndex":70},"schema":"https://github.com/citation-style-language/schema/raw/master/csl-citation.json"}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Laksanto Utomo, </w:t>
      </w:r>
      <w:r w:rsidRPr="00D20395">
        <w:rPr>
          <w:rFonts w:asciiTheme="majorBidi" w:hAnsiTheme="majorBidi" w:cstheme="majorBidi"/>
          <w:i/>
          <w:noProof/>
        </w:rPr>
        <w:t>The Law Behind the Text: Understanding Legal Sociology</w:t>
      </w:r>
      <w:r w:rsidRPr="00D20395">
        <w:rPr>
          <w:rFonts w:asciiTheme="majorBidi" w:hAnsiTheme="majorBidi" w:cstheme="majorBidi"/>
          <w:noProof/>
        </w:rPr>
        <w:t xml:space="preserve"> (Indonesian Institute of Legal Studies, 2025).</w:t>
      </w:r>
      <w:r w:rsidRPr="00D20395">
        <w:rPr>
          <w:rFonts w:asciiTheme="majorBidi" w:hAnsiTheme="majorBidi" w:cstheme="majorBidi"/>
        </w:rPr>
        <w:fldChar w:fldCharType="end"/>
      </w:r>
    </w:p>
  </w:footnote>
  <w:footnote w:id="68">
    <w:p w14:paraId="03E0B0C4"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{"citationItems":[{"id":"ITEM-1","itemData":{"ISSN":"2828-2779","author":[{"dropping-particle":"","family":"Rozy","given":"Yahya Fathur","non-dropping-particle":"","parse-names":false,"suffix":""}],"container-title":"QiST: Journal of Quran and Tafseer Studies","id":"ITEM-1","issue":"3","issued":{"date-parts":[["2023"]]},"page":"369-381","title":"The Hermeneutics Influence On Feminist Exegesis: A Case Study On Amina Wadud","type":"article-journal","volume":"2"},"uris":["http://www.mendeley.com/documents/?uuid=89fc731c-3c9c-4f31-b1b5-afa92d041cc7"]}],"mendeley":{"formattedCitation":"Yahya Fathur Rozy, “The Hermeneutics Influence On Feminist Exegesis: A Case Study On Amina Wadud,” &lt;i&gt;QiST: Journal of Quran and Tafseer Studies&lt;/i&gt; 2, no. 3 (2023): 369–81.","plainTextFormattedCitation":"Yahya Fathur Rozy, “The Hermeneutics Influence On Feminist Exegesis: A Case Study On Amina Wadud,” QiST: Journal of Quran and Tafseer Studies 2, no. 3 (2023): 369–81.","previouslyFormattedCitation":"Yahya Fathur Rozy, “The Hermeneutics Influence On Feminist Exegesis: A Case Study On Amina Wadud,” &lt;i&gt;QiST: Journal of Quran and Tafseer Studies&lt;/i&gt; 2, no. 3 (2023): 369–81."},"properties":{"noteIndex":71},"schema":"https://github.com/citation-style-language/schema/raw/master/csl-citation.json"}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Yahya Fathur Rozy, “The Hermeneutics Influence On Feminist Exegesis: A Case Study On Amina Wadud,” </w:t>
      </w:r>
      <w:r w:rsidRPr="00D20395">
        <w:rPr>
          <w:rFonts w:asciiTheme="majorBidi" w:hAnsiTheme="majorBidi" w:cstheme="majorBidi"/>
          <w:i/>
          <w:noProof/>
        </w:rPr>
        <w:t>QiST: Journal of Quran and Tafseer Studies</w:t>
      </w:r>
      <w:r w:rsidRPr="00D20395">
        <w:rPr>
          <w:rFonts w:asciiTheme="majorBidi" w:hAnsiTheme="majorBidi" w:cstheme="majorBidi"/>
          <w:noProof/>
        </w:rPr>
        <w:t xml:space="preserve"> 2, no. 3 (2023): 369–81.</w:t>
      </w:r>
      <w:r w:rsidRPr="00D20395">
        <w:rPr>
          <w:rFonts w:asciiTheme="majorBidi" w:hAnsiTheme="majorBidi" w:cstheme="majorBidi"/>
        </w:rPr>
        <w:fldChar w:fldCharType="end"/>
      </w:r>
      <w:r w:rsidRPr="00D20395">
        <w:rPr>
          <w:sz w:val="24"/>
          <w:szCs w:val="24"/>
        </w:rPr>
        <w:t xml:space="preserve"> </w:t>
      </w:r>
      <w:hyperlink r:id="rId40" w:history="1">
        <w:r w:rsidRPr="00D20395">
          <w:rPr>
            <w:rStyle w:val="Hyperlink"/>
            <w:rFonts w:asciiTheme="majorBidi" w:hAnsiTheme="majorBidi" w:cstheme="majorBidi"/>
          </w:rPr>
          <w:t>https://doi.org/10.23917/qist.v2i3.2908</w:t>
        </w:r>
      </w:hyperlink>
    </w:p>
  </w:footnote>
  <w:footnote w:id="69">
    <w:p w14:paraId="7E05643C"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{"citationItems":[{"id":"ITEM-1","itemData":{"ISSN":"178074045X","author":[{"dropping-particle":"","family":"Wadud","given":"Amina","non-dropping-particle":"","parse-names":false,"suffix":""}],"container-title":"Progressive Muslims: On justice, gender, and pluralism","id":"ITEM-1","issued":{"date-parts":[["2003"]]},"page":"270-285","publisher":"Oneworld Publications","title":"American Muslim identity: race and ethnicity in progressive Islam","type":"article-journal"},"uris":["http://www.mendeley.com/documents/?uuid=679274ec-6035-48b9-b33e-c8b95f4b9985"]}],"mendeley":{"formattedCitation":"Amina Wadud, “American Muslim Identity: Race and Ethnicity in Progressive Islam,” &lt;i&gt;Progressive Muslims: On Justice, Gender, and Pluralism&lt;/i&gt;, 2003, 270–85.","plainTextFormattedCitation":"Amina Wadud, “American Muslim Identity: Race and Ethnicity in Progressive Islam,” Progressive Muslims: On Justice, Gender, and Pluralism, 2003, 270–85.","previouslyFormattedCitation":"Amina Wadud, “American Muslim Identity: Race and Ethnicity in Progressive Islam,” &lt;i&gt;Progressive Muslims: On Justice, Gender, and Pluralism&lt;/i&gt;, 2003, 270–85."},"properties":{"noteIndex":72},"schema":"https://github.com/citation-style-language/schema/raw/master/csl-citation.json"}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Amina Wadud, “American Muslim Identity: Race and Ethnicity in Progressive Islam,” </w:t>
      </w:r>
      <w:r w:rsidRPr="00D20395">
        <w:rPr>
          <w:rFonts w:asciiTheme="majorBidi" w:hAnsiTheme="majorBidi" w:cstheme="majorBidi"/>
          <w:i/>
          <w:noProof/>
        </w:rPr>
        <w:t>Progressive Muslims: On Justice, Gender, and Pluralism</w:t>
      </w:r>
      <w:r w:rsidRPr="00D20395">
        <w:rPr>
          <w:rFonts w:asciiTheme="majorBidi" w:hAnsiTheme="majorBidi" w:cstheme="majorBidi"/>
          <w:noProof/>
        </w:rPr>
        <w:t>, 2003, 270–85.</w:t>
      </w:r>
      <w:r w:rsidRPr="00D20395">
        <w:rPr>
          <w:rFonts w:asciiTheme="majorBidi" w:hAnsiTheme="majorBidi" w:cstheme="majorBidi"/>
        </w:rPr>
        <w:fldChar w:fldCharType="end"/>
      </w:r>
    </w:p>
  </w:footnote>
  <w:footnote w:id="70">
    <w:p w14:paraId="2FE33BD2"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{"citationItems":[{"id":"ITEM-1","itemData":{"ISSN":"1461-6742","author":[{"dropping-particle":"","family":"Wadud","given":"Amina","non-dropping-particle":"","parse-names":false,"suffix":""}],"container-title":"International Feminist Journal of Politics","id":"ITEM-1","issue":"4","issued":{"date-parts":[["2008"]]},"page":"435-438","publisher":"Taylor &amp; Francis","title":"Foreword: Engaging tawhid in Islam and feminisms","type":"article-journal","volume":"10"},"uris":["http://www.mendeley.com/documents/?uuid=6b113ff7-1b82-4301-8fdc-a2cb2129d9f9"]}],"mendeley":{"formattedCitation":"Amina Wadud, “Foreword: Engaging Tawhid in Islam and Feminisms,” &lt;i&gt;International Feminist Journal of Politics&lt;/i&gt; 10, no. 4 (2008): 435–38.","plainTextFormattedCitation":"Amina Wadud, “Foreword: Engaging Tawhid in Islam and Feminisms,” International Feminist Journal of Politics 10, no. 4 (2008): 435–38.","previouslyFormattedCitation":"Amina Wadud, “Foreword: Engaging Tawhid in Islam and Feminisms,” &lt;i&gt;International Feminist Journal of Politics&lt;/i&gt; 10, no. 4 (2008): 435–38."},"properties":{"noteIndex":73},"schema":"https://github.com/citation-style-language/schema/raw/master/csl-citation.json"}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Amina Wadud, “Foreword: Engaging Tawhid in Islam and Feminisms,” </w:t>
      </w:r>
      <w:r w:rsidRPr="00D20395">
        <w:rPr>
          <w:rFonts w:asciiTheme="majorBidi" w:hAnsiTheme="majorBidi" w:cstheme="majorBidi"/>
          <w:i/>
          <w:noProof/>
        </w:rPr>
        <w:t>International Feminist Journal of Politics</w:t>
      </w:r>
      <w:r w:rsidRPr="00D20395">
        <w:rPr>
          <w:rFonts w:asciiTheme="majorBidi" w:hAnsiTheme="majorBidi" w:cstheme="majorBidi"/>
          <w:noProof/>
        </w:rPr>
        <w:t xml:space="preserve"> 10, no. 4 (2008): 435–38.</w:t>
      </w:r>
      <w:r w:rsidRPr="00D20395">
        <w:rPr>
          <w:rFonts w:asciiTheme="majorBidi" w:hAnsiTheme="majorBidi" w:cstheme="majorBidi"/>
        </w:rPr>
        <w:fldChar w:fldCharType="end"/>
      </w:r>
      <w:r>
        <w:rPr>
          <w:rFonts w:asciiTheme="majorBidi" w:hAnsiTheme="majorBidi" w:cstheme="majorBidi"/>
        </w:rPr>
        <w:t xml:space="preserve"> </w:t>
      </w:r>
      <w:hyperlink r:id="rId41" w:history="1">
        <w:r w:rsidRPr="00D20395">
          <w:rPr>
            <w:rStyle w:val="Hyperlink"/>
            <w:rFonts w:asciiTheme="majorBidi" w:hAnsiTheme="majorBidi" w:cstheme="majorBidi"/>
          </w:rPr>
          <w:t>https://doi.org/10.1080/14616740802393858</w:t>
        </w:r>
      </w:hyperlink>
    </w:p>
  </w:footnote>
  <w:footnote w:id="71">
    <w:p w14:paraId="3B7AC207"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{"citationItems":[{"id":"ITEM-1","itemData":{"ISSN":"3031-4526","author":[{"dropping-particle":"","family":"Ramadhan","given":"An Najmi Fikri","non-dropping-particle":"","parse-names":false,"suffix":""}],"container-title":"Bulletin of Islamic Research","id":"ITEM-1","issue":"2","issued":{"date-parts":[["2024"]]},"page":"199-216","title":"Hermeneutics of Gender: A Comparative Study of Hermeneutical Models Amina Wadud and Farid Esack","type":"article-journal","volume":"2"},"uris":["http://www.mendeley.com/documents/?uuid=659e1b61-3ba4-4d11-9b31-07720a6e980b"]}],"mendeley":{"formattedCitation":"An Najmi Fikri Ramadhan, “Hermeneutics of Gender: A Comparative Study of Hermeneutical Models Amina Wadud and Farid Esack,” &lt;i&gt;Bulletin of Islamic Research&lt;/i&gt; 2, no. 2 (2024): 199–216.","plainTextFormattedCitation":"An Najmi Fikri Ramadhan, “Hermeneutics of Gender: A Comparative Study of Hermeneutical Models Amina Wadud and Farid Esack,” Bulletin of Islamic Research 2, no. 2 (2024): 199–216.","previouslyFormattedCitation":"An Najmi Fikri Ramadhan, “Hermeneutics of Gender: A Comparative Study of Hermeneutical Models Amina Wadud and Farid Esack,” &lt;i&gt;Bulletin of Islamic Research&lt;/i&gt; 2, no. 2 (2024): 199–216."},"properties":{"noteIndex":74},"schema":"https://github.com/citation-style-language/schema/raw/master/csl-citation.json"}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An Najmi Fikri Ramadhan, “Hermeneutics of Gender: A Comparative Study of Hermeneutical Models Amina Wadud and Farid Esack,” </w:t>
      </w:r>
      <w:r w:rsidRPr="00D20395">
        <w:rPr>
          <w:rFonts w:asciiTheme="majorBidi" w:hAnsiTheme="majorBidi" w:cstheme="majorBidi"/>
          <w:i/>
          <w:noProof/>
        </w:rPr>
        <w:t>Bulletin of Islamic Research</w:t>
      </w:r>
      <w:r w:rsidRPr="00D20395">
        <w:rPr>
          <w:rFonts w:asciiTheme="majorBidi" w:hAnsiTheme="majorBidi" w:cstheme="majorBidi"/>
          <w:noProof/>
        </w:rPr>
        <w:t xml:space="preserve"> 2, no. 2 (2024): 199–216.</w:t>
      </w:r>
      <w:r w:rsidRPr="00D20395">
        <w:rPr>
          <w:rFonts w:asciiTheme="majorBidi" w:hAnsiTheme="majorBidi" w:cstheme="majorBidi"/>
        </w:rPr>
        <w:fldChar w:fldCharType="end"/>
      </w:r>
    </w:p>
  </w:footnote>
  <w:footnote w:id="72">
    <w:p w14:paraId="6F725F1B"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{"citationItems":[{"id":"ITEM-1","itemData":{"ISSN":"2502-3616","author":[{"dropping-particle":"","family":"Rusydi","given":"Muhammad","non-dropping-particle":"","parse-names":false,"suffix":""}],"container-title":"MIQOT: Jurnal Ilmu-Ilmu Keislaman","id":"ITEM-1","issue":"2","issued":{"date-parts":[["2014"]]},"title":"Relasi laki-laki dan perempuan dalam al-qur’an menurut Amina Wadud","type":"article-journal","volume":"38"},"uris":["http://www.mendeley.com/documents/?uuid=18fb510a-4d85-482a-bc8d-a16acbf474c3"]}],"mendeley":{"formattedCitation":"Muhammad Rusydi, “Relasi Laki-Laki Dan Perempuan Dalam Al-Qur’an Menurut Amina Wadud,” &lt;i&gt;MIQOT: Jurnal Ilmu-Ilmu Keislaman&lt;/i&gt; 38, no. 2 (2014).","plainTextFormattedCitation":"Muhammad Rusydi, “Relasi Laki-Laki Dan Perempuan Dalam Al-Qur’an Menurut Amina Wadud,” MIQOT: Jurnal Ilmu-Ilmu Keislaman 38, no. 2 (2014).","previouslyFormattedCitation":"Muhammad Rusydi, “Relasi Laki-Laki Dan Perempuan Dalam Al-Qur’an Menurut Amina Wadud,” &lt;i&gt;MIQOT: Jurnal Ilmu-Ilmu Keislaman&lt;/i&gt; 38, no. 2 (2014)."},"properties":{"noteIndex":75},"schema":"https://github.com/citation-style-language/schema/raw/master/csl-citation.json"}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Muhammad Rusydi, "The Relationship of Men and Women in the Qur'an According to Amina Wadud," </w:t>
      </w:r>
      <w:r w:rsidRPr="00D20395">
        <w:rPr>
          <w:rFonts w:asciiTheme="majorBidi" w:hAnsiTheme="majorBidi" w:cstheme="majorBidi"/>
          <w:i/>
          <w:noProof/>
        </w:rPr>
        <w:t>MIQOT: Journal of Islamic Sciences</w:t>
      </w:r>
      <w:r w:rsidRPr="00D20395">
        <w:rPr>
          <w:rFonts w:asciiTheme="majorBidi" w:hAnsiTheme="majorBidi" w:cstheme="majorBidi"/>
          <w:noProof/>
        </w:rPr>
        <w:t xml:space="preserve"> 38, no. 2 (2014).</w:t>
      </w:r>
      <w:r w:rsidRPr="00D20395">
        <w:rPr>
          <w:rFonts w:asciiTheme="majorBidi" w:hAnsiTheme="majorBidi" w:cstheme="majorBidi"/>
        </w:rPr>
        <w:fldChar w:fldCharType="end"/>
      </w:r>
      <w:r w:rsidRPr="00D20395">
        <w:rPr>
          <w:sz w:val="24"/>
          <w:szCs w:val="24"/>
        </w:rPr>
        <w:t xml:space="preserve"> </w:t>
      </w:r>
      <w:hyperlink r:id="rId42" w:history="1">
        <w:r w:rsidRPr="00D20395">
          <w:rPr>
            <w:rStyle w:val="Hyperlink"/>
            <w:rFonts w:asciiTheme="majorBidi" w:hAnsiTheme="majorBidi" w:cstheme="majorBidi"/>
          </w:rPr>
          <w:t>http://dx.doi.org/10.30821/miqot.v38i2.60</w:t>
        </w:r>
      </w:hyperlink>
    </w:p>
  </w:footnote>
  <w:footnote w:id="73">
    <w:p w14:paraId="11B7837A"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2077-1444","author":[{"dropping-particle":"","family":"Wadud","given":"Amina","non-dropping-particle":"","parse-names":false,"suffix":""}],"container-title":"Religions","id":"ITEM-1","issue":"7","issued":{"date-parts":[["2021"]]},"page":"497","publisher":"MDPI","title":"Reflections on islamic feminist exegesis of the qur’an","type":"article-journal","volume":"12"},"uris":["http://www.mendeley.com/documents/?uuid=de37e411-f147-43af-bec4-5c0682b0d3d0"]}],"mendeley":{"formattedCitation":"Amina Wadud, “Reflections on Islamic Feminist Exegesis of the Qur’an,” &lt;i&gt;Religions&lt;/i&gt; 12, no. 7 (2021): 497.","plainTextFormattedCitation":"Amina Wadud, “Reflections on Islamic Feminist Exegesis of the Qur’an,” Religions 12, no. 7 (2021): 497.","previouslyFormattedCitation":"Amina Wadud, “Reflections on Islamic Feminist Exegesis of the Qur’an,” &lt;i&gt;Religions&lt;/i&gt; 12, no. 7 (2021): 497."},"properties":{"noteIndex":76},"schema":"https://github.com/citation-style-language/schema/raw/master/csl-citation.json"}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Amina Wadud, “Reflections on Islamic Feminist Exegesis of the Qur’an,” </w:t>
      </w:r>
      <w:r w:rsidRPr="00D20395">
        <w:rPr>
          <w:rFonts w:asciiTheme="majorBidi" w:hAnsiTheme="majorBidi" w:cstheme="majorBidi"/>
          <w:i/>
          <w:noProof/>
        </w:rPr>
        <w:t>Religions</w:t>
      </w:r>
      <w:r w:rsidRPr="00D20395">
        <w:rPr>
          <w:rFonts w:asciiTheme="majorBidi" w:hAnsiTheme="majorBidi" w:cstheme="majorBidi"/>
          <w:noProof/>
        </w:rPr>
        <w:t xml:space="preserve"> 12, no. 7 (2021): 497.</w:t>
      </w:r>
      <w:r w:rsidRPr="00D20395">
        <w:rPr>
          <w:rFonts w:asciiTheme="majorBidi" w:hAnsiTheme="majorBidi" w:cstheme="majorBidi"/>
        </w:rPr>
        <w:fldChar w:fldCharType="end"/>
      </w:r>
      <w:r w:rsidRPr="00D20395">
        <w:rPr>
          <w:sz w:val="24"/>
          <w:szCs w:val="24"/>
        </w:rPr>
        <w:t xml:space="preserve"> </w:t>
      </w:r>
      <w:hyperlink r:id="rId43" w:history="1">
        <w:r w:rsidRPr="00D20395">
          <w:rPr>
            <w:rStyle w:val="Hyperlink"/>
            <w:rFonts w:asciiTheme="majorBidi" w:hAnsiTheme="majorBidi" w:cstheme="majorBidi"/>
          </w:rPr>
          <w:t>https://doi.org/10.3390/rel12070497</w:t>
        </w:r>
      </w:hyperlink>
    </w:p>
  </w:footnote>
  <w:footnote w:id="74">
    <w:p w14:paraId="483B8BC1"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{"citationItems":[{"id":"ITEM-1","itemData":{"ISSN":"081562851X","author":[{"dropping-particle":"","family":"Wadud","given":"Amina","non-dropping-particle":"","parse-names":false,"suffix":""}],"container-title":"Windows of faith: Muslim women scholar-activists in North America","id":"ITEM-1","issued":{"date-parts":[["2000"]]},"page":"1","publisher":"Syracuse University Press Syracuse","title":"Alternative Qur’anic interpretation","type":"article-journal"},"uris":["http://www.mendeley.com/documents/?uuid=c0e9e2cb-304e-4f70-b238-20562e9730c9"]}],"mendeley":{"formattedCitation":"Amina Wadud, “Alternative Qur’anic Interpretation,” &lt;i&gt;Windows of Faith: Muslim Women Scholar-Activists in North America&lt;/i&gt;, 2000, 1.","plainTextFormattedCitation":"Amina Wadud, “Alternative Qur’anic Interpretation,” Windows of Faith: Muslim Women Scholar-Activists in North America, 2000, 1.","previouslyFormattedCitation":"Amina Wadud, “Alternative Qur’anic Interpretation,” &lt;i&gt;Windows of Faith: Muslim Women Scholar-Activists in North America&lt;/i&gt;, 2000, 1."},"properties":{"noteIndex":77},"schema":"https://github.com/citation-style-language/schema/raw/master/csl-citation.json"}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Amina Wadud, “Alternative Qur’anic Interpretation,” </w:t>
      </w:r>
      <w:r w:rsidRPr="00D20395">
        <w:rPr>
          <w:rFonts w:asciiTheme="majorBidi" w:hAnsiTheme="majorBidi" w:cstheme="majorBidi"/>
          <w:i/>
          <w:noProof/>
        </w:rPr>
        <w:t>Windows of Faith: Muslim Women Scholar-Activists in North America</w:t>
      </w:r>
      <w:r w:rsidRPr="00D20395">
        <w:rPr>
          <w:rFonts w:asciiTheme="majorBidi" w:hAnsiTheme="majorBidi" w:cstheme="majorBidi"/>
          <w:noProof/>
        </w:rPr>
        <w:t>, 2000, 1.</w:t>
      </w:r>
      <w:r w:rsidRPr="00D20395">
        <w:rPr>
          <w:rFonts w:asciiTheme="majorBidi" w:hAnsiTheme="majorBidi" w:cstheme="majorBidi"/>
        </w:rPr>
        <w:fldChar w:fldCharType="end"/>
      </w:r>
    </w:p>
  </w:footnote>
  <w:footnote w:id="75">
    <w:p w14:paraId="2F6D39F0" w14:textId="77777777" w:rsidR="00546849" w:rsidRDefault="00546849" w:rsidP="00D20395">
      <w:pPr>
        <w:pStyle w:val="FootnoteText"/>
        <w:jc w:val="both"/>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{"citationItems":[{"id":"ITEM-1","itemData":{"ISSN":"2503-4596","author":[{"dropping-particle":"","family":"Anam","given":"Haikal Fadhil","non-dropping-particle":"","parse-names":false,"suffix":""}],"container-title":"Musãwa Jurnal Studi Gender Dan Islam","id":"ITEM-1","issue":"1","issued":{"date-parts":[["2020"]]},"page":"43-56","title":"Poligami Dalam Hermeneutika Feminis Amina Wadud","type":"article-journal","volume":"19"},"uris":["http://www.mendeley.com/documents/?uuid=fc8e019e-bf9b-4cf3-bf0f-b575e21a92b7"]}],"mendeley":{"formattedCitation":"Haikal Fadhil Anam, “Poligami Dalam Hermeneutika Feminis Amina Wadud,” &lt;i&gt;Musãwa Jurnal Studi Gender Dan Islam&lt;/i&gt; 19, no. 1 (2020): 43–56.","plainTextFormattedCitation":"Haikal Fadhil Anam, “Poligami Dalam Hermeneutika Feminis Amina Wadud,” Musãwa Jurnal Studi Gender Dan Islam 19, no. 1 (2020): 43–56.","previouslyFormattedCitation":"Haikal Fadhil Anam, “Poligami Dalam Hermeneutika Feminis Amina Wadud,” &lt;i&gt;Musãwa Jurnal Studi Gender Dan Islam&lt;/i&gt; 19, no. 1 (2020): 43–56."},"properties":{"noteIndex":78},"schema":"https://github.com/citation-style-language/schema/raw/master/csl-citation.json"}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Haikal Fadhil Anam, "Polygamy in Amina Wadud's Feminist Hermeneutics," </w:t>
      </w:r>
      <w:r w:rsidRPr="00D20395">
        <w:rPr>
          <w:rFonts w:asciiTheme="majorBidi" w:hAnsiTheme="majorBidi" w:cstheme="majorBidi"/>
          <w:i/>
          <w:noProof/>
        </w:rPr>
        <w:t>Musãwa Journal of Gender and Islamic Studies</w:t>
      </w:r>
      <w:r w:rsidRPr="00D20395">
        <w:rPr>
          <w:rFonts w:asciiTheme="majorBidi" w:hAnsiTheme="majorBidi" w:cstheme="majorBidi"/>
          <w:noProof/>
        </w:rPr>
        <w:t xml:space="preserve"> 19, no. 1 (2020): 43–56.</w:t>
      </w:r>
      <w:r w:rsidRPr="00D20395">
        <w:rPr>
          <w:rFonts w:asciiTheme="majorBidi" w:hAnsiTheme="majorBidi" w:cstheme="majorBidi"/>
        </w:rPr>
        <w:fldChar w:fldCharType="end"/>
      </w:r>
      <w:r w:rsidRPr="00D20395">
        <w:rPr>
          <w:sz w:val="24"/>
          <w:szCs w:val="24"/>
        </w:rPr>
        <w:t xml:space="preserve"> </w:t>
      </w:r>
      <w:hyperlink r:id="rId44" w:history="1">
        <w:r w:rsidRPr="00D20395">
          <w:rPr>
            <w:rStyle w:val="Hyperlink"/>
            <w:rFonts w:asciiTheme="majorBidi" w:hAnsiTheme="majorBidi" w:cstheme="majorBidi"/>
          </w:rPr>
          <w:t>https://doi.org/10.14421/musawa.2020.191.43-56</w:t>
        </w:r>
      </w:hyperlink>
    </w:p>
  </w:footnote>
  <w:footnote w:id="76">
    <w:p w14:paraId="167ABE0B" w14:textId="77777777" w:rsidR="00546849" w:rsidRPr="00546849"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{"citationItems":[{"id":"ITEM-1","itemData":{"ISSN":"2776-6454","author":[{"dropping-particle":"","family":"Silitonga","given":"Boy Anto Ando","non-dropping-particle":"","parse-names":false,"suffix":""},{"dropping-particle":"","family":"Messakh","given":"Jefrit Johanis","non-dropping-particle":"","parse-names":false,"suffix":""},{"dropping-particle":"","family":"Naibaho","given":"Lamhot","non-dropping-particle":"","parse-names":false,"suffix":""}],"container-title":"Harati","id":"ITEM-1","issue":"2","issued":{"date-parts":[["2023"]]},"page":"189-204","publisher":"Fakultas Keguruan dan Ilmu Pendidikan Kristen Institut Agama Kristen Negeri …","title":"Analisis Kapitalisme Max Weber sebagai Jalan Pendidikan Agama Kristen Menghadapi Kemiskinan","type":"article-journal","volume":"3"},"uris":["http://www.mendeley.com/documents/?uuid=7c3e7b98-382a-47fc-92f1-8b3cc2453211"]}],"mendeley":{"formattedCitation":"Boy Anto Ando Silitonga, Jefrit Johanis Messakh, and Lamhot Naibaho, “Analisis Kapitalisme Max Weber Sebagai Jalan Pendidikan Agama Kristen Menghadapi Kemiskinan,” &lt;i&gt;Harati&lt;/i&gt; 3, no. 2 (2023): 189–204.","plainTextFormattedCitation":"Boy Anto Ando Silitonga, Jefrit Johanis Messakh, and Lamhot Naibaho, “Analisis Kapitalisme Max Weber Sebagai Jalan Pendidikan Agama Kristen Menghadapi Kemiskinan,” Harati 3, no. 2 (2023): 189–204.","previouslyFormattedCitation":"Boy Anto Ando Silitonga, Jefrit Johanis Messakh, and Lamhot Naibaho, “Analisis Kapitalisme Max Weber Sebagai Jalan Pendidikan Agama Kristen Menghadapi Kemiskinan,” &lt;i&gt;Harati&lt;/i&gt; 3, no. 2 (2023): 189–204."},"properties":{"noteIndex":79},"schema":"https://github.com/citation-style-language/schema/raw/master/csl-citation.json"}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Boy Anto Ando Silitonga, Jefrit Johanis Messakh, and Lamhot Naibaho, "Max Weber's Analysis of Capitalism as a Way of Christian Education in the Face of Poverty," </w:t>
      </w:r>
      <w:r w:rsidRPr="00D20395">
        <w:rPr>
          <w:rFonts w:asciiTheme="majorBidi" w:hAnsiTheme="majorBidi" w:cstheme="majorBidi"/>
          <w:i/>
          <w:noProof/>
        </w:rPr>
        <w:t>Harati</w:t>
      </w:r>
      <w:r w:rsidRPr="00D20395">
        <w:rPr>
          <w:rFonts w:asciiTheme="majorBidi" w:hAnsiTheme="majorBidi" w:cstheme="majorBidi"/>
          <w:noProof/>
        </w:rPr>
        <w:t xml:space="preserve"> 3, no. 2 (2023): 189–204.</w:t>
      </w:r>
      <w:r w:rsidRPr="00D20395">
        <w:rPr>
          <w:rFonts w:asciiTheme="majorBidi" w:hAnsiTheme="majorBidi" w:cstheme="majorBidi"/>
        </w:rPr>
        <w:fldChar w:fldCharType="end"/>
      </w:r>
    </w:p>
  </w:footnote>
  <w:footnote w:id="77">
    <w:p w14:paraId="13388C03"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{"citationItems":[{"id":"ITEM-1","itemData":{"ISSN":"1823-0970","author":[{"dropping-particle":"","family":"MAHMAD","given":"ROBBI A A","non-dropping-particle":"","parse-names":false,"suffix":""},{"dropping-particle":"","family":"Mahmud","given":"M W","non-dropping-particle":"","parse-names":false,"suffix":""}],"container-title":"JOURNAL OF ISLAM IN ASIA Учредители: IIUM Press","id":"ITEM-1","issue":"3","issued":{"date-parts":[["2020"]]},"page":"291-320","title":"MaqāṢid Al-‘Adl (Keadilan) Dalam Isu Tuntutan Harta Sepencarian Di Malaysia (The Objective of Fairness (al-‘Adl) in The Matrimonial Property Conflict in Malaysia)","type":"article-journal","volume":"17"},"uris":["http://www.mendeley.com/documents/?uuid=25e2ee8d-a80c-4feb-be8a-8287830fbb2c"]}],"mendeley":{"formattedCitation":"ROBBI A A MAHMAD and M W Mahmud, “MaqāṢid Al-‘Adl (Keadilan) Dalam Isu Tuntutan Harta Sepencarian Di Malaysia (The Objective of Fairness (Al-‘Adl) in The Matrimonial Property Conflict in Malaysia),” &lt;i&gt;JOURNAL OF ISLAM IN ASIA Учредители: IIUM Press&lt;/i&gt; 17, no. 3 (2020): 291–320.","plainTextFormattedCitation":"ROBBI A A MAHMAD and M W Mahmud, “MaqāṢid Al-‘Adl (Keadilan) Dalam Isu Tuntutan Harta Sepencarian Di Malaysia (The Objective of Fairness (Al-‘Adl) in The Matrimonial Property Conflict in Malaysia),” JOURNAL OF ISLAM IN ASIA Учредители: IIUM Press 17, no. 3 (2020): 291–320.","previouslyFormattedCitation":"ROBBI A A MAHMAD and M W Mahmud, “MaqāṢid Al-‘Adl (Keadilan) Dalam Isu Tuntutan Harta Sepencarian Di Malaysia (The Objective of Fairness (Al-‘Adl) in The Matrimonial Property Conflict in Malaysia),” &lt;i&gt;JOURNAL OF ISLAM IN ASIA Учредители: IIUM Press&lt;/i&gt; 17, no. 3 (2020): 291–320."},"properties":{"noteIndex":80},"schema":"https://github.com/citation-style-language/schema/raw/master/csl-citation.json"}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ROBBI A A MAHMAD and M W Mahmud, “MaqāṢid Al-‘Adl (Keadilan) Dalam Isu Tuntutan Harta Sepencarian Di Malaysia (The Objective of Fairness (Al-‘Adl) in The Matrimonial Property Conflict in Malaysia),” </w:t>
      </w:r>
      <w:r w:rsidRPr="00D20395">
        <w:rPr>
          <w:rFonts w:asciiTheme="majorBidi" w:hAnsiTheme="majorBidi" w:cstheme="majorBidi"/>
          <w:i/>
          <w:noProof/>
        </w:rPr>
        <w:t>JOURNAL OF ISLAM IN ASIA Учредители: IIUM Press</w:t>
      </w:r>
      <w:r w:rsidRPr="00D20395">
        <w:rPr>
          <w:rFonts w:asciiTheme="majorBidi" w:hAnsiTheme="majorBidi" w:cstheme="majorBidi"/>
          <w:noProof/>
        </w:rPr>
        <w:t xml:space="preserve"> 17, no. 3 (2020): 291–320.</w:t>
      </w:r>
      <w:r w:rsidRPr="00D20395">
        <w:rPr>
          <w:rFonts w:asciiTheme="majorBidi" w:hAnsiTheme="majorBidi" w:cstheme="majorBidi"/>
        </w:rPr>
        <w:fldChar w:fldCharType="end"/>
      </w:r>
    </w:p>
  </w:footnote>
  <w:footnote w:id="78">
    <w:p w14:paraId="45C625AA" w14:textId="77777777" w:rsidR="00546849" w:rsidRPr="00D20395" w:rsidRDefault="00546849" w:rsidP="00D20395">
      <w:pPr>
        <w:pStyle w:val="FootnoteText"/>
        <w:jc w:val="both"/>
        <w:rPr>
          <w:rFonts w:asciiTheme="majorBidi" w:hAnsiTheme="majorBidi" w:cstheme="majorBidi"/>
        </w:rPr>
      </w:pPr>
      <w:r w:rsidRPr="00D20395">
        <w:rPr>
          <w:rStyle w:val="FootnoteReference"/>
          <w:rFonts w:asciiTheme="majorBidi" w:hAnsiTheme="majorBidi" w:cstheme="majorBidi"/>
        </w:rPr>
        <w:footnoteRef/>
      </w:r>
      <w:r w:rsidRPr="00D20395">
        <w:rPr>
          <w:rFonts w:asciiTheme="majorBidi" w:hAnsiTheme="majorBidi" w:cstheme="majorBidi"/>
        </w:rPr>
        <w:t xml:space="preserve"> </w:t>
      </w:r>
      <w:r w:rsidRPr="00D20395">
        <w:rPr>
          <w:rFonts w:asciiTheme="majorBidi" w:hAnsiTheme="majorBidi" w:cstheme="majorBidi"/>
        </w:rPr>
        <w:fldChar w:fldCharType="begin" w:fldLock="1"/>
      </w:r>
      <w:r w:rsidRPr="00D20395">
        <w:rPr>
          <w:rFonts w:asciiTheme="majorBidi" w:hAnsiTheme="majorBidi" w:cstheme="majorBidi"/>
        </w:rPr>
        <w:instrText>ADDIN CSL_CITATION {"citationItems":[{"id":"ITEM-1","itemData":{"ISSN":"2828-0245","author":[{"dropping-particle":"","family":"Purnamasari","given":"Gazlina Nur","non-dropping-particle":"","parse-names":false,"suffix":""}],"container-title":"SPECTRUM: Journal of Gender and Children Studies","id":"ITEM-1","issue":"1","issued":{"date-parts":[["2025"]]},"page":"43-58","title":"Mengatasi Ketimpangan Gender dengan Keterlibatan Ayah di Budaya Patriarkis Indonesia","type":"article-journal","volume":"5"},"uris":["http://www.mendeley.com/documents/?uuid=a0d9cdf2-4e9d-4613-8aff-7209a2d66664"]}],"mendeley":{"formattedCitation":"Gazlina Nur Purnamasari, “Mengatasi Ketimpangan Gender Dengan Keterlibatan Ayah Di Budaya Patriarkis Indonesia,” &lt;i&gt;SPECTRUM: Journal of Gender and Children Studies&lt;/i&gt; 5, no. 1 (2025): 43–58.","plainTextFormattedCitation":"Gazlina Nur Purnamasari, “Mengatasi Ketimpangan Gender Dengan Keterlibatan Ayah Di Budaya Patriarkis Indonesia,” SPECTRUM: Journal of Gender and Children Studies 5, no. 1 (2025): 43–58.","previouslyFormattedCitation":"Gazlina Nur Purnamasari, “Mengatasi Ketimpangan Gender Dengan Keterlibatan Ayah Di Budaya Patriarkis Indonesia,” &lt;i&gt;SPECTRUM: Journal of Gender and Children Studies&lt;/i&gt; 5, no. 1 (2025): 43–58."},"properties":{"noteIndex":81},"schema":"https://github.com/citation-style-language/schema/raw/master/csl-citation.json"}</w:instrText>
      </w:r>
      <w:r w:rsidRPr="00D20395">
        <w:rPr>
          <w:rFonts w:asciiTheme="majorBidi" w:hAnsiTheme="majorBidi" w:cstheme="majorBidi"/>
        </w:rPr>
        <w:fldChar w:fldCharType="separate"/>
      </w:r>
      <w:r w:rsidRPr="00D20395">
        <w:rPr>
          <w:rFonts w:asciiTheme="majorBidi" w:hAnsiTheme="majorBidi" w:cstheme="majorBidi"/>
          <w:noProof/>
        </w:rPr>
        <w:t xml:space="preserve">Gazlina Nur Purnamasari, "Overcoming Gender Inequality with Father's Involvement in Indonesian Patriarchal Culture," </w:t>
      </w:r>
      <w:r w:rsidRPr="00D20395">
        <w:rPr>
          <w:rFonts w:asciiTheme="majorBidi" w:hAnsiTheme="majorBidi" w:cstheme="majorBidi"/>
          <w:i/>
          <w:noProof/>
        </w:rPr>
        <w:t>SPECTRUM: Journal of Gender and Children Studies</w:t>
      </w:r>
      <w:r w:rsidRPr="00D20395">
        <w:rPr>
          <w:rFonts w:asciiTheme="majorBidi" w:hAnsiTheme="majorBidi" w:cstheme="majorBidi"/>
          <w:noProof/>
        </w:rPr>
        <w:t xml:space="preserve"> 5, no. 1 (2025): 43–58.</w:t>
      </w:r>
      <w:r w:rsidRPr="00D20395">
        <w:rPr>
          <w:rFonts w:asciiTheme="majorBidi" w:hAnsiTheme="majorBidi" w:cstheme="majorBidi"/>
        </w:rPr>
        <w:fldChar w:fldCharType="end"/>
      </w:r>
      <w:r w:rsidRPr="00D20395">
        <w:rPr>
          <w:sz w:val="24"/>
          <w:szCs w:val="24"/>
        </w:rPr>
        <w:t xml:space="preserve"> </w:t>
      </w:r>
      <w:hyperlink r:id="rId45" w:history="1">
        <w:r w:rsidRPr="00D20395">
          <w:rPr>
            <w:rStyle w:val="Hyperlink"/>
            <w:rFonts w:asciiTheme="majorBidi" w:hAnsiTheme="majorBidi" w:cstheme="majorBidi"/>
          </w:rPr>
          <w:t>https://doi.org/10.30984/spectrum.v5i1.1400</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10C52"/>
    <w:multiLevelType w:val="multilevel"/>
    <w:tmpl w:val="8D5E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8C3B6A"/>
    <w:multiLevelType w:val="multilevel"/>
    <w:tmpl w:val="4968839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11033049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9883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B8D"/>
    <w:rsid w:val="00013159"/>
    <w:rsid w:val="00024160"/>
    <w:rsid w:val="00035521"/>
    <w:rsid w:val="000355AC"/>
    <w:rsid w:val="0004049D"/>
    <w:rsid w:val="00060F6F"/>
    <w:rsid w:val="00091F44"/>
    <w:rsid w:val="00093036"/>
    <w:rsid w:val="000A21F8"/>
    <w:rsid w:val="000C12FF"/>
    <w:rsid w:val="000E158D"/>
    <w:rsid w:val="001333D4"/>
    <w:rsid w:val="00136241"/>
    <w:rsid w:val="00141DEF"/>
    <w:rsid w:val="00142DCC"/>
    <w:rsid w:val="0016238F"/>
    <w:rsid w:val="0016351B"/>
    <w:rsid w:val="00175303"/>
    <w:rsid w:val="001A426A"/>
    <w:rsid w:val="00207E80"/>
    <w:rsid w:val="00230EA8"/>
    <w:rsid w:val="00251789"/>
    <w:rsid w:val="00281F0E"/>
    <w:rsid w:val="002C4D11"/>
    <w:rsid w:val="00300193"/>
    <w:rsid w:val="003071F3"/>
    <w:rsid w:val="0033332B"/>
    <w:rsid w:val="003438EC"/>
    <w:rsid w:val="00350746"/>
    <w:rsid w:val="00390E4D"/>
    <w:rsid w:val="003A2359"/>
    <w:rsid w:val="003F428E"/>
    <w:rsid w:val="00451389"/>
    <w:rsid w:val="0046070B"/>
    <w:rsid w:val="004B26D3"/>
    <w:rsid w:val="004E6AC3"/>
    <w:rsid w:val="004F19C3"/>
    <w:rsid w:val="005072D2"/>
    <w:rsid w:val="0053341B"/>
    <w:rsid w:val="00546849"/>
    <w:rsid w:val="00551A6E"/>
    <w:rsid w:val="0057255A"/>
    <w:rsid w:val="00580436"/>
    <w:rsid w:val="00581296"/>
    <w:rsid w:val="005A0087"/>
    <w:rsid w:val="005A0C5B"/>
    <w:rsid w:val="005A6F76"/>
    <w:rsid w:val="005B3295"/>
    <w:rsid w:val="005D4507"/>
    <w:rsid w:val="005E09AD"/>
    <w:rsid w:val="006169CB"/>
    <w:rsid w:val="00617EA0"/>
    <w:rsid w:val="00622ADB"/>
    <w:rsid w:val="0065286A"/>
    <w:rsid w:val="00662A75"/>
    <w:rsid w:val="00682704"/>
    <w:rsid w:val="0068573A"/>
    <w:rsid w:val="006B5E9D"/>
    <w:rsid w:val="006C1301"/>
    <w:rsid w:val="006E19BC"/>
    <w:rsid w:val="007677F9"/>
    <w:rsid w:val="007806ED"/>
    <w:rsid w:val="00791B8D"/>
    <w:rsid w:val="007962E2"/>
    <w:rsid w:val="007D6A4C"/>
    <w:rsid w:val="007E31D3"/>
    <w:rsid w:val="007F4CBB"/>
    <w:rsid w:val="00804702"/>
    <w:rsid w:val="008334D2"/>
    <w:rsid w:val="008356AE"/>
    <w:rsid w:val="00846AEC"/>
    <w:rsid w:val="008550EE"/>
    <w:rsid w:val="00910BD7"/>
    <w:rsid w:val="00916D50"/>
    <w:rsid w:val="00940F06"/>
    <w:rsid w:val="0095645B"/>
    <w:rsid w:val="009619C9"/>
    <w:rsid w:val="00991113"/>
    <w:rsid w:val="009A3752"/>
    <w:rsid w:val="009C64D0"/>
    <w:rsid w:val="009D0C45"/>
    <w:rsid w:val="009E4E48"/>
    <w:rsid w:val="009E775D"/>
    <w:rsid w:val="00A67F5C"/>
    <w:rsid w:val="00A963D3"/>
    <w:rsid w:val="00AA2925"/>
    <w:rsid w:val="00AA5DA5"/>
    <w:rsid w:val="00AB1050"/>
    <w:rsid w:val="00AB16D2"/>
    <w:rsid w:val="00AE3FD6"/>
    <w:rsid w:val="00B05C25"/>
    <w:rsid w:val="00B13EF1"/>
    <w:rsid w:val="00B352B4"/>
    <w:rsid w:val="00B50DDC"/>
    <w:rsid w:val="00B64411"/>
    <w:rsid w:val="00B858B7"/>
    <w:rsid w:val="00BA26B9"/>
    <w:rsid w:val="00BC4375"/>
    <w:rsid w:val="00BE3273"/>
    <w:rsid w:val="00C228E9"/>
    <w:rsid w:val="00C3520C"/>
    <w:rsid w:val="00C615EE"/>
    <w:rsid w:val="00C8019E"/>
    <w:rsid w:val="00C86210"/>
    <w:rsid w:val="00C919DF"/>
    <w:rsid w:val="00CE3C65"/>
    <w:rsid w:val="00CE7181"/>
    <w:rsid w:val="00D20395"/>
    <w:rsid w:val="00D43A70"/>
    <w:rsid w:val="00D45237"/>
    <w:rsid w:val="00D460DD"/>
    <w:rsid w:val="00D61249"/>
    <w:rsid w:val="00D819F1"/>
    <w:rsid w:val="00D8672E"/>
    <w:rsid w:val="00DA2EFE"/>
    <w:rsid w:val="00DA4135"/>
    <w:rsid w:val="00DF485D"/>
    <w:rsid w:val="00E0244D"/>
    <w:rsid w:val="00E05C39"/>
    <w:rsid w:val="00E60753"/>
    <w:rsid w:val="00E72247"/>
    <w:rsid w:val="00ED6A33"/>
    <w:rsid w:val="00EE6E31"/>
    <w:rsid w:val="00EF7B41"/>
    <w:rsid w:val="00F10B98"/>
    <w:rsid w:val="00F15B81"/>
    <w:rsid w:val="00F16B3F"/>
    <w:rsid w:val="00F22625"/>
    <w:rsid w:val="00F40DE8"/>
    <w:rsid w:val="00F7420D"/>
    <w:rsid w:val="00FA1208"/>
    <w:rsid w:val="00FD3EEA"/>
    <w:rsid w:val="00FF51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3CBB5"/>
  <w15:chartTrackingRefBased/>
  <w15:docId w15:val="{2AB1EB78-035E-4969-8D0C-F39C51D7F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B8D"/>
  </w:style>
  <w:style w:type="paragraph" w:styleId="Heading1">
    <w:name w:val="heading 1"/>
    <w:basedOn w:val="Normal"/>
    <w:next w:val="Normal"/>
    <w:link w:val="Heading1Char"/>
    <w:uiPriority w:val="9"/>
    <w:qFormat/>
    <w:rsid w:val="00791B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91B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1B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1B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1B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1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B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91B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1B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1B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1B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1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B8D"/>
    <w:rPr>
      <w:rFonts w:eastAsiaTheme="majorEastAsia" w:cstheme="majorBidi"/>
      <w:color w:val="272727" w:themeColor="text1" w:themeTint="D8"/>
    </w:rPr>
  </w:style>
  <w:style w:type="paragraph" w:styleId="Title">
    <w:name w:val="Title"/>
    <w:basedOn w:val="Normal"/>
    <w:next w:val="Normal"/>
    <w:link w:val="TitleChar"/>
    <w:uiPriority w:val="10"/>
    <w:qFormat/>
    <w:rsid w:val="00791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B8D"/>
    <w:pPr>
      <w:spacing w:before="160"/>
      <w:jc w:val="center"/>
    </w:pPr>
    <w:rPr>
      <w:i/>
      <w:iCs/>
      <w:color w:val="404040" w:themeColor="text1" w:themeTint="BF"/>
    </w:rPr>
  </w:style>
  <w:style w:type="character" w:customStyle="1" w:styleId="QuoteChar">
    <w:name w:val="Quote Char"/>
    <w:basedOn w:val="DefaultParagraphFont"/>
    <w:link w:val="Quote"/>
    <w:uiPriority w:val="29"/>
    <w:rsid w:val="00791B8D"/>
    <w:rPr>
      <w:i/>
      <w:iCs/>
      <w:color w:val="404040" w:themeColor="text1" w:themeTint="BF"/>
    </w:rPr>
  </w:style>
  <w:style w:type="paragraph" w:styleId="ListParagraph">
    <w:name w:val="List Paragraph"/>
    <w:basedOn w:val="Normal"/>
    <w:uiPriority w:val="34"/>
    <w:qFormat/>
    <w:rsid w:val="00791B8D"/>
    <w:pPr>
      <w:ind w:left="720"/>
      <w:contextualSpacing/>
    </w:pPr>
  </w:style>
  <w:style w:type="character" w:styleId="IntenseEmphasis">
    <w:name w:val="Intense Emphasis"/>
    <w:basedOn w:val="DefaultParagraphFont"/>
    <w:uiPriority w:val="21"/>
    <w:qFormat/>
    <w:rsid w:val="00791B8D"/>
    <w:rPr>
      <w:i/>
      <w:iCs/>
      <w:color w:val="2F5496" w:themeColor="accent1" w:themeShade="BF"/>
    </w:rPr>
  </w:style>
  <w:style w:type="paragraph" w:styleId="IntenseQuote">
    <w:name w:val="Intense Quote"/>
    <w:basedOn w:val="Normal"/>
    <w:next w:val="Normal"/>
    <w:link w:val="IntenseQuoteChar"/>
    <w:uiPriority w:val="30"/>
    <w:qFormat/>
    <w:rsid w:val="00791B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1B8D"/>
    <w:rPr>
      <w:i/>
      <w:iCs/>
      <w:color w:val="2F5496" w:themeColor="accent1" w:themeShade="BF"/>
    </w:rPr>
  </w:style>
  <w:style w:type="character" w:styleId="IntenseReference">
    <w:name w:val="Intense Reference"/>
    <w:basedOn w:val="DefaultParagraphFont"/>
    <w:uiPriority w:val="32"/>
    <w:qFormat/>
    <w:rsid w:val="00791B8D"/>
    <w:rPr>
      <w:b/>
      <w:bCs/>
      <w:smallCaps/>
      <w:color w:val="2F5496" w:themeColor="accent1" w:themeShade="BF"/>
      <w:spacing w:val="5"/>
    </w:rPr>
  </w:style>
  <w:style w:type="paragraph" w:styleId="FootnoteText">
    <w:name w:val="footnote text"/>
    <w:basedOn w:val="Normal"/>
    <w:link w:val="FootnoteTextChar"/>
    <w:uiPriority w:val="99"/>
    <w:unhideWhenUsed/>
    <w:rsid w:val="00791B8D"/>
    <w:pPr>
      <w:spacing w:after="0" w:line="240" w:lineRule="auto"/>
    </w:pPr>
    <w:rPr>
      <w:sz w:val="20"/>
      <w:szCs w:val="20"/>
    </w:rPr>
  </w:style>
  <w:style w:type="character" w:customStyle="1" w:styleId="FootnoteTextChar">
    <w:name w:val="Footnote Text Char"/>
    <w:basedOn w:val="DefaultParagraphFont"/>
    <w:link w:val="FootnoteText"/>
    <w:uiPriority w:val="99"/>
    <w:rsid w:val="00791B8D"/>
    <w:rPr>
      <w:sz w:val="20"/>
      <w:szCs w:val="20"/>
    </w:rPr>
  </w:style>
  <w:style w:type="character" w:styleId="FootnoteReference">
    <w:name w:val="footnote reference"/>
    <w:basedOn w:val="DefaultParagraphFont"/>
    <w:uiPriority w:val="99"/>
    <w:semiHidden/>
    <w:unhideWhenUsed/>
    <w:rsid w:val="00791B8D"/>
    <w:rPr>
      <w:vertAlign w:val="superscript"/>
    </w:rPr>
  </w:style>
  <w:style w:type="table" w:styleId="TableGrid">
    <w:name w:val="Table Grid"/>
    <w:basedOn w:val="TableNormal"/>
    <w:uiPriority w:val="39"/>
    <w:rsid w:val="00791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1B8D"/>
    <w:rPr>
      <w:color w:val="0000FF"/>
      <w:u w:val="single"/>
    </w:rPr>
  </w:style>
  <w:style w:type="character" w:styleId="UnresolvedMention">
    <w:name w:val="Unresolved Mention"/>
    <w:basedOn w:val="DefaultParagraphFont"/>
    <w:uiPriority w:val="99"/>
    <w:semiHidden/>
    <w:unhideWhenUsed/>
    <w:rsid w:val="00791B8D"/>
    <w:rPr>
      <w:color w:val="605E5C"/>
      <w:shd w:val="clear" w:color="auto" w:fill="E1DFDD"/>
    </w:rPr>
  </w:style>
  <w:style w:type="paragraph" w:styleId="NormalWeb">
    <w:name w:val="Normal (Web)"/>
    <w:basedOn w:val="Normal"/>
    <w:uiPriority w:val="99"/>
    <w:semiHidden/>
    <w:unhideWhenUsed/>
    <w:rsid w:val="00C919DF"/>
    <w:rPr>
      <w:rFonts w:ascii="Times New Roman" w:hAnsi="Times New Roman" w:cs="Times New Roman"/>
    </w:rPr>
  </w:style>
  <w:style w:type="character" w:styleId="EndnoteReference">
    <w:name w:val="endnote reference"/>
    <w:basedOn w:val="DefaultParagraphFont"/>
    <w:uiPriority w:val="99"/>
    <w:semiHidden/>
    <w:unhideWhenUsed/>
    <w:rsid w:val="005A0C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30821/miqot.v49i1.1332" TargetMode="External"/><Relationship Id="rId18" Type="http://schemas.openxmlformats.org/officeDocument/2006/relationships/hyperlink" Target="https://doi.org/10.26742/jbe.v6i1.2076" TargetMode="External"/><Relationship Id="rId26" Type="http://schemas.openxmlformats.org/officeDocument/2006/relationships/hyperlink" Target="https://doi.org/10.32332/milrev.v4i2.10624" TargetMode="External"/><Relationship Id="rId39" Type="http://schemas.openxmlformats.org/officeDocument/2006/relationships/hyperlink" Target="http://dx.doi.org/10.30821/miqot.v38i2.60" TargetMode="External"/><Relationship Id="rId21" Type="http://schemas.openxmlformats.org/officeDocument/2006/relationships/hyperlink" Target="https://doi.org/10.21580/ahkam.2025.35.2.25605" TargetMode="External"/><Relationship Id="rId34" Type="http://schemas.openxmlformats.org/officeDocument/2006/relationships/hyperlink" Target="http://dx.doi.org/10.24014/marwah.v18i2.7588" TargetMode="External"/><Relationship Id="rId42" Type="http://schemas.openxmlformats.org/officeDocument/2006/relationships/hyperlink" Target="https://doi.org/10.18860/j-fsh.v16i1.23989" TargetMode="External"/><Relationship Id="rId47" Type="http://schemas.openxmlformats.org/officeDocument/2006/relationships/hyperlink" Target="http://dx.doi.org/10.18860/j-fsh.v17i2.32486" TargetMode="External"/><Relationship Id="rId50" Type="http://schemas.openxmlformats.org/officeDocument/2006/relationships/hyperlink" Target="https://doi.org/10.55606/jurripen.v4i2.5909" TargetMode="External"/><Relationship Id="rId55" Type="http://schemas.openxmlformats.org/officeDocument/2006/relationships/hyperlink" Target="http://dx.doi.org/10.24235/equalita.v4i1.1090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63462/7m085r66" TargetMode="External"/><Relationship Id="rId29" Type="http://schemas.openxmlformats.org/officeDocument/2006/relationships/hyperlink" Target="https://doi.org/10.20414/ijhi.v24i1.776" TargetMode="External"/><Relationship Id="rId11" Type="http://schemas.openxmlformats.org/officeDocument/2006/relationships/hyperlink" Target="https://doi.org/10.3390/rel12070497" TargetMode="External"/><Relationship Id="rId24" Type="http://schemas.openxmlformats.org/officeDocument/2006/relationships/hyperlink" Target="https://doi.org/10.32734/abdimastalenta.v3i2.4163" TargetMode="External"/><Relationship Id="rId32" Type="http://schemas.openxmlformats.org/officeDocument/2006/relationships/hyperlink" Target="https://doi.org/10.22373/sjhk.v9.i3.30568" TargetMode="External"/><Relationship Id="rId37" Type="http://schemas.openxmlformats.org/officeDocument/2006/relationships/hyperlink" Target="https://doi.org/10.32332/milrev.v5i1.11534" TargetMode="External"/><Relationship Id="rId40" Type="http://schemas.openxmlformats.org/officeDocument/2006/relationships/hyperlink" Target="https://doi.org/10.22373/sjhk.v9.i3.29775" TargetMode="External"/><Relationship Id="rId45" Type="http://schemas.openxmlformats.org/officeDocument/2006/relationships/hyperlink" Target="http://dx.doi.org/10.24127/pro.v6i2.1691" TargetMode="External"/><Relationship Id="rId53" Type="http://schemas.openxmlformats.org/officeDocument/2006/relationships/hyperlink" Target="https://doi.org/10.18860/j-fsh.v16i1.27681"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doi.org/10.36277/basataka.v8i1.732" TargetMode="External"/><Relationship Id="rId4" Type="http://schemas.openxmlformats.org/officeDocument/2006/relationships/settings" Target="settings.xml"/><Relationship Id="rId9" Type="http://schemas.openxmlformats.org/officeDocument/2006/relationships/hyperlink" Target="https://doi.org/10.26740/lentera.v1i1.6819" TargetMode="External"/><Relationship Id="rId14" Type="http://schemas.openxmlformats.org/officeDocument/2006/relationships/hyperlink" Target="https://doi.org/10.62005/iseco.v2i1.33" TargetMode="External"/><Relationship Id="rId22" Type="http://schemas.openxmlformats.org/officeDocument/2006/relationships/hyperlink" Target="https://doi.org/10.30984/spectrum.v5i1.1400" TargetMode="External"/><Relationship Id="rId27" Type="http://schemas.openxmlformats.org/officeDocument/2006/relationships/hyperlink" Target="https://doi.org/10.26623/jic.v6i1.3281" TargetMode="External"/><Relationship Id="rId30" Type="http://schemas.openxmlformats.org/officeDocument/2006/relationships/hyperlink" Target="https://doi.org/10.32884/ideas.v9i1.1188" TargetMode="External"/><Relationship Id="rId35" Type="http://schemas.openxmlformats.org/officeDocument/2006/relationships/hyperlink" Target="https://doi.org/10.18860/j-fsh.v17i2.31562" TargetMode="External"/><Relationship Id="rId43" Type="http://schemas.openxmlformats.org/officeDocument/2006/relationships/hyperlink" Target="https://doi.org/10.20414/qawwam.v16i1.5258" TargetMode="External"/><Relationship Id="rId48" Type="http://schemas.openxmlformats.org/officeDocument/2006/relationships/hyperlink" Target="https://doi.org/10.51178/jpspr.v3i2.1350" TargetMode="External"/><Relationship Id="rId56" Type="http://schemas.openxmlformats.org/officeDocument/2006/relationships/hyperlink" Target="http://dx.doi.org/10.37905/dikmas.2.1.171-182.2022" TargetMode="External"/><Relationship Id="rId8" Type="http://schemas.openxmlformats.org/officeDocument/2006/relationships/hyperlink" Target="mailto:hadriana@usu.ac.id" TargetMode="External"/><Relationship Id="rId51" Type="http://schemas.openxmlformats.org/officeDocument/2006/relationships/hyperlink" Target="https://doi.org/10.18326/ijtihad.v25i2.279-303" TargetMode="External"/><Relationship Id="rId3" Type="http://schemas.openxmlformats.org/officeDocument/2006/relationships/styles" Target="styles.xml"/><Relationship Id="rId12" Type="http://schemas.openxmlformats.org/officeDocument/2006/relationships/hyperlink" Target="https://doi.org/10.22373/sjhk.v9.i3.22829" TargetMode="External"/><Relationship Id="rId17" Type="http://schemas.openxmlformats.org/officeDocument/2006/relationships/hyperlink" Target="https://doi.org/10.20527/h-js.v3i1.210" TargetMode="External"/><Relationship Id="rId25" Type="http://schemas.openxmlformats.org/officeDocument/2006/relationships/hyperlink" Target="https://doi.org/10.14421/musawa.2020.191.43-56" TargetMode="External"/><Relationship Id="rId33" Type="http://schemas.openxmlformats.org/officeDocument/2006/relationships/hyperlink" Target="https://doi.org/10.26740/kmkn.v11n1.p114-129" TargetMode="External"/><Relationship Id="rId38" Type="http://schemas.openxmlformats.org/officeDocument/2006/relationships/hyperlink" Target="https://doi.org/10.71242/akcp9f65" TargetMode="External"/><Relationship Id="rId46" Type="http://schemas.openxmlformats.org/officeDocument/2006/relationships/hyperlink" Target="https://doi.org/10.61511/ersud.v1i1.2024.473" TargetMode="External"/><Relationship Id="rId59" Type="http://schemas.openxmlformats.org/officeDocument/2006/relationships/theme" Target="theme/theme1.xml"/><Relationship Id="rId20" Type="http://schemas.openxmlformats.org/officeDocument/2006/relationships/hyperlink" Target="https://doi.org/10.35723/ajie.v8i4.46" TargetMode="External"/><Relationship Id="rId41" Type="http://schemas.openxmlformats.org/officeDocument/2006/relationships/hyperlink" Target="https://doi.org/10.62976/ierj.v2i2.528" TargetMode="External"/><Relationship Id="rId54" Type="http://schemas.openxmlformats.org/officeDocument/2006/relationships/hyperlink" Target="https://doi.org/10.37812/fatawa.v4i1.154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1604/jips.v8i8.2021.2463-2478" TargetMode="External"/><Relationship Id="rId23" Type="http://schemas.openxmlformats.org/officeDocument/2006/relationships/hyperlink" Target="https://doi.org/10.21580/ahkam.2025.35.2.27814" TargetMode="External"/><Relationship Id="rId28" Type="http://schemas.openxmlformats.org/officeDocument/2006/relationships/hyperlink" Target="https://doi.org/10.30863/an.v17i1.6720" TargetMode="External"/><Relationship Id="rId36" Type="http://schemas.openxmlformats.org/officeDocument/2006/relationships/hyperlink" Target="https://doi.org/10.53769/deiktis.v5i1.1395" TargetMode="External"/><Relationship Id="rId49" Type="http://schemas.openxmlformats.org/officeDocument/2006/relationships/hyperlink" Target="https://doi.org/10.29240/jhi.v11i1.12677" TargetMode="External"/><Relationship Id="rId57" Type="http://schemas.openxmlformats.org/officeDocument/2006/relationships/hyperlink" Target="https://doi.org/10.23917/qist.v2i3.2908" TargetMode="External"/><Relationship Id="rId10" Type="http://schemas.openxmlformats.org/officeDocument/2006/relationships/hyperlink" Target="https://doi.org/10.1080/14616740802393858" TargetMode="External"/><Relationship Id="rId31" Type="http://schemas.openxmlformats.org/officeDocument/2006/relationships/hyperlink" Target="https://doi.org/10.18860/j-fsh.v17i2.36277" TargetMode="External"/><Relationship Id="rId44" Type="http://schemas.openxmlformats.org/officeDocument/2006/relationships/hyperlink" Target="https://doi.org/10.26623/jdsb.v26i1.9779" TargetMode="External"/><Relationship Id="rId52" Type="http://schemas.openxmlformats.org/officeDocument/2006/relationships/hyperlink" Target="https://doi.org/10.24239/familia.v5i1.197"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dx.doi.org/10.30821/miqot.v49i1.1332" TargetMode="External"/><Relationship Id="rId18" Type="http://schemas.openxmlformats.org/officeDocument/2006/relationships/hyperlink" Target="https://doi.org/10.21580/ahkam.2025.35.2.27814" TargetMode="External"/><Relationship Id="rId26" Type="http://schemas.openxmlformats.org/officeDocument/2006/relationships/hyperlink" Target="http://dx.doi.org/10.24235/equalita.v4i1.10900" TargetMode="External"/><Relationship Id="rId39" Type="http://schemas.openxmlformats.org/officeDocument/2006/relationships/hyperlink" Target="https://doi.org/10.71242/akcp9f65" TargetMode="External"/><Relationship Id="rId21" Type="http://schemas.openxmlformats.org/officeDocument/2006/relationships/hyperlink" Target="https://doi.org/10.32332/milrev.v5i1.11534" TargetMode="External"/><Relationship Id="rId34" Type="http://schemas.openxmlformats.org/officeDocument/2006/relationships/hyperlink" Target="https://doi.org/10.18860/j-fsh.v16i1.23989" TargetMode="External"/><Relationship Id="rId42" Type="http://schemas.openxmlformats.org/officeDocument/2006/relationships/hyperlink" Target="http://dx.doi.org/10.30821/miqot.v38i2.60" TargetMode="External"/><Relationship Id="rId7" Type="http://schemas.openxmlformats.org/officeDocument/2006/relationships/hyperlink" Target="https://doi.org/10.63462/7m085r66" TargetMode="External"/><Relationship Id="rId2" Type="http://schemas.openxmlformats.org/officeDocument/2006/relationships/hyperlink" Target="https://doi.org/10.30863/an.v17i1.6720" TargetMode="External"/><Relationship Id="rId16" Type="http://schemas.openxmlformats.org/officeDocument/2006/relationships/hyperlink" Target="https://doi.org/10.55606/jurripen.v4i2.5909" TargetMode="External"/><Relationship Id="rId29" Type="http://schemas.openxmlformats.org/officeDocument/2006/relationships/hyperlink" Target="https://doi.org/10.18860/j-fsh.v17i2.36277" TargetMode="External"/><Relationship Id="rId1" Type="http://schemas.openxmlformats.org/officeDocument/2006/relationships/hyperlink" Target="https://doi.org/10.32884/ideas.v9i1.1188" TargetMode="External"/><Relationship Id="rId6" Type="http://schemas.openxmlformats.org/officeDocument/2006/relationships/hyperlink" Target="https://doi.org/10.18326/ijtihad.v25i2.279-303" TargetMode="External"/><Relationship Id="rId11" Type="http://schemas.openxmlformats.org/officeDocument/2006/relationships/hyperlink" Target="https://doi.org/10.20414/qawwam.v16i1.5258" TargetMode="External"/><Relationship Id="rId24" Type="http://schemas.openxmlformats.org/officeDocument/2006/relationships/hyperlink" Target="https://doi.org/10.20527/h-js.v3i1.210" TargetMode="External"/><Relationship Id="rId32" Type="http://schemas.openxmlformats.org/officeDocument/2006/relationships/hyperlink" Target="http://dx.doi.org/10.24014/marwah.v18i2.7588" TargetMode="External"/><Relationship Id="rId37" Type="http://schemas.openxmlformats.org/officeDocument/2006/relationships/hyperlink" Target="https://doi.org/10.18860/j-fsh.v17i2.31562" TargetMode="External"/><Relationship Id="rId40" Type="http://schemas.openxmlformats.org/officeDocument/2006/relationships/hyperlink" Target="https://doi.org/10.23917/qist.v2i3.2908" TargetMode="External"/><Relationship Id="rId45" Type="http://schemas.openxmlformats.org/officeDocument/2006/relationships/hyperlink" Target="https://doi.org/10.30984/spectrum.v5i1.1400" TargetMode="External"/><Relationship Id="rId5" Type="http://schemas.openxmlformats.org/officeDocument/2006/relationships/hyperlink" Target="https://doi.org/10.24239/familia.v5i1.197" TargetMode="External"/><Relationship Id="rId15" Type="http://schemas.openxmlformats.org/officeDocument/2006/relationships/hyperlink" Target="https://doi.org/10.62976/ierj.v2i2.528" TargetMode="External"/><Relationship Id="rId23" Type="http://schemas.openxmlformats.org/officeDocument/2006/relationships/hyperlink" Target="https://doi.org/10.31604/jips.v8i8.2021.2463-2478" TargetMode="External"/><Relationship Id="rId28" Type="http://schemas.openxmlformats.org/officeDocument/2006/relationships/hyperlink" Target="https://doi.org/10.51178/jpspr.v3i2.1350" TargetMode="External"/><Relationship Id="rId36" Type="http://schemas.openxmlformats.org/officeDocument/2006/relationships/hyperlink" Target="https://doi.org/10.53769/deiktis.v5i1.1395" TargetMode="External"/><Relationship Id="rId10" Type="http://schemas.openxmlformats.org/officeDocument/2006/relationships/hyperlink" Target="http://dx.doi.org/10.24127/pro.v6i2.1691" TargetMode="External"/><Relationship Id="rId19" Type="http://schemas.openxmlformats.org/officeDocument/2006/relationships/hyperlink" Target="https://doi.org/10.20414/ijhi.v24i1.776" TargetMode="External"/><Relationship Id="rId31" Type="http://schemas.openxmlformats.org/officeDocument/2006/relationships/hyperlink" Target="https://doi.org/10.61511/ersud.v1i1.2024.473" TargetMode="External"/><Relationship Id="rId44" Type="http://schemas.openxmlformats.org/officeDocument/2006/relationships/hyperlink" Target="https://doi.org/10.14421/musawa.2020.191.43-56" TargetMode="External"/><Relationship Id="rId4" Type="http://schemas.openxmlformats.org/officeDocument/2006/relationships/hyperlink" Target="https://doi.org/10.26623/jdsb.v26i1.9779" TargetMode="External"/><Relationship Id="rId9" Type="http://schemas.openxmlformats.org/officeDocument/2006/relationships/hyperlink" Target="https://doi.org/10.32734/abdimastalenta.v3i2.4163" TargetMode="External"/><Relationship Id="rId14" Type="http://schemas.openxmlformats.org/officeDocument/2006/relationships/hyperlink" Target="https://doi.org/10.35723/ajie.v8i4.46" TargetMode="External"/><Relationship Id="rId22" Type="http://schemas.openxmlformats.org/officeDocument/2006/relationships/hyperlink" Target="https://doi.org/10.32332/milrev.v4i2.10624" TargetMode="External"/><Relationship Id="rId27" Type="http://schemas.openxmlformats.org/officeDocument/2006/relationships/hyperlink" Target="https://doi.org/10.37812/fatawa.v4i1.1540" TargetMode="External"/><Relationship Id="rId30" Type="http://schemas.openxmlformats.org/officeDocument/2006/relationships/hyperlink" Target="https://doi.org/10.62005/iseco.v2i1.33" TargetMode="External"/><Relationship Id="rId35" Type="http://schemas.openxmlformats.org/officeDocument/2006/relationships/hyperlink" Target="https://doi.org/10.36277/basataka.v8i1.732" TargetMode="External"/><Relationship Id="rId43" Type="http://schemas.openxmlformats.org/officeDocument/2006/relationships/hyperlink" Target="https://doi.org/10.3390/rel12070497" TargetMode="External"/><Relationship Id="rId8" Type="http://schemas.openxmlformats.org/officeDocument/2006/relationships/hyperlink" Target="https://doi.org/10.26742/jbe.v6i1.2076" TargetMode="External"/><Relationship Id="rId3" Type="http://schemas.openxmlformats.org/officeDocument/2006/relationships/hyperlink" Target="https://doi.org/10.26740/lentera.v1i1.6819" TargetMode="External"/><Relationship Id="rId12" Type="http://schemas.openxmlformats.org/officeDocument/2006/relationships/hyperlink" Target="https://doi.org/10.26740/kmkn.v11n1.p114-129" TargetMode="External"/><Relationship Id="rId17" Type="http://schemas.openxmlformats.org/officeDocument/2006/relationships/hyperlink" Target="https://doi.org/10.21580/ahkam.2025.35.2.25605" TargetMode="External"/><Relationship Id="rId25" Type="http://schemas.openxmlformats.org/officeDocument/2006/relationships/hyperlink" Target="https://doi.org/10.26623/jic.v6i1.3281" TargetMode="External"/><Relationship Id="rId33" Type="http://schemas.openxmlformats.org/officeDocument/2006/relationships/hyperlink" Target="https://doi.org/10.18860/j-fsh.v16i1.27681" TargetMode="External"/><Relationship Id="rId38" Type="http://schemas.openxmlformats.org/officeDocument/2006/relationships/hyperlink" Target="http://dx.doi.org/10.37905/dikmas.2.1.171-182.2022" TargetMode="External"/><Relationship Id="rId20" Type="http://schemas.openxmlformats.org/officeDocument/2006/relationships/hyperlink" Target="https://doi.org/10.29240/jhi.v11i1.12677" TargetMode="External"/><Relationship Id="rId41" Type="http://schemas.openxmlformats.org/officeDocument/2006/relationships/hyperlink" Target="https://doi.org/10.1080/146167408023938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B654B-9686-4CC7-BFFC-1EC986551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33318</Words>
  <Characters>189918</Characters>
  <Application>Microsoft Office Word</Application>
  <DocSecurity>0</DocSecurity>
  <Lines>1582</Lines>
  <Paragraphs>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2026-01-19T15:57:00Z</dcterms:created>
  <dcterms:modified xsi:type="dcterms:W3CDTF">2026-01-19T15:57:00Z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http://www.zotero.org/styles/chicago-note-bibliography</vt:lpwstr>
  </property>
  <property fmtid="{D5CDD505-2E9C-101B-9397-08002B2CF9AE}" pid="13" name="Mendeley Recent Style Name 5_1">
    <vt:lpwstr>Chicago Manual of Style 17th edition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283031ee-2aba-36ba-8304-c7148996be6f</vt:lpwstr>
  </property>
  <property fmtid="{D5CDD505-2E9C-101B-9397-08002B2CF9AE}" pid="24" name="Mendeley Citation Style_1">
    <vt:lpwstr>http://www.zotero.org/styles/chicago-fullnote-bibliography</vt:lpwstr>
  </property>
</Properties>
</file>