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23517" w14:textId="28F2CBDE" w:rsidR="00A64642" w:rsidRPr="00956542" w:rsidRDefault="00184034" w:rsidP="00275200">
      <w:pPr>
        <w:spacing w:after="0" w:line="240" w:lineRule="auto"/>
        <w:rPr>
          <w:rFonts w:ascii="Goudy Old Style" w:eastAsia="Times New Roman" w:hAnsi="Goudy Old Style"/>
          <w:b/>
          <w:bCs/>
          <w:sz w:val="28"/>
          <w:szCs w:val="28"/>
          <w:lang w:val="en-ID" w:eastAsia="en-ID"/>
        </w:rPr>
      </w:pPr>
      <w:r w:rsidRPr="00956542">
        <w:rPr>
          <w:rFonts w:ascii="Goudy Old Style" w:eastAsia="Times New Roman" w:hAnsi="Goudy Old Style"/>
          <w:b/>
          <w:bCs/>
          <w:sz w:val="28"/>
          <w:szCs w:val="28"/>
          <w:lang w:val="en-ID" w:eastAsia="en-ID"/>
        </w:rPr>
        <w:t>STATE ACTORS, RELIGIOUS AUTHORITY, AND COUNTER-NARRATIVES OF RADICAL GROUPS WITHIN INSTITUTIONAL QUR’ANIC INTERPRETATION IN INDONESIA</w:t>
      </w:r>
    </w:p>
    <w:p w14:paraId="7EBEFBCD" w14:textId="1ACB6389" w:rsidR="00B23500" w:rsidRPr="00956542" w:rsidRDefault="00B23500" w:rsidP="00275200">
      <w:pPr>
        <w:spacing w:after="0" w:line="240" w:lineRule="auto"/>
        <w:rPr>
          <w:rFonts w:ascii="Goudy Old Style" w:eastAsia="Times New Roman" w:hAnsi="Goudy Old Style"/>
          <w:b/>
          <w:bCs/>
          <w:sz w:val="28"/>
          <w:szCs w:val="28"/>
          <w:lang w:val="en-ID" w:eastAsia="en-ID"/>
        </w:rPr>
      </w:pPr>
    </w:p>
    <w:p w14:paraId="42C1D9CE" w14:textId="793C7BAC" w:rsidR="002C46E6" w:rsidRDefault="0068591A" w:rsidP="00275200">
      <w:pPr>
        <w:spacing w:after="0" w:line="240" w:lineRule="auto"/>
        <w:rPr>
          <w:rFonts w:ascii="Goudy Old Style" w:eastAsia="Arial" w:hAnsi="Goudy Old Style"/>
          <w:color w:val="252525"/>
          <w:sz w:val="24"/>
          <w:szCs w:val="24"/>
          <w:lang w:val="fi-FI"/>
        </w:rPr>
      </w:pPr>
      <w:r w:rsidRPr="00956542">
        <w:rPr>
          <w:rFonts w:ascii="Goudy Old Style" w:eastAsia="Arial" w:hAnsi="Goudy Old Style"/>
          <w:color w:val="252525"/>
          <w:sz w:val="24"/>
          <w:szCs w:val="24"/>
          <w:lang w:val="fi-FI"/>
        </w:rPr>
        <w:t>Ahmad Taufik</w:t>
      </w:r>
      <w:r w:rsidR="00410FC2">
        <w:rPr>
          <w:rFonts w:ascii="Goudy Old Style" w:eastAsia="Arial" w:hAnsi="Goudy Old Style"/>
          <w:color w:val="252525"/>
          <w:sz w:val="24"/>
          <w:szCs w:val="24"/>
          <w:lang w:val="fi-FI"/>
        </w:rPr>
        <w:t xml:space="preserve">*, </w:t>
      </w:r>
      <w:r w:rsidR="00AA2E45" w:rsidRPr="00956542">
        <w:rPr>
          <w:rFonts w:ascii="Goudy Old Style" w:eastAsia="Arial" w:hAnsi="Goudy Old Style"/>
          <w:color w:val="252525"/>
          <w:sz w:val="24"/>
          <w:szCs w:val="24"/>
          <w:lang w:val="fi-FI"/>
        </w:rPr>
        <w:t>Hamdani Anwar</w:t>
      </w:r>
      <w:r w:rsidR="00410FC2">
        <w:rPr>
          <w:rFonts w:ascii="Goudy Old Style" w:eastAsia="Arial" w:hAnsi="Goudy Old Style"/>
          <w:color w:val="252525"/>
          <w:sz w:val="24"/>
          <w:szCs w:val="24"/>
          <w:lang w:val="fi-FI"/>
        </w:rPr>
        <w:t xml:space="preserve">**, </w:t>
      </w:r>
      <w:r w:rsidR="00C63A68" w:rsidRPr="00956542">
        <w:rPr>
          <w:rFonts w:ascii="Goudy Old Style" w:eastAsia="Arial" w:hAnsi="Goudy Old Style"/>
          <w:color w:val="252525"/>
          <w:sz w:val="24"/>
          <w:szCs w:val="24"/>
          <w:lang w:val="id-ID"/>
        </w:rPr>
        <w:t>Kusmana</w:t>
      </w:r>
      <w:r w:rsidR="00410FC2" w:rsidRPr="00410FC2">
        <w:rPr>
          <w:rFonts w:ascii="Goudy Old Style" w:eastAsia="Arial" w:hAnsi="Goudy Old Style"/>
          <w:color w:val="252525"/>
          <w:sz w:val="24"/>
          <w:szCs w:val="24"/>
          <w:lang w:val="fi-FI"/>
        </w:rPr>
        <w:t>*</w:t>
      </w:r>
      <w:r w:rsidR="00410FC2">
        <w:rPr>
          <w:rFonts w:ascii="Goudy Old Style" w:eastAsia="Arial" w:hAnsi="Goudy Old Style"/>
          <w:color w:val="252525"/>
          <w:sz w:val="24"/>
          <w:szCs w:val="24"/>
          <w:lang w:val="fi-FI"/>
        </w:rPr>
        <w:t>*</w:t>
      </w:r>
      <w:r w:rsidR="00410FC2" w:rsidRPr="00410FC2">
        <w:rPr>
          <w:rFonts w:ascii="Goudy Old Style" w:eastAsia="Arial" w:hAnsi="Goudy Old Style"/>
          <w:color w:val="252525"/>
          <w:sz w:val="24"/>
          <w:szCs w:val="24"/>
          <w:lang w:val="fi-FI"/>
        </w:rPr>
        <w:t xml:space="preserve">, </w:t>
      </w:r>
      <w:r w:rsidR="00AA2E45" w:rsidRPr="00956542">
        <w:rPr>
          <w:rFonts w:ascii="Goudy Old Style" w:eastAsia="Arial" w:hAnsi="Goudy Old Style"/>
          <w:color w:val="252525"/>
          <w:sz w:val="24"/>
          <w:szCs w:val="24"/>
          <w:lang w:val="fi-FI"/>
        </w:rPr>
        <w:t>Hamka Hasan</w:t>
      </w:r>
      <w:r w:rsidR="00410FC2">
        <w:rPr>
          <w:rFonts w:ascii="Goudy Old Style" w:eastAsia="Arial" w:hAnsi="Goudy Old Style"/>
          <w:color w:val="252525"/>
          <w:sz w:val="24"/>
          <w:szCs w:val="24"/>
          <w:lang w:val="fi-FI"/>
        </w:rPr>
        <w:t xml:space="preserve">**, </w:t>
      </w:r>
      <w:r w:rsidR="002C46E6" w:rsidRPr="00410FC2">
        <w:rPr>
          <w:rFonts w:ascii="Goudy Old Style" w:eastAsia="Arial" w:hAnsi="Goudy Old Style"/>
          <w:color w:val="252525"/>
          <w:sz w:val="24"/>
          <w:szCs w:val="24"/>
          <w:lang w:val="fi-FI"/>
        </w:rPr>
        <w:t>Mohd Kailani</w:t>
      </w:r>
      <w:r w:rsidR="00410FC2">
        <w:rPr>
          <w:rFonts w:ascii="Goudy Old Style" w:eastAsia="Arial" w:hAnsi="Goudy Old Style"/>
          <w:color w:val="252525"/>
          <w:sz w:val="24"/>
          <w:szCs w:val="24"/>
          <w:lang w:val="fi-FI"/>
        </w:rPr>
        <w:t>*</w:t>
      </w:r>
    </w:p>
    <w:p w14:paraId="206170AB" w14:textId="7E05A074" w:rsidR="00410FC2" w:rsidRDefault="00AB71F7" w:rsidP="00275200">
      <w:pPr>
        <w:spacing w:after="0" w:line="240" w:lineRule="auto"/>
        <w:rPr>
          <w:rFonts w:ascii="Goudy Old Style" w:eastAsia="Arial" w:hAnsi="Goudy Old Style"/>
          <w:color w:val="252525"/>
          <w:sz w:val="24"/>
          <w:szCs w:val="24"/>
          <w:lang w:val="fi-FI"/>
        </w:rPr>
      </w:pPr>
      <w:r>
        <w:rPr>
          <w:rFonts w:ascii="Goudy Old Style" w:eastAsia="Arial" w:hAnsi="Goudy Old Style"/>
          <w:color w:val="252525"/>
          <w:sz w:val="24"/>
          <w:szCs w:val="24"/>
          <w:lang w:val="fi-FI"/>
        </w:rPr>
        <w:t>* UIN Sulthan Thaha Saifuddin Jambi</w:t>
      </w:r>
    </w:p>
    <w:p w14:paraId="2D177838" w14:textId="09B901ED" w:rsidR="00AB71F7" w:rsidRDefault="00AB71F7" w:rsidP="00275200">
      <w:pPr>
        <w:spacing w:after="0" w:line="240" w:lineRule="auto"/>
        <w:rPr>
          <w:rFonts w:ascii="Goudy Old Style" w:eastAsia="Arial" w:hAnsi="Goudy Old Style"/>
          <w:color w:val="252525"/>
          <w:sz w:val="24"/>
          <w:szCs w:val="24"/>
          <w:lang w:val="fi-FI"/>
        </w:rPr>
      </w:pPr>
      <w:r>
        <w:rPr>
          <w:rFonts w:ascii="Goudy Old Style" w:eastAsia="Arial" w:hAnsi="Goudy Old Style"/>
          <w:color w:val="252525"/>
          <w:sz w:val="24"/>
          <w:szCs w:val="24"/>
          <w:lang w:val="fi-FI"/>
        </w:rPr>
        <w:t xml:space="preserve">** UIN Syarif Hidayatullah Jakarta </w:t>
      </w:r>
    </w:p>
    <w:p w14:paraId="198B94BA" w14:textId="52476BB3" w:rsidR="00275200" w:rsidRPr="00275200" w:rsidRDefault="00275200" w:rsidP="00275200">
      <w:pPr>
        <w:spacing w:after="0" w:line="240" w:lineRule="auto"/>
        <w:rPr>
          <w:rFonts w:ascii="Goudy Old Style" w:eastAsia="Arial" w:hAnsi="Goudy Old Style"/>
          <w:color w:val="252525"/>
          <w:sz w:val="24"/>
          <w:szCs w:val="24"/>
          <w:lang w:val="en-ID"/>
        </w:rPr>
      </w:pPr>
      <w:r w:rsidRPr="00275200">
        <w:rPr>
          <w:rFonts w:ascii="Goudy Old Style" w:eastAsia="Arial" w:hAnsi="Goudy Old Style"/>
          <w:color w:val="252525"/>
          <w:sz w:val="24"/>
          <w:szCs w:val="24"/>
          <w:lang w:val="en-ID"/>
        </w:rPr>
        <w:t xml:space="preserve">Email: </w:t>
      </w:r>
      <w:hyperlink r:id="rId8" w:history="1">
        <w:r w:rsidRPr="000E0189">
          <w:rPr>
            <w:rStyle w:val="Hyperlink"/>
            <w:rFonts w:ascii="Goudy Old Style" w:eastAsia="Arial" w:hAnsi="Goudy Old Style"/>
            <w:sz w:val="24"/>
            <w:szCs w:val="24"/>
            <w:lang w:val="en-ID"/>
          </w:rPr>
          <w:t>ahmadtaufik@uinjambi.ac.id</w:t>
        </w:r>
      </w:hyperlink>
      <w:r>
        <w:rPr>
          <w:rFonts w:ascii="Goudy Old Style" w:eastAsia="Arial" w:hAnsi="Goudy Old Style"/>
          <w:color w:val="252525"/>
          <w:sz w:val="24"/>
          <w:szCs w:val="24"/>
          <w:lang w:val="en-ID"/>
        </w:rPr>
        <w:t xml:space="preserve"> </w:t>
      </w:r>
    </w:p>
    <w:p w14:paraId="56C2B35C" w14:textId="3E2A2A8A" w:rsidR="00053363" w:rsidRPr="00275200" w:rsidRDefault="00053363" w:rsidP="00275200">
      <w:pPr>
        <w:spacing w:after="0" w:line="240" w:lineRule="auto"/>
        <w:rPr>
          <w:rFonts w:ascii="Goudy Old Style" w:hAnsi="Goudy Old Style"/>
          <w:b/>
          <w:bCs/>
          <w:sz w:val="24"/>
          <w:szCs w:val="24"/>
          <w:lang w:val="en-ID"/>
        </w:rPr>
      </w:pPr>
    </w:p>
    <w:p w14:paraId="3FB63924" w14:textId="4EA8F508" w:rsidR="00C2385A" w:rsidRPr="00956542" w:rsidRDefault="00721C70" w:rsidP="00275200">
      <w:pPr>
        <w:spacing w:after="0" w:line="240" w:lineRule="auto"/>
        <w:rPr>
          <w:rFonts w:ascii="Goudy Old Style" w:hAnsi="Goudy Old Style"/>
          <w:b/>
          <w:bCs/>
          <w:sz w:val="24"/>
          <w:szCs w:val="24"/>
          <w:lang w:val="en-ID"/>
        </w:rPr>
      </w:pPr>
      <w:r w:rsidRPr="00956542">
        <w:rPr>
          <w:rFonts w:ascii="Goudy Old Style" w:hAnsi="Goudy Old Style"/>
          <w:b/>
          <w:bCs/>
          <w:sz w:val="24"/>
          <w:szCs w:val="24"/>
          <w:lang w:val="id-ID"/>
        </w:rPr>
        <w:t>ABSTRAK</w:t>
      </w:r>
    </w:p>
    <w:p w14:paraId="24211270" w14:textId="32E9EFC9" w:rsidR="00EE143D" w:rsidRPr="00956542" w:rsidRDefault="00763604" w:rsidP="00275200">
      <w:pPr>
        <w:widowControl w:val="0"/>
        <w:autoSpaceDE w:val="0"/>
        <w:autoSpaceDN w:val="0"/>
        <w:adjustRightInd w:val="0"/>
        <w:spacing w:after="0" w:line="240" w:lineRule="auto"/>
        <w:jc w:val="both"/>
        <w:rPr>
          <w:rFonts w:ascii="Goudy Old Style" w:hAnsi="Goudy Old Style"/>
          <w:sz w:val="24"/>
          <w:szCs w:val="24"/>
          <w:shd w:val="clear" w:color="auto" w:fill="A8D08D" w:themeFill="accent6" w:themeFillTint="99"/>
          <w:lang w:val="id-ID"/>
        </w:rPr>
      </w:pPr>
      <w:r w:rsidRPr="00956542">
        <w:rPr>
          <w:rFonts w:ascii="Goudy Old Style" w:hAnsi="Goudy Old Style"/>
          <w:sz w:val="24"/>
          <w:szCs w:val="24"/>
          <w:lang w:val="id-ID"/>
        </w:rPr>
        <w:t>In the aftermath of the 9/11 attacks in 2001, Muslim-majority countries, including Indonesia, have witnessed an escalation in their counter-terrorism initiatives. This escalation in activity is a response to the promotion of radicalism by Islamist groups such as ISIS and al-Qaeda within Indonesia. To ensure the efficacy of this counter-radicalism promotion, the Ministry of Religious Affairs (MoRA) has sought to construct religious discourse using Thematic Interpretations of the Ministry of Religious Affairs (TIMRA)</w:t>
      </w:r>
      <w:r w:rsidR="00435EF0" w:rsidRPr="00956542">
        <w:rPr>
          <w:rFonts w:ascii="Goudy Old Style" w:hAnsi="Goudy Old Style"/>
          <w:sz w:val="24"/>
          <w:szCs w:val="24"/>
          <w:lang w:val="id-ID"/>
        </w:rPr>
        <w:t>.</w:t>
      </w:r>
      <w:r w:rsidR="00C93A7B" w:rsidRPr="00956542">
        <w:rPr>
          <w:rFonts w:ascii="Goudy Old Style" w:hAnsi="Goudy Old Style"/>
          <w:sz w:val="24"/>
          <w:szCs w:val="24"/>
          <w:lang w:val="id-ID"/>
        </w:rPr>
        <w:t xml:space="preserve"> </w:t>
      </w:r>
      <w:r w:rsidR="00855E01" w:rsidRPr="00956542">
        <w:rPr>
          <w:rFonts w:ascii="Goudy Old Style" w:hAnsi="Goudy Old Style"/>
          <w:sz w:val="24"/>
          <w:szCs w:val="24"/>
          <w:lang w:val="id-ID"/>
        </w:rPr>
        <w:t xml:space="preserve">The present article aims to identify the </w:t>
      </w:r>
      <w:r w:rsidR="00B80FE4" w:rsidRPr="00956542">
        <w:rPr>
          <w:rFonts w:ascii="Goudy Old Style" w:hAnsi="Goudy Old Style"/>
          <w:sz w:val="24"/>
          <w:szCs w:val="24"/>
          <w:lang w:val="id-ID"/>
        </w:rPr>
        <w:t>construction process</w:t>
      </w:r>
      <w:r w:rsidR="00405084" w:rsidRPr="00956542">
        <w:rPr>
          <w:rFonts w:ascii="Goudy Old Style" w:hAnsi="Goudy Old Style"/>
          <w:sz w:val="24"/>
          <w:szCs w:val="24"/>
          <w:lang w:val="id-ID"/>
        </w:rPr>
        <w:t xml:space="preserve"> of counter-radicalism discourse </w:t>
      </w:r>
      <w:r w:rsidR="00855E01" w:rsidRPr="00956542">
        <w:rPr>
          <w:rFonts w:ascii="Goudy Old Style" w:hAnsi="Goudy Old Style"/>
          <w:sz w:val="24"/>
          <w:szCs w:val="24"/>
          <w:lang w:val="id-ID"/>
        </w:rPr>
        <w:t xml:space="preserve">carried out by MoRA through </w:t>
      </w:r>
      <w:r w:rsidR="00E54AC7" w:rsidRPr="00956542">
        <w:rPr>
          <w:rFonts w:ascii="Goudy Old Style" w:hAnsi="Goudy Old Style"/>
          <w:sz w:val="24"/>
          <w:szCs w:val="24"/>
        </w:rPr>
        <w:t>TIMRA</w:t>
      </w:r>
      <w:r w:rsidR="00855E01" w:rsidRPr="00956542">
        <w:rPr>
          <w:rFonts w:ascii="Goudy Old Style" w:hAnsi="Goudy Old Style"/>
          <w:sz w:val="24"/>
          <w:szCs w:val="24"/>
          <w:lang w:val="id-ID"/>
        </w:rPr>
        <w:t xml:space="preserve"> in Indonesian society</w:t>
      </w:r>
      <w:r w:rsidR="001A0699" w:rsidRPr="00956542">
        <w:rPr>
          <w:rFonts w:ascii="Goudy Old Style" w:hAnsi="Goudy Old Style"/>
          <w:sz w:val="24"/>
          <w:szCs w:val="24"/>
          <w:lang w:val="id-ID"/>
        </w:rPr>
        <w:t>.</w:t>
      </w:r>
      <w:r w:rsidR="003E2AE5" w:rsidRPr="00956542">
        <w:rPr>
          <w:rFonts w:ascii="Goudy Old Style" w:hAnsi="Goudy Old Style"/>
          <w:sz w:val="24"/>
          <w:szCs w:val="24"/>
          <w:lang w:val="id-ID"/>
        </w:rPr>
        <w:t xml:space="preserve"> </w:t>
      </w:r>
      <w:r w:rsidR="001E2022" w:rsidRPr="00956542">
        <w:rPr>
          <w:rFonts w:ascii="Goudy Old Style" w:hAnsi="Goudy Old Style"/>
          <w:sz w:val="24"/>
          <w:szCs w:val="24"/>
          <w:lang w:val="id-ID"/>
        </w:rPr>
        <w:t xml:space="preserve">A comprehensive set of interview data, a detailed TIMRA content analysis, and the extensive TIMRA drafting archives were drawn upon to formulate this </w:t>
      </w:r>
      <w:r w:rsidR="004E0C5C" w:rsidRPr="00956542">
        <w:rPr>
          <w:rFonts w:ascii="Goudy Old Style" w:hAnsi="Goudy Old Style"/>
          <w:sz w:val="24"/>
          <w:szCs w:val="24"/>
          <w:lang w:val="id-ID"/>
        </w:rPr>
        <w:t>article’s</w:t>
      </w:r>
      <w:r w:rsidR="001E2022" w:rsidRPr="00956542">
        <w:rPr>
          <w:rFonts w:ascii="Goudy Old Style" w:hAnsi="Goudy Old Style"/>
          <w:sz w:val="24"/>
          <w:szCs w:val="24"/>
          <w:lang w:val="id-ID"/>
        </w:rPr>
        <w:t xml:space="preserve"> argument</w:t>
      </w:r>
      <w:r w:rsidR="00405084" w:rsidRPr="00956542">
        <w:rPr>
          <w:rFonts w:ascii="Goudy Old Style" w:hAnsi="Goudy Old Style"/>
          <w:sz w:val="24"/>
          <w:szCs w:val="24"/>
          <w:lang w:val="id-ID"/>
        </w:rPr>
        <w:t xml:space="preserve">; the article argues that the act of tafsir al-Quran being produced by groups at the inception of institutions has the potential to diminish the religious authority of the </w:t>
      </w:r>
      <w:r w:rsidR="00763C04" w:rsidRPr="00956542">
        <w:rPr>
          <w:rFonts w:ascii="Goudy Old Style" w:hAnsi="Goudy Old Style"/>
          <w:sz w:val="24"/>
          <w:szCs w:val="24"/>
        </w:rPr>
        <w:t xml:space="preserve">individual or minority of </w:t>
      </w:r>
      <w:r w:rsidR="001A69B4" w:rsidRPr="00956542">
        <w:rPr>
          <w:rFonts w:ascii="Goudy Old Style" w:hAnsi="Goudy Old Style"/>
          <w:sz w:val="24"/>
          <w:szCs w:val="24"/>
        </w:rPr>
        <w:t>mufassir</w:t>
      </w:r>
      <w:r w:rsidR="005A11B3" w:rsidRPr="00956542">
        <w:rPr>
          <w:rFonts w:ascii="Goudy Old Style" w:hAnsi="Goudy Old Style"/>
          <w:sz w:val="24"/>
          <w:szCs w:val="24"/>
          <w:lang w:val="id-ID"/>
        </w:rPr>
        <w:t>.</w:t>
      </w:r>
      <w:r w:rsidR="000A376A" w:rsidRPr="00956542">
        <w:rPr>
          <w:rFonts w:ascii="Goudy Old Style" w:hAnsi="Goudy Old Style"/>
          <w:sz w:val="24"/>
          <w:szCs w:val="24"/>
        </w:rPr>
        <w:t xml:space="preserve"> </w:t>
      </w:r>
      <w:r w:rsidR="005A11B3" w:rsidRPr="00956542">
        <w:rPr>
          <w:rFonts w:ascii="Goudy Old Style" w:hAnsi="Goudy Old Style"/>
          <w:sz w:val="24"/>
          <w:szCs w:val="24"/>
          <w:lang w:val="id-ID"/>
        </w:rPr>
        <w:t xml:space="preserve">Consequently, </w:t>
      </w:r>
      <w:r w:rsidR="0073405B" w:rsidRPr="00956542">
        <w:rPr>
          <w:rFonts w:ascii="Goudy Old Style" w:hAnsi="Goudy Old Style"/>
          <w:sz w:val="24"/>
          <w:szCs w:val="24"/>
          <w:lang w:val="id-ID"/>
        </w:rPr>
        <w:t>utilizing</w:t>
      </w:r>
      <w:r w:rsidR="005A11B3" w:rsidRPr="00956542">
        <w:rPr>
          <w:rFonts w:ascii="Goudy Old Style" w:hAnsi="Goudy Old Style"/>
          <w:sz w:val="24"/>
          <w:szCs w:val="24"/>
          <w:lang w:val="id-ID"/>
        </w:rPr>
        <w:t xml:space="preserve"> institutional interpretation as a counter-narrative instrument is ineffective, as the interpretation outcome is no longer regarded as the exclusive domain of individual scholars. Instead, it is perceived to be influenced by </w:t>
      </w:r>
      <w:r w:rsidR="00590022" w:rsidRPr="00956542">
        <w:rPr>
          <w:rFonts w:ascii="Goudy Old Style" w:hAnsi="Goudy Old Style"/>
          <w:sz w:val="24"/>
          <w:szCs w:val="24"/>
          <w:lang w:val="id-ID"/>
        </w:rPr>
        <w:t>ideology</w:t>
      </w:r>
      <w:r w:rsidR="00E572DE" w:rsidRPr="00956542">
        <w:rPr>
          <w:rFonts w:ascii="Goudy Old Style" w:hAnsi="Goudy Old Style"/>
          <w:sz w:val="24"/>
          <w:szCs w:val="24"/>
        </w:rPr>
        <w:t xml:space="preserve">, </w:t>
      </w:r>
      <w:r w:rsidR="00590022" w:rsidRPr="00956542">
        <w:rPr>
          <w:rFonts w:ascii="Goudy Old Style" w:hAnsi="Goudy Old Style"/>
          <w:sz w:val="24"/>
          <w:szCs w:val="24"/>
          <w:lang w:val="id-ID"/>
        </w:rPr>
        <w:t>state power agendas</w:t>
      </w:r>
      <w:r w:rsidR="00E572DE" w:rsidRPr="00956542">
        <w:rPr>
          <w:rFonts w:ascii="Goudy Old Style" w:hAnsi="Goudy Old Style"/>
          <w:sz w:val="24"/>
          <w:szCs w:val="24"/>
        </w:rPr>
        <w:t>, and major</w:t>
      </w:r>
      <w:r w:rsidR="001E07DA" w:rsidRPr="00956542">
        <w:rPr>
          <w:rFonts w:ascii="Goudy Old Style" w:hAnsi="Goudy Old Style"/>
          <w:sz w:val="24"/>
          <w:szCs w:val="24"/>
        </w:rPr>
        <w:t>ity mufasir</w:t>
      </w:r>
      <w:r w:rsidR="005A11B3" w:rsidRPr="00956542">
        <w:rPr>
          <w:rFonts w:ascii="Goudy Old Style" w:hAnsi="Goudy Old Style"/>
          <w:sz w:val="24"/>
          <w:szCs w:val="24"/>
          <w:lang w:val="id-ID"/>
        </w:rPr>
        <w:t>.</w:t>
      </w:r>
      <w:r w:rsidR="005462DE" w:rsidRPr="00956542">
        <w:rPr>
          <w:rFonts w:ascii="Goudy Old Style" w:hAnsi="Goudy Old Style"/>
          <w:sz w:val="24"/>
          <w:szCs w:val="24"/>
          <w:lang w:val="id-ID"/>
        </w:rPr>
        <w:t xml:space="preserve"> </w:t>
      </w:r>
    </w:p>
    <w:p w14:paraId="0E57E991" w14:textId="77777777" w:rsidR="00EE143D" w:rsidRPr="00956542" w:rsidRDefault="00EE143D" w:rsidP="00275200">
      <w:pPr>
        <w:widowControl w:val="0"/>
        <w:autoSpaceDE w:val="0"/>
        <w:autoSpaceDN w:val="0"/>
        <w:adjustRightInd w:val="0"/>
        <w:spacing w:after="0" w:line="240" w:lineRule="auto"/>
        <w:rPr>
          <w:rFonts w:ascii="Goudy Old Style" w:hAnsi="Goudy Old Style"/>
          <w:sz w:val="24"/>
          <w:szCs w:val="24"/>
          <w:shd w:val="clear" w:color="auto" w:fill="A8D08D" w:themeFill="accent6" w:themeFillTint="99"/>
          <w:lang w:val="id-ID"/>
        </w:rPr>
      </w:pPr>
    </w:p>
    <w:p w14:paraId="2309C70D" w14:textId="100105F4" w:rsidR="00C16D0F" w:rsidRPr="00956542" w:rsidRDefault="00C16D0F" w:rsidP="00275200">
      <w:pPr>
        <w:widowControl w:val="0"/>
        <w:autoSpaceDE w:val="0"/>
        <w:autoSpaceDN w:val="0"/>
        <w:adjustRightInd w:val="0"/>
        <w:spacing w:after="0" w:line="240" w:lineRule="auto"/>
        <w:jc w:val="both"/>
        <w:rPr>
          <w:rFonts w:ascii="Goudy Old Style" w:hAnsi="Goudy Old Style"/>
          <w:sz w:val="24"/>
          <w:szCs w:val="24"/>
          <w:shd w:val="clear" w:color="auto" w:fill="A8D08D" w:themeFill="accent6" w:themeFillTint="99"/>
          <w:lang w:val="id-ID"/>
        </w:rPr>
      </w:pPr>
      <w:r w:rsidRPr="00956542">
        <w:rPr>
          <w:rFonts w:ascii="Goudy Old Style" w:hAnsi="Goudy Old Style"/>
          <w:sz w:val="24"/>
          <w:szCs w:val="24"/>
          <w:lang w:val="id-ID"/>
        </w:rPr>
        <w:t xml:space="preserve">Pasca tragedi 9/11 tahun 2001, negara-negara mayoritas Muslim termasuk Indonesia kian gencar melakukan gerakan kontra terorisme. Aktivitas ini merupakan respons atas promosi paham radikalisme yang gencar dilakukan oleh kelompok Islamis seperti ISIS dan al-Qaeda di Indonesia. Agar promosi kontra radikalisme berjalan efektif, Kemenag berusaha mengkonstruksi wacana keagamaan menggunakan Tafsir Tematik Kementerian Agama (TTKA). Artikel ini bertujuan mengidentifikasi proses konstruksi wacana kontra radikalisme yang dilakukan oleh Kemenag melalui TTKA di masyarakat Indonesia. Didasarkan pada data wawancara, </w:t>
      </w:r>
      <w:r w:rsidRPr="00234504">
        <w:rPr>
          <w:rFonts w:ascii="Goudy Old Style" w:hAnsi="Goudy Old Style"/>
          <w:sz w:val="24"/>
          <w:szCs w:val="24"/>
          <w:lang w:val="id-ID"/>
        </w:rPr>
        <w:t>analisis konten TTKA, dan arsip-arsip penyusunan TTKA, artikel ini berargumen bahwa</w:t>
      </w:r>
      <w:r w:rsidR="004E6FED" w:rsidRPr="00234504">
        <w:rPr>
          <w:rFonts w:ascii="Goudy Old Style" w:hAnsi="Goudy Old Style"/>
          <w:sz w:val="24"/>
          <w:szCs w:val="24"/>
          <w:lang w:val="id-ID"/>
        </w:rPr>
        <w:t xml:space="preserve"> </w:t>
      </w:r>
      <w:r w:rsidR="0054424D" w:rsidRPr="00234504">
        <w:rPr>
          <w:rFonts w:ascii="Goudy Old Style" w:hAnsi="Goudy Old Style"/>
          <w:sz w:val="24"/>
          <w:szCs w:val="24"/>
          <w:lang w:val="id-ID"/>
        </w:rPr>
        <w:t xml:space="preserve">tafsir institusi yang ditulis secara berkelompok di bawah arahan negara dapat digunakan sebagai </w:t>
      </w:r>
      <w:r w:rsidR="008619B2" w:rsidRPr="00234504">
        <w:rPr>
          <w:rFonts w:ascii="Goudy Old Style" w:hAnsi="Goudy Old Style"/>
          <w:sz w:val="24"/>
          <w:szCs w:val="24"/>
          <w:lang w:val="id-ID"/>
        </w:rPr>
        <w:t xml:space="preserve">alat konstruksi wacana keagamaan di Indonesia. </w:t>
      </w:r>
      <w:r w:rsidR="00210B8E" w:rsidRPr="00234504">
        <w:rPr>
          <w:rFonts w:ascii="Goudy Old Style" w:hAnsi="Goudy Old Style"/>
          <w:sz w:val="24"/>
          <w:szCs w:val="24"/>
          <w:lang w:val="id-ID"/>
        </w:rPr>
        <w:t xml:space="preserve">Namun, </w:t>
      </w:r>
      <w:r w:rsidRPr="00234504">
        <w:rPr>
          <w:rFonts w:ascii="Goudy Old Style" w:hAnsi="Goudy Old Style"/>
          <w:sz w:val="24"/>
          <w:szCs w:val="24"/>
          <w:lang w:val="id-ID"/>
        </w:rPr>
        <w:t xml:space="preserve">tafsir </w:t>
      </w:r>
      <w:r w:rsidR="00210B8E" w:rsidRPr="00234504">
        <w:rPr>
          <w:rFonts w:ascii="Goudy Old Style" w:hAnsi="Goudy Old Style"/>
          <w:sz w:val="24"/>
          <w:szCs w:val="24"/>
          <w:lang w:val="id-ID"/>
        </w:rPr>
        <w:t xml:space="preserve">tersebut </w:t>
      </w:r>
      <w:r w:rsidRPr="00234504">
        <w:rPr>
          <w:rFonts w:ascii="Goudy Old Style" w:hAnsi="Goudy Old Style"/>
          <w:sz w:val="24"/>
          <w:szCs w:val="24"/>
          <w:lang w:val="id-ID"/>
        </w:rPr>
        <w:t xml:space="preserve">dapat mendegradasi otoritas keagamaan </w:t>
      </w:r>
      <w:r w:rsidR="001E07DA" w:rsidRPr="00234504">
        <w:rPr>
          <w:rFonts w:ascii="Goudy Old Style" w:hAnsi="Goudy Old Style"/>
          <w:sz w:val="24"/>
          <w:szCs w:val="24"/>
          <w:lang w:val="id-ID"/>
        </w:rPr>
        <w:t>individu atau minoritas mufasir</w:t>
      </w:r>
      <w:r w:rsidRPr="00234504">
        <w:rPr>
          <w:rFonts w:ascii="Goudy Old Style" w:hAnsi="Goudy Old Style"/>
          <w:sz w:val="24"/>
          <w:szCs w:val="24"/>
          <w:lang w:val="id-ID"/>
        </w:rPr>
        <w:t>. Sehingga, penggunaan tafsir institusi sebagai alat kontra narasi tidak dapat berjalan secara efektif karena produk tafsir dianggap tidak lagi murni hasil interpretasi individu ulama dan dinilai terpengaruh oleh kepentingan ideologi</w:t>
      </w:r>
      <w:r w:rsidR="00C05F36" w:rsidRPr="00234504">
        <w:rPr>
          <w:rFonts w:ascii="Goudy Old Style" w:hAnsi="Goudy Old Style"/>
          <w:sz w:val="24"/>
          <w:szCs w:val="24"/>
          <w:lang w:val="id-ID"/>
        </w:rPr>
        <w:t xml:space="preserve">, </w:t>
      </w:r>
      <w:r w:rsidRPr="00234504">
        <w:rPr>
          <w:rFonts w:ascii="Goudy Old Style" w:hAnsi="Goudy Old Style"/>
          <w:sz w:val="24"/>
          <w:szCs w:val="24"/>
          <w:lang w:val="id-ID"/>
        </w:rPr>
        <w:t>kekuasaan negara</w:t>
      </w:r>
      <w:r w:rsidR="00C05F36" w:rsidRPr="00234504">
        <w:rPr>
          <w:rFonts w:ascii="Goudy Old Style" w:hAnsi="Goudy Old Style"/>
          <w:sz w:val="24"/>
          <w:szCs w:val="24"/>
          <w:lang w:val="id-ID"/>
        </w:rPr>
        <w:t>, dan kehendak majoritas mufasir</w:t>
      </w:r>
      <w:r w:rsidR="00210B8E" w:rsidRPr="00234504">
        <w:rPr>
          <w:rFonts w:ascii="Goudy Old Style" w:hAnsi="Goudy Old Style"/>
          <w:sz w:val="24"/>
          <w:szCs w:val="24"/>
          <w:lang w:val="id-ID"/>
        </w:rPr>
        <w:t>.</w:t>
      </w:r>
      <w:r w:rsidR="00210B8E" w:rsidRPr="00956542">
        <w:rPr>
          <w:rFonts w:ascii="Goudy Old Style" w:hAnsi="Goudy Old Style"/>
          <w:sz w:val="24"/>
          <w:szCs w:val="24"/>
          <w:shd w:val="clear" w:color="auto" w:fill="FFC000"/>
          <w:lang w:val="id-ID"/>
        </w:rPr>
        <w:t xml:space="preserve"> </w:t>
      </w:r>
    </w:p>
    <w:p w14:paraId="4925F817" w14:textId="77777777" w:rsidR="00C16D0F" w:rsidRPr="00956542" w:rsidRDefault="00C16D0F" w:rsidP="00275200">
      <w:pPr>
        <w:widowControl w:val="0"/>
        <w:autoSpaceDE w:val="0"/>
        <w:autoSpaceDN w:val="0"/>
        <w:adjustRightInd w:val="0"/>
        <w:spacing w:after="0" w:line="240" w:lineRule="auto"/>
        <w:rPr>
          <w:rFonts w:ascii="Goudy Old Style" w:hAnsi="Goudy Old Style"/>
          <w:sz w:val="24"/>
          <w:szCs w:val="24"/>
          <w:shd w:val="clear" w:color="auto" w:fill="A8D08D" w:themeFill="accent6" w:themeFillTint="99"/>
          <w:lang w:val="id-ID"/>
        </w:rPr>
      </w:pPr>
    </w:p>
    <w:p w14:paraId="4CE65836" w14:textId="77777777" w:rsidR="008C56AF" w:rsidRPr="00956542" w:rsidRDefault="008C56AF" w:rsidP="00275200">
      <w:pPr>
        <w:spacing w:after="0" w:line="240" w:lineRule="auto"/>
        <w:rPr>
          <w:rFonts w:ascii="Goudy Old Style" w:eastAsia="Arial" w:hAnsi="Goudy Old Style"/>
          <w:color w:val="252525"/>
          <w:sz w:val="24"/>
          <w:szCs w:val="24"/>
          <w:lang w:val="id-ID"/>
        </w:rPr>
      </w:pPr>
      <w:r w:rsidRPr="00956542">
        <w:rPr>
          <w:rFonts w:ascii="Goudy Old Style" w:eastAsia="Arial" w:hAnsi="Goudy Old Style"/>
          <w:b/>
          <w:bCs/>
          <w:color w:val="252525"/>
          <w:sz w:val="24"/>
          <w:szCs w:val="24"/>
        </w:rPr>
        <w:t>Key Words</w:t>
      </w:r>
      <w:r w:rsidRPr="00956542">
        <w:rPr>
          <w:rFonts w:ascii="Goudy Old Style" w:eastAsia="Arial" w:hAnsi="Goudy Old Style"/>
          <w:b/>
          <w:bCs/>
          <w:color w:val="252525"/>
          <w:sz w:val="24"/>
          <w:szCs w:val="24"/>
          <w:lang w:val="id-ID"/>
        </w:rPr>
        <w:t>:</w:t>
      </w:r>
      <w:r w:rsidRPr="00956542">
        <w:rPr>
          <w:rFonts w:ascii="Goudy Old Style" w:eastAsia="Arial" w:hAnsi="Goudy Old Style"/>
          <w:color w:val="252525"/>
          <w:sz w:val="24"/>
          <w:szCs w:val="24"/>
          <w:lang w:val="id-ID"/>
        </w:rPr>
        <w:t xml:space="preserve"> </w:t>
      </w:r>
      <w:r w:rsidRPr="00956542">
        <w:rPr>
          <w:rFonts w:ascii="Goudy Old Style" w:eastAsia="Arial" w:hAnsi="Goudy Old Style"/>
          <w:color w:val="252525"/>
          <w:sz w:val="24"/>
          <w:szCs w:val="24"/>
        </w:rPr>
        <w:t>TIMRA</w:t>
      </w:r>
      <w:r w:rsidRPr="00956542">
        <w:rPr>
          <w:rFonts w:ascii="Goudy Old Style" w:eastAsia="Arial" w:hAnsi="Goudy Old Style"/>
          <w:color w:val="252525"/>
          <w:sz w:val="24"/>
          <w:szCs w:val="24"/>
          <w:lang w:val="id-ID"/>
        </w:rPr>
        <w:t>, radicalism, counter-narrative, construction.</w:t>
      </w:r>
    </w:p>
    <w:p w14:paraId="3BD2DB25" w14:textId="7D96F101" w:rsidR="008C56AF" w:rsidRDefault="008C56AF" w:rsidP="00275200">
      <w:pPr>
        <w:spacing w:after="0" w:line="240" w:lineRule="auto"/>
        <w:rPr>
          <w:rFonts w:ascii="Goudy Old Style" w:hAnsi="Goudy Old Style"/>
          <w:b/>
          <w:bCs/>
          <w:sz w:val="24"/>
          <w:szCs w:val="24"/>
          <w:lang w:val="id-ID"/>
        </w:rPr>
      </w:pPr>
    </w:p>
    <w:p w14:paraId="22A8BF8E" w14:textId="3EC97EBB" w:rsidR="00234504" w:rsidRDefault="00234504" w:rsidP="00275200">
      <w:pPr>
        <w:spacing w:after="0" w:line="240" w:lineRule="auto"/>
        <w:rPr>
          <w:rFonts w:ascii="Goudy Old Style" w:hAnsi="Goudy Old Style"/>
          <w:b/>
          <w:bCs/>
          <w:sz w:val="24"/>
          <w:szCs w:val="24"/>
          <w:lang w:val="id-ID"/>
        </w:rPr>
      </w:pPr>
    </w:p>
    <w:p w14:paraId="530FA519" w14:textId="77777777" w:rsidR="00234504" w:rsidRPr="00956542" w:rsidRDefault="00234504" w:rsidP="00275200">
      <w:pPr>
        <w:spacing w:after="0" w:line="240" w:lineRule="auto"/>
        <w:rPr>
          <w:rFonts w:ascii="Goudy Old Style" w:hAnsi="Goudy Old Style"/>
          <w:b/>
          <w:bCs/>
          <w:sz w:val="24"/>
          <w:szCs w:val="24"/>
          <w:lang w:val="id-ID"/>
        </w:rPr>
      </w:pPr>
    </w:p>
    <w:p w14:paraId="5FF7BC88" w14:textId="5A4B237A" w:rsidR="00F9665F" w:rsidRPr="00956542" w:rsidRDefault="00F9665F" w:rsidP="00275200">
      <w:pPr>
        <w:spacing w:after="0" w:line="240" w:lineRule="auto"/>
        <w:rPr>
          <w:rFonts w:ascii="Goudy Old Style" w:hAnsi="Goudy Old Style"/>
          <w:b/>
          <w:bCs/>
          <w:sz w:val="24"/>
          <w:szCs w:val="24"/>
          <w:lang w:val="id-ID"/>
        </w:rPr>
      </w:pPr>
      <w:r w:rsidRPr="00956542">
        <w:rPr>
          <w:rFonts w:ascii="Goudy Old Style" w:hAnsi="Goudy Old Style"/>
          <w:b/>
          <w:bCs/>
          <w:sz w:val="24"/>
          <w:szCs w:val="24"/>
          <w:lang w:val="id-ID"/>
        </w:rPr>
        <w:lastRenderedPageBreak/>
        <w:t xml:space="preserve">Introduction </w:t>
      </w:r>
    </w:p>
    <w:p w14:paraId="5FD17A8D" w14:textId="16A6A525" w:rsidR="004C1D77" w:rsidRPr="00956542" w:rsidRDefault="004C1D77" w:rsidP="00275200">
      <w:pPr>
        <w:spacing w:after="0" w:line="240" w:lineRule="auto"/>
        <w:ind w:firstLine="567"/>
        <w:rPr>
          <w:rFonts w:ascii="Goudy Old Style" w:eastAsia="Arial" w:hAnsi="Goudy Old Style"/>
          <w:color w:val="252525"/>
          <w:sz w:val="24"/>
          <w:szCs w:val="24"/>
          <w:lang w:val="en-ID"/>
        </w:rPr>
      </w:pPr>
      <w:r w:rsidRPr="00956542">
        <w:rPr>
          <w:rFonts w:ascii="Goudy Old Style" w:eastAsia="Arial" w:hAnsi="Goudy Old Style"/>
          <w:color w:val="252525"/>
          <w:sz w:val="24"/>
          <w:szCs w:val="24"/>
          <w:lang w:val="en-ID"/>
        </w:rPr>
        <w:t xml:space="preserve">In the aftermath of the </w:t>
      </w:r>
      <w:r w:rsidR="004E0C5C" w:rsidRPr="00956542">
        <w:rPr>
          <w:rFonts w:ascii="Goudy Old Style" w:eastAsia="Arial" w:hAnsi="Goudy Old Style"/>
          <w:color w:val="252525"/>
          <w:sz w:val="24"/>
          <w:szCs w:val="24"/>
          <w:lang w:val="en-ID"/>
        </w:rPr>
        <w:t>11 September 2001</w:t>
      </w:r>
      <w:r w:rsidRPr="00956542">
        <w:rPr>
          <w:rFonts w:ascii="Goudy Old Style" w:eastAsia="Arial" w:hAnsi="Goudy Old Style"/>
          <w:color w:val="252525"/>
          <w:sz w:val="24"/>
          <w:szCs w:val="24"/>
          <w:lang w:val="en-ID"/>
        </w:rPr>
        <w:t xml:space="preserve"> attacks on the United States, the issue of radicalism emerged as a central point of discussion in Muslim countries worldwide (Smith et al., 2019).</w:t>
      </w:r>
      <w:r w:rsidR="00405084" w:rsidRPr="00956542">
        <w:rPr>
          <w:rFonts w:ascii="Goudy Old Style" w:eastAsia="Arial" w:hAnsi="Goudy Old Style"/>
          <w:color w:val="252525"/>
          <w:sz w:val="24"/>
          <w:szCs w:val="24"/>
          <w:lang w:val="en-ID"/>
        </w:rPr>
        <w:t xml:space="preserve"> </w:t>
      </w:r>
      <w:r w:rsidRPr="00956542">
        <w:rPr>
          <w:rFonts w:ascii="Goudy Old Style" w:eastAsia="Arial" w:hAnsi="Goudy Old Style"/>
          <w:color w:val="252525"/>
          <w:sz w:val="24"/>
          <w:szCs w:val="24"/>
          <w:lang w:val="en-ID"/>
        </w:rPr>
        <w:t xml:space="preserve">The </w:t>
      </w:r>
      <w:r w:rsidR="00C064C6" w:rsidRPr="00956542">
        <w:rPr>
          <w:rFonts w:ascii="Goudy Old Style" w:eastAsia="Arial" w:hAnsi="Goudy Old Style"/>
          <w:color w:val="252525"/>
          <w:sz w:val="24"/>
          <w:szCs w:val="24"/>
          <w:lang w:val="en-ID"/>
        </w:rPr>
        <w:t>problem</w:t>
      </w:r>
      <w:r w:rsidRPr="00956542">
        <w:rPr>
          <w:rFonts w:ascii="Goudy Old Style" w:eastAsia="Arial" w:hAnsi="Goudy Old Style"/>
          <w:color w:val="252525"/>
          <w:sz w:val="24"/>
          <w:szCs w:val="24"/>
          <w:lang w:val="en-ID"/>
        </w:rPr>
        <w:t xml:space="preserve"> of radicalism has escalated in tandem with the proliferation of Islamist extremist groups, such as ISIS and al-Qaeda (Kumar Ramakrishna, 2017). These groups have expanded their activities to </w:t>
      </w:r>
      <w:r w:rsidR="00C064C6" w:rsidRPr="00956542">
        <w:rPr>
          <w:rFonts w:ascii="Goudy Old Style" w:eastAsia="Arial" w:hAnsi="Goudy Old Style"/>
          <w:color w:val="252525"/>
          <w:sz w:val="24"/>
          <w:szCs w:val="24"/>
          <w:lang w:val="en-ID"/>
        </w:rPr>
        <w:t>several</w:t>
      </w:r>
      <w:r w:rsidRPr="00956542">
        <w:rPr>
          <w:rFonts w:ascii="Goudy Old Style" w:eastAsia="Arial" w:hAnsi="Goudy Old Style"/>
          <w:color w:val="252525"/>
          <w:sz w:val="24"/>
          <w:szCs w:val="24"/>
          <w:lang w:val="en-ID"/>
        </w:rPr>
        <w:t xml:space="preserve"> regions, including Western countries, Europe, and Southeast Asia (Styszynski, 2014: 9-14).</w:t>
      </w:r>
      <w:r w:rsidR="00405084" w:rsidRPr="00956542">
        <w:rPr>
          <w:rFonts w:ascii="Goudy Old Style" w:eastAsia="Arial" w:hAnsi="Goudy Old Style"/>
          <w:color w:val="252525"/>
          <w:sz w:val="24"/>
          <w:szCs w:val="24"/>
          <w:lang w:val="en-ID"/>
        </w:rPr>
        <w:t xml:space="preserve"> </w:t>
      </w:r>
      <w:r w:rsidRPr="00956542">
        <w:rPr>
          <w:rFonts w:ascii="Goudy Old Style" w:eastAsia="Arial" w:hAnsi="Goudy Old Style"/>
          <w:color w:val="252525"/>
          <w:sz w:val="24"/>
          <w:szCs w:val="24"/>
          <w:lang w:val="en-ID"/>
        </w:rPr>
        <w:t xml:space="preserve">Following the World Trade Center bombing, Western countries began to accuse Muslim-majority countries of producing terrorist groups. This tendency is evident in the </w:t>
      </w:r>
      <w:r w:rsidR="004E0C5C" w:rsidRPr="00956542">
        <w:rPr>
          <w:rFonts w:ascii="Goudy Old Style" w:eastAsia="Arial" w:hAnsi="Goudy Old Style"/>
          <w:color w:val="252525"/>
          <w:sz w:val="24"/>
          <w:szCs w:val="24"/>
          <w:lang w:val="en-ID"/>
        </w:rPr>
        <w:t>West’s</w:t>
      </w:r>
      <w:r w:rsidRPr="00956542">
        <w:rPr>
          <w:rFonts w:ascii="Goudy Old Style" w:eastAsia="Arial" w:hAnsi="Goudy Old Style"/>
          <w:color w:val="252525"/>
          <w:sz w:val="24"/>
          <w:szCs w:val="24"/>
          <w:lang w:val="en-ID"/>
        </w:rPr>
        <w:t xml:space="preserve"> espionage activities and its proclivity to accuse Islam </w:t>
      </w:r>
      <w:r w:rsidR="008025BE" w:rsidRPr="00956542">
        <w:rPr>
          <w:rFonts w:ascii="Goudy Old Style" w:eastAsia="Arial" w:hAnsi="Goudy Old Style"/>
          <w:color w:val="252525"/>
          <w:sz w:val="24"/>
          <w:szCs w:val="24"/>
          <w:lang w:val="en-ID"/>
        </w:rPr>
        <w:t>unilaterally</w:t>
      </w:r>
      <w:r w:rsidRPr="00956542">
        <w:rPr>
          <w:rFonts w:ascii="Goudy Old Style" w:eastAsia="Arial" w:hAnsi="Goudy Old Style"/>
          <w:color w:val="252525"/>
          <w:sz w:val="24"/>
          <w:szCs w:val="24"/>
          <w:lang w:val="en-ID"/>
        </w:rPr>
        <w:t xml:space="preserve"> (Nabers, 2010; Powell, 2011, 97).</w:t>
      </w:r>
      <w:r w:rsidR="00405084" w:rsidRPr="00956542">
        <w:rPr>
          <w:rFonts w:ascii="Goudy Old Style" w:eastAsia="Arial" w:hAnsi="Goudy Old Style"/>
          <w:color w:val="252525"/>
          <w:sz w:val="24"/>
          <w:szCs w:val="24"/>
          <w:lang w:val="en-ID"/>
        </w:rPr>
        <w:t xml:space="preserve"> </w:t>
      </w:r>
      <w:r w:rsidRPr="00956542">
        <w:rPr>
          <w:rFonts w:ascii="Goudy Old Style" w:eastAsia="Arial" w:hAnsi="Goudy Old Style"/>
          <w:color w:val="252525"/>
          <w:sz w:val="24"/>
          <w:szCs w:val="24"/>
          <w:lang w:val="en-ID"/>
        </w:rPr>
        <w:t>Indeed, certain Western researchers and scientists have advanced the notion that the proliferation of radical groups can be attributed to Islamic teachings, such as jihad (Kumar Ramakrishna, 2017: 5-10).</w:t>
      </w:r>
    </w:p>
    <w:p w14:paraId="3CA56169" w14:textId="1988BB1B" w:rsidR="00A560F6" w:rsidRPr="00956542" w:rsidRDefault="00C94160" w:rsidP="00275200">
      <w:pPr>
        <w:spacing w:after="0" w:line="240" w:lineRule="auto"/>
        <w:ind w:firstLine="567"/>
        <w:rPr>
          <w:rFonts w:ascii="Goudy Old Style" w:eastAsia="Arial" w:hAnsi="Goudy Old Style"/>
          <w:color w:val="252525"/>
          <w:sz w:val="24"/>
          <w:szCs w:val="24"/>
          <w:lang w:val="id-ID"/>
        </w:rPr>
      </w:pPr>
      <w:r w:rsidRPr="00956542">
        <w:rPr>
          <w:rFonts w:ascii="Goudy Old Style" w:eastAsia="Arial" w:hAnsi="Goudy Old Style"/>
          <w:color w:val="252525"/>
          <w:sz w:val="24"/>
          <w:szCs w:val="24"/>
          <w:lang w:val="id-ID"/>
        </w:rPr>
        <w:t xml:space="preserve">Following the 1998 reformation, groups identifying as </w:t>
      </w:r>
      <w:r w:rsidR="004E0C5C" w:rsidRPr="00956542">
        <w:rPr>
          <w:rFonts w:ascii="Goudy Old Style" w:eastAsia="Arial" w:hAnsi="Goudy Old Style"/>
          <w:color w:val="252525"/>
          <w:sz w:val="24"/>
          <w:szCs w:val="24"/>
          <w:lang w:val="id-ID"/>
        </w:rPr>
        <w:t>“</w:t>
      </w:r>
      <w:r w:rsidRPr="00956542">
        <w:rPr>
          <w:rFonts w:ascii="Goudy Old Style" w:eastAsia="Arial" w:hAnsi="Goudy Old Style"/>
          <w:color w:val="252525"/>
          <w:sz w:val="24"/>
          <w:szCs w:val="24"/>
          <w:lang w:val="id-ID"/>
        </w:rPr>
        <w:t>left Islam</w:t>
      </w:r>
      <w:r w:rsidR="004E0C5C" w:rsidRPr="00956542">
        <w:rPr>
          <w:rFonts w:ascii="Goudy Old Style" w:eastAsia="Arial" w:hAnsi="Goudy Old Style"/>
          <w:color w:val="252525"/>
          <w:sz w:val="24"/>
          <w:szCs w:val="24"/>
          <w:lang w:val="id-ID"/>
        </w:rPr>
        <w:t>”</w:t>
      </w:r>
      <w:r w:rsidRPr="00956542">
        <w:rPr>
          <w:rFonts w:ascii="Goudy Old Style" w:eastAsia="Arial" w:hAnsi="Goudy Old Style"/>
          <w:color w:val="252525"/>
          <w:sz w:val="24"/>
          <w:szCs w:val="24"/>
          <w:lang w:val="id-ID"/>
        </w:rPr>
        <w:t xml:space="preserve"> — including Salafi-Wahabi, HTI, and FPI — experienced notable growth on a national scale (Fealy, 2004: 100). This growth can be attributed to two key factors. Firstly, there was a </w:t>
      </w:r>
      <w:r w:rsidR="00303795" w:rsidRPr="00956542">
        <w:rPr>
          <w:rFonts w:ascii="Goudy Old Style" w:eastAsia="Arial" w:hAnsi="Goudy Old Style"/>
          <w:color w:val="252525"/>
          <w:sz w:val="24"/>
          <w:szCs w:val="24"/>
          <w:lang w:val="id-ID"/>
        </w:rPr>
        <w:t>noteworthy</w:t>
      </w:r>
      <w:r w:rsidRPr="00956542">
        <w:rPr>
          <w:rFonts w:ascii="Goudy Old Style" w:eastAsia="Arial" w:hAnsi="Goudy Old Style"/>
          <w:color w:val="252525"/>
          <w:sz w:val="24"/>
          <w:szCs w:val="24"/>
          <w:lang w:val="id-ID"/>
        </w:rPr>
        <w:t xml:space="preserve"> increase in </w:t>
      </w:r>
      <w:r w:rsidR="00570771" w:rsidRPr="00956542">
        <w:rPr>
          <w:rFonts w:ascii="Goudy Old Style" w:eastAsia="Arial" w:hAnsi="Goudy Old Style"/>
          <w:color w:val="252525"/>
          <w:sz w:val="24"/>
          <w:szCs w:val="24"/>
          <w:lang w:val="id-ID"/>
        </w:rPr>
        <w:t>Indonesia’s</w:t>
      </w:r>
      <w:r w:rsidR="004B55E3" w:rsidRPr="00956542">
        <w:rPr>
          <w:rFonts w:ascii="Goudy Old Style" w:eastAsia="Arial" w:hAnsi="Goudy Old Style"/>
          <w:color w:val="252525"/>
          <w:sz w:val="24"/>
          <w:szCs w:val="24"/>
          <w:lang w:val="id-ID"/>
        </w:rPr>
        <w:t xml:space="preserve"> openness </w:t>
      </w:r>
      <w:r w:rsidRPr="00956542">
        <w:rPr>
          <w:rFonts w:ascii="Goudy Old Style" w:eastAsia="Arial" w:hAnsi="Goudy Old Style"/>
          <w:color w:val="252525"/>
          <w:sz w:val="24"/>
          <w:szCs w:val="24"/>
          <w:lang w:val="id-ID"/>
        </w:rPr>
        <w:t xml:space="preserve">to </w:t>
      </w:r>
      <w:r w:rsidR="00570771" w:rsidRPr="00956542">
        <w:rPr>
          <w:rFonts w:ascii="Goudy Old Style" w:eastAsia="Arial" w:hAnsi="Goudy Old Style"/>
          <w:color w:val="252525"/>
          <w:sz w:val="24"/>
          <w:szCs w:val="24"/>
          <w:lang w:val="id-ID"/>
        </w:rPr>
        <w:t>“</w:t>
      </w:r>
      <w:r w:rsidRPr="00956542">
        <w:rPr>
          <w:rFonts w:ascii="Goudy Old Style" w:eastAsia="Arial" w:hAnsi="Goudy Old Style"/>
          <w:color w:val="252525"/>
          <w:sz w:val="24"/>
          <w:szCs w:val="24"/>
          <w:lang w:val="id-ID"/>
        </w:rPr>
        <w:t>new ideologies.</w:t>
      </w:r>
      <w:r w:rsidR="00570771" w:rsidRPr="00956542">
        <w:rPr>
          <w:rFonts w:ascii="Goudy Old Style" w:eastAsia="Arial" w:hAnsi="Goudy Old Style"/>
          <w:color w:val="252525"/>
          <w:sz w:val="24"/>
          <w:szCs w:val="24"/>
          <w:lang w:val="id-ID"/>
        </w:rPr>
        <w:t>”</w:t>
      </w:r>
      <w:r w:rsidRPr="00956542">
        <w:rPr>
          <w:rFonts w:ascii="Goudy Old Style" w:eastAsia="Arial" w:hAnsi="Goudy Old Style"/>
          <w:color w:val="252525"/>
          <w:sz w:val="24"/>
          <w:szCs w:val="24"/>
          <w:lang w:val="id-ID"/>
        </w:rPr>
        <w:t xml:space="preserve"> Secondly, substantial financial support from the Middle East, particularly Saudi Arabia, played a significant role in this development (van Bruinessen, 2002). These groups have been accused of propagating Saudi </w:t>
      </w:r>
      <w:r w:rsidR="00570771" w:rsidRPr="00956542">
        <w:rPr>
          <w:rFonts w:ascii="Goudy Old Style" w:eastAsia="Arial" w:hAnsi="Goudy Old Style"/>
          <w:color w:val="252525"/>
          <w:sz w:val="24"/>
          <w:szCs w:val="24"/>
          <w:lang w:val="id-ID"/>
        </w:rPr>
        <w:t>Arabia’s</w:t>
      </w:r>
      <w:r w:rsidRPr="00956542">
        <w:rPr>
          <w:rFonts w:ascii="Goudy Old Style" w:eastAsia="Arial" w:hAnsi="Goudy Old Style"/>
          <w:color w:val="252525"/>
          <w:sz w:val="24"/>
          <w:szCs w:val="24"/>
          <w:lang w:val="id-ID"/>
        </w:rPr>
        <w:t xml:space="preserve"> Wahhabi ideology (Jahroni, 2015).In response to these allegations, Muslim countries such as Indonesia, Malaysia, and Jordan have augmented their counter-radicalism and terrorism measures (Al-Shalabi, 2011: 36–40; Jahroni, 2020). In this context, the Government of Indonesia, through the Ministry of Religious Affairs (MoRA), has convened a group of experts, including </w:t>
      </w:r>
      <w:r w:rsidR="00570771" w:rsidRPr="00956542">
        <w:rPr>
          <w:rFonts w:ascii="Goudy Old Style" w:eastAsia="Arial" w:hAnsi="Goudy Old Style"/>
          <w:color w:val="252525"/>
          <w:sz w:val="24"/>
          <w:szCs w:val="24"/>
          <w:lang w:val="id-ID"/>
        </w:rPr>
        <w:t>Qur’an</w:t>
      </w:r>
      <w:r w:rsidRPr="00956542">
        <w:rPr>
          <w:rFonts w:ascii="Goudy Old Style" w:eastAsia="Arial" w:hAnsi="Goudy Old Style"/>
          <w:color w:val="252525"/>
          <w:sz w:val="24"/>
          <w:szCs w:val="24"/>
          <w:lang w:val="id-ID"/>
        </w:rPr>
        <w:t xml:space="preserve"> experts, tafsir scholars, and </w:t>
      </w:r>
      <w:r w:rsidR="00570771" w:rsidRPr="00956542">
        <w:rPr>
          <w:rFonts w:ascii="Goudy Old Style" w:eastAsia="Arial" w:hAnsi="Goudy Old Style"/>
          <w:color w:val="252525"/>
          <w:sz w:val="24"/>
          <w:szCs w:val="24"/>
          <w:lang w:val="id-ID"/>
        </w:rPr>
        <w:t>Qur’an</w:t>
      </w:r>
      <w:r w:rsidRPr="00956542">
        <w:rPr>
          <w:rFonts w:ascii="Goudy Old Style" w:eastAsia="Arial" w:hAnsi="Goudy Old Style"/>
          <w:color w:val="252525"/>
          <w:sz w:val="24"/>
          <w:szCs w:val="24"/>
          <w:lang w:val="id-ID"/>
        </w:rPr>
        <w:t xml:space="preserve"> scholars, from Indonesia to provide a counter-narrative to radical religious interpretations through the preparation of </w:t>
      </w:r>
      <w:r w:rsidR="00DF53DC" w:rsidRPr="00956542">
        <w:rPr>
          <w:rFonts w:ascii="Goudy Old Style" w:eastAsia="Arial" w:hAnsi="Goudy Old Style"/>
          <w:color w:val="252525"/>
          <w:sz w:val="24"/>
          <w:szCs w:val="24"/>
          <w:lang w:val="id-ID"/>
        </w:rPr>
        <w:t>TIMRA</w:t>
      </w:r>
      <w:r w:rsidRPr="00956542">
        <w:rPr>
          <w:rFonts w:ascii="Goudy Old Style" w:eastAsia="Arial" w:hAnsi="Goudy Old Style"/>
          <w:color w:val="252525"/>
          <w:sz w:val="24"/>
          <w:szCs w:val="24"/>
          <w:lang w:val="id-ID"/>
        </w:rPr>
        <w:t xml:space="preserve"> (Ministry of Religious Affairs, 2012).</w:t>
      </w:r>
    </w:p>
    <w:p w14:paraId="577A1E60" w14:textId="5BD16965" w:rsidR="00D05A41" w:rsidRPr="00956542" w:rsidRDefault="00D05A41" w:rsidP="00275200">
      <w:pPr>
        <w:spacing w:after="0" w:line="240" w:lineRule="auto"/>
        <w:ind w:firstLine="567"/>
        <w:rPr>
          <w:rFonts w:ascii="Goudy Old Style" w:eastAsia="Arial" w:hAnsi="Goudy Old Style"/>
          <w:color w:val="252525"/>
          <w:sz w:val="24"/>
          <w:szCs w:val="24"/>
          <w:lang w:val="id-ID"/>
        </w:rPr>
      </w:pPr>
      <w:r w:rsidRPr="00956542">
        <w:rPr>
          <w:rFonts w:ascii="Goudy Old Style" w:eastAsia="Arial" w:hAnsi="Goudy Old Style"/>
          <w:color w:val="252525"/>
          <w:sz w:val="24"/>
          <w:szCs w:val="24"/>
          <w:lang w:val="id-ID"/>
        </w:rPr>
        <w:t xml:space="preserve">According to </w:t>
      </w:r>
      <w:r w:rsidR="00570771" w:rsidRPr="00956542">
        <w:rPr>
          <w:rFonts w:ascii="Goudy Old Style" w:eastAsia="Arial" w:hAnsi="Goudy Old Style"/>
          <w:color w:val="252525"/>
          <w:sz w:val="24"/>
          <w:szCs w:val="24"/>
          <w:lang w:val="id-ID"/>
        </w:rPr>
        <w:t>Qur’anic</w:t>
      </w:r>
      <w:r w:rsidRPr="00956542">
        <w:rPr>
          <w:rFonts w:ascii="Goudy Old Style" w:eastAsia="Arial" w:hAnsi="Goudy Old Style"/>
          <w:color w:val="252525"/>
          <w:sz w:val="24"/>
          <w:szCs w:val="24"/>
          <w:lang w:val="id-ID"/>
        </w:rPr>
        <w:t xml:space="preserve"> scholars, the content aspect of </w:t>
      </w:r>
      <w:r w:rsidR="00DF53DC" w:rsidRPr="00956542">
        <w:rPr>
          <w:rFonts w:ascii="Goudy Old Style" w:eastAsia="Arial" w:hAnsi="Goudy Old Style"/>
          <w:color w:val="252525"/>
          <w:sz w:val="24"/>
          <w:szCs w:val="24"/>
          <w:lang w:val="id-ID"/>
        </w:rPr>
        <w:t>TIMRA</w:t>
      </w:r>
      <w:r w:rsidRPr="00956542">
        <w:rPr>
          <w:rFonts w:ascii="Goudy Old Style" w:eastAsia="Arial" w:hAnsi="Goudy Old Style"/>
          <w:color w:val="252525"/>
          <w:sz w:val="24"/>
          <w:szCs w:val="24"/>
          <w:lang w:val="id-ID"/>
        </w:rPr>
        <w:t xml:space="preserve"> has been the focus of attention to date. These scholars have asserted that, as a book of interpretation written in groups, </w:t>
      </w:r>
      <w:r w:rsidR="00DF53DC" w:rsidRPr="00956542">
        <w:rPr>
          <w:rFonts w:ascii="Goudy Old Style" w:eastAsia="Arial" w:hAnsi="Goudy Old Style"/>
          <w:color w:val="252525"/>
          <w:sz w:val="24"/>
          <w:szCs w:val="24"/>
          <w:lang w:val="id-ID"/>
        </w:rPr>
        <w:t>TIMRA</w:t>
      </w:r>
      <w:r w:rsidRPr="00956542">
        <w:rPr>
          <w:rFonts w:ascii="Goudy Old Style" w:eastAsia="Arial" w:hAnsi="Goudy Old Style"/>
          <w:color w:val="252525"/>
          <w:sz w:val="24"/>
          <w:szCs w:val="24"/>
          <w:lang w:val="id-ID"/>
        </w:rPr>
        <w:t xml:space="preserve"> </w:t>
      </w:r>
      <w:r w:rsidR="00E40F9D" w:rsidRPr="00956542">
        <w:rPr>
          <w:rFonts w:ascii="Goudy Old Style" w:eastAsia="Arial" w:hAnsi="Goudy Old Style"/>
          <w:color w:val="252525"/>
          <w:sz w:val="24"/>
          <w:szCs w:val="24"/>
          <w:lang w:val="id-ID"/>
        </w:rPr>
        <w:t>can produce interpretations</w:t>
      </w:r>
      <w:r w:rsidRPr="00956542">
        <w:rPr>
          <w:rFonts w:ascii="Goudy Old Style" w:eastAsia="Arial" w:hAnsi="Goudy Old Style"/>
          <w:color w:val="252525"/>
          <w:sz w:val="24"/>
          <w:szCs w:val="24"/>
          <w:lang w:val="id-ID"/>
        </w:rPr>
        <w:t xml:space="preserve"> </w:t>
      </w:r>
      <w:r w:rsidR="0073405B" w:rsidRPr="00956542">
        <w:rPr>
          <w:rFonts w:ascii="Goudy Old Style" w:eastAsia="Arial" w:hAnsi="Goudy Old Style"/>
          <w:color w:val="252525"/>
          <w:sz w:val="24"/>
          <w:szCs w:val="24"/>
          <w:lang w:val="id-ID"/>
        </w:rPr>
        <w:t>characterized</w:t>
      </w:r>
      <w:r w:rsidRPr="00956542">
        <w:rPr>
          <w:rFonts w:ascii="Goudy Old Style" w:eastAsia="Arial" w:hAnsi="Goudy Old Style"/>
          <w:color w:val="252525"/>
          <w:sz w:val="24"/>
          <w:szCs w:val="24"/>
          <w:lang w:val="id-ID"/>
        </w:rPr>
        <w:t xml:space="preserve"> by objectivity, contextuality, and impartiality.</w:t>
      </w:r>
      <w:r w:rsidR="004B55E3" w:rsidRPr="00956542">
        <w:rPr>
          <w:rFonts w:ascii="Goudy Old Style" w:eastAsia="Arial" w:hAnsi="Goudy Old Style"/>
          <w:color w:val="252525"/>
          <w:sz w:val="24"/>
          <w:szCs w:val="24"/>
          <w:lang w:val="id-ID"/>
        </w:rPr>
        <w:t xml:space="preserve"> </w:t>
      </w:r>
      <w:r w:rsidRPr="00956542">
        <w:rPr>
          <w:rFonts w:ascii="Goudy Old Style" w:eastAsia="Arial" w:hAnsi="Goudy Old Style"/>
          <w:color w:val="252525"/>
          <w:sz w:val="24"/>
          <w:szCs w:val="24"/>
          <w:lang w:val="id-ID"/>
        </w:rPr>
        <w:t xml:space="preserve">However, interpretations produced by groups under the auspices of the state are susceptible to influence from ideological and power perspectives. Consequently, these interpretations become less representative of the individual opinions of mufasirs and more representative of the ideological and power interests of the state. In light of these concerns, the present study eschews the counter-narrative process initiated by the state (Ministry of Religious Affairs through LPMQ) of employing </w:t>
      </w:r>
      <w:r w:rsidR="00DF53DC" w:rsidRPr="00956542">
        <w:rPr>
          <w:rFonts w:ascii="Goudy Old Style" w:eastAsia="Arial" w:hAnsi="Goudy Old Style"/>
          <w:color w:val="252525"/>
          <w:sz w:val="24"/>
          <w:szCs w:val="24"/>
          <w:lang w:val="id-ID"/>
        </w:rPr>
        <w:t>TIMRA</w:t>
      </w:r>
      <w:r w:rsidRPr="00956542">
        <w:rPr>
          <w:rFonts w:ascii="Goudy Old Style" w:eastAsia="Arial" w:hAnsi="Goudy Old Style"/>
          <w:color w:val="252525"/>
          <w:sz w:val="24"/>
          <w:szCs w:val="24"/>
          <w:lang w:val="id-ID"/>
        </w:rPr>
        <w:t xml:space="preserve"> as a means to shape religious discourse within </w:t>
      </w:r>
      <w:r w:rsidR="00B911D9" w:rsidRPr="00956542">
        <w:rPr>
          <w:rFonts w:ascii="Goudy Old Style" w:eastAsia="Arial" w:hAnsi="Goudy Old Style"/>
          <w:color w:val="252525"/>
          <w:sz w:val="24"/>
          <w:szCs w:val="24"/>
          <w:lang w:val="id-ID"/>
        </w:rPr>
        <w:t xml:space="preserve">a society and its impact on the formation of </w:t>
      </w:r>
      <w:r w:rsidR="00E40F9D" w:rsidRPr="00956542">
        <w:rPr>
          <w:rFonts w:ascii="Goudy Old Style" w:eastAsia="Arial" w:hAnsi="Goudy Old Style"/>
          <w:color w:val="252525"/>
          <w:sz w:val="24"/>
          <w:szCs w:val="24"/>
          <w:lang w:val="id-ID"/>
        </w:rPr>
        <w:t>al-Qur’anic</w:t>
      </w:r>
      <w:r w:rsidRPr="00956542">
        <w:rPr>
          <w:rFonts w:ascii="Goudy Old Style" w:eastAsia="Arial" w:hAnsi="Goudy Old Style"/>
          <w:color w:val="252525"/>
          <w:sz w:val="24"/>
          <w:szCs w:val="24"/>
          <w:lang w:val="id-ID"/>
        </w:rPr>
        <w:t xml:space="preserve"> interpretation.</w:t>
      </w:r>
    </w:p>
    <w:p w14:paraId="615A4D52" w14:textId="000B7C30" w:rsidR="007C7089" w:rsidRPr="00956542" w:rsidRDefault="007C7089" w:rsidP="00275200">
      <w:pPr>
        <w:spacing w:after="0" w:line="240" w:lineRule="auto"/>
        <w:ind w:firstLine="567"/>
        <w:rPr>
          <w:rFonts w:ascii="Goudy Old Style" w:eastAsia="Arial" w:hAnsi="Goudy Old Style"/>
          <w:color w:val="252525"/>
          <w:sz w:val="24"/>
          <w:szCs w:val="24"/>
          <w:lang w:val="id-ID"/>
        </w:rPr>
      </w:pPr>
      <w:r w:rsidRPr="00956542">
        <w:rPr>
          <w:rFonts w:ascii="Goudy Old Style" w:eastAsia="Arial" w:hAnsi="Goudy Old Style"/>
          <w:color w:val="252525"/>
          <w:sz w:val="24"/>
          <w:szCs w:val="24"/>
          <w:lang w:val="id-ID"/>
        </w:rPr>
        <w:t xml:space="preserve">This article underscores the overlooked study by examining the search for archival records, interview data, and </w:t>
      </w:r>
      <w:r w:rsidR="00E40F9D" w:rsidRPr="00956542">
        <w:rPr>
          <w:rFonts w:ascii="Goudy Old Style" w:eastAsia="Arial" w:hAnsi="Goudy Old Style"/>
          <w:color w:val="252525"/>
          <w:sz w:val="24"/>
          <w:szCs w:val="24"/>
          <w:lang w:val="id-ID"/>
        </w:rPr>
        <w:t>several</w:t>
      </w:r>
      <w:r w:rsidRPr="00956542">
        <w:rPr>
          <w:rFonts w:ascii="Goudy Old Style" w:eastAsia="Arial" w:hAnsi="Goudy Old Style"/>
          <w:color w:val="252525"/>
          <w:sz w:val="24"/>
          <w:szCs w:val="24"/>
          <w:lang w:val="id-ID"/>
        </w:rPr>
        <w:t xml:space="preserve"> literary sources. It posits that the interpretation of the </w:t>
      </w:r>
      <w:r w:rsidR="00E40F9D" w:rsidRPr="00956542">
        <w:rPr>
          <w:rFonts w:ascii="Goudy Old Style" w:eastAsia="Arial" w:hAnsi="Goudy Old Style"/>
          <w:color w:val="252525"/>
          <w:sz w:val="24"/>
          <w:szCs w:val="24"/>
          <w:lang w:val="id-ID"/>
        </w:rPr>
        <w:t>Qur’an</w:t>
      </w:r>
      <w:r w:rsidRPr="00956542">
        <w:rPr>
          <w:rFonts w:ascii="Goudy Old Style" w:eastAsia="Arial" w:hAnsi="Goudy Old Style"/>
          <w:color w:val="252525"/>
          <w:sz w:val="24"/>
          <w:szCs w:val="24"/>
          <w:lang w:val="id-ID"/>
        </w:rPr>
        <w:t xml:space="preserve"> by groups at the inception of institutions can diminish the religious authority of the mufasir. Consequently, the efficacy of institutional interpretation as a counter-narrative instrument is impeded, as the interpretation outcome is no longer regarded as exclusively the product of individual </w:t>
      </w:r>
      <w:r w:rsidR="00E40F9D" w:rsidRPr="00956542">
        <w:rPr>
          <w:rFonts w:ascii="Goudy Old Style" w:eastAsia="Arial" w:hAnsi="Goudy Old Style"/>
          <w:color w:val="252525"/>
          <w:sz w:val="24"/>
          <w:szCs w:val="24"/>
          <w:lang w:val="id-ID"/>
        </w:rPr>
        <w:t>scholars’</w:t>
      </w:r>
      <w:r w:rsidRPr="00956542">
        <w:rPr>
          <w:rFonts w:ascii="Goudy Old Style" w:eastAsia="Arial" w:hAnsi="Goudy Old Style"/>
          <w:color w:val="252525"/>
          <w:sz w:val="24"/>
          <w:szCs w:val="24"/>
          <w:lang w:val="id-ID"/>
        </w:rPr>
        <w:t xml:space="preserve"> efforts. Instead, it is perceived as being influenced by the interests of ideology and state power.  </w:t>
      </w:r>
    </w:p>
    <w:p w14:paraId="4141A29D" w14:textId="52C7552E" w:rsidR="00935252" w:rsidRPr="00956542" w:rsidRDefault="00935252" w:rsidP="00275200">
      <w:pPr>
        <w:pStyle w:val="FootnoteText"/>
        <w:tabs>
          <w:tab w:val="left" w:pos="567"/>
        </w:tabs>
        <w:rPr>
          <w:rFonts w:ascii="Goudy Old Style" w:eastAsia="Arial" w:hAnsi="Goudy Old Style" w:cstheme="minorBidi"/>
          <w:color w:val="252525"/>
          <w:sz w:val="24"/>
          <w:szCs w:val="24"/>
          <w:lang w:val="id-ID"/>
        </w:rPr>
      </w:pPr>
      <w:r w:rsidRPr="00956542">
        <w:rPr>
          <w:rFonts w:ascii="Goudy Old Style" w:eastAsia="Arial" w:hAnsi="Goudy Old Style" w:cstheme="minorBidi"/>
          <w:color w:val="252525"/>
          <w:sz w:val="24"/>
          <w:szCs w:val="24"/>
          <w:lang w:val="id-ID"/>
        </w:rPr>
        <w:tab/>
      </w:r>
      <w:r w:rsidR="00E40F9D" w:rsidRPr="00956542">
        <w:rPr>
          <w:rFonts w:ascii="Goudy Old Style" w:eastAsia="Arial" w:hAnsi="Goudy Old Style" w:cstheme="minorBidi"/>
          <w:color w:val="252525"/>
          <w:sz w:val="24"/>
          <w:szCs w:val="24"/>
          <w:lang w:val="id-ID"/>
        </w:rPr>
        <w:t>To</w:t>
      </w:r>
      <w:r w:rsidR="0083723D" w:rsidRPr="00956542">
        <w:rPr>
          <w:rFonts w:ascii="Goudy Old Style" w:eastAsia="Arial" w:hAnsi="Goudy Old Style" w:cstheme="minorBidi"/>
          <w:color w:val="252525"/>
          <w:sz w:val="24"/>
          <w:szCs w:val="24"/>
          <w:lang w:val="id-ID"/>
        </w:rPr>
        <w:t xml:space="preserve"> demonstrate this argument, the present article is divided into several sections. </w:t>
      </w:r>
      <w:r w:rsidR="00E40F9D" w:rsidRPr="00956542">
        <w:rPr>
          <w:rFonts w:ascii="Goudy Old Style" w:eastAsia="Arial" w:hAnsi="Goudy Old Style" w:cstheme="minorBidi"/>
          <w:color w:val="252525"/>
          <w:sz w:val="24"/>
          <w:szCs w:val="24"/>
          <w:lang w:val="id-ID"/>
        </w:rPr>
        <w:t>After</w:t>
      </w:r>
      <w:r w:rsidR="0083723D" w:rsidRPr="00956542">
        <w:rPr>
          <w:rFonts w:ascii="Goudy Old Style" w:eastAsia="Arial" w:hAnsi="Goudy Old Style" w:cstheme="minorBidi"/>
          <w:color w:val="252525"/>
          <w:sz w:val="24"/>
          <w:szCs w:val="24"/>
          <w:lang w:val="id-ID"/>
        </w:rPr>
        <w:t xml:space="preserve"> the introduction and research method, this article will construct the writing process of </w:t>
      </w:r>
      <w:r w:rsidR="00DF53DC" w:rsidRPr="00956542">
        <w:rPr>
          <w:rFonts w:ascii="Goudy Old Style" w:eastAsia="Arial" w:hAnsi="Goudy Old Style" w:cstheme="minorBidi"/>
          <w:color w:val="252525"/>
          <w:sz w:val="24"/>
          <w:szCs w:val="24"/>
          <w:lang w:val="id-ID"/>
        </w:rPr>
        <w:t>TIMRA</w:t>
      </w:r>
      <w:r w:rsidR="0083723D" w:rsidRPr="00956542">
        <w:rPr>
          <w:rFonts w:ascii="Goudy Old Style" w:eastAsia="Arial" w:hAnsi="Goudy Old Style" w:cstheme="minorBidi"/>
          <w:color w:val="252525"/>
          <w:sz w:val="24"/>
          <w:szCs w:val="24"/>
          <w:lang w:val="id-ID"/>
        </w:rPr>
        <w:t xml:space="preserve">, including the appointment process of the writing team, the ideology </w:t>
      </w:r>
      <w:r w:rsidR="0083723D" w:rsidRPr="00956542">
        <w:rPr>
          <w:rFonts w:ascii="Goudy Old Style" w:eastAsia="Arial" w:hAnsi="Goudy Old Style" w:cstheme="minorBidi"/>
          <w:color w:val="252525"/>
          <w:sz w:val="24"/>
          <w:szCs w:val="24"/>
          <w:lang w:val="id-ID"/>
        </w:rPr>
        <w:lastRenderedPageBreak/>
        <w:t xml:space="preserve">behind the writing of </w:t>
      </w:r>
      <w:r w:rsidR="00DF53DC" w:rsidRPr="00956542">
        <w:rPr>
          <w:rFonts w:ascii="Goudy Old Style" w:eastAsia="Arial" w:hAnsi="Goudy Old Style" w:cstheme="minorBidi"/>
          <w:color w:val="252525"/>
          <w:sz w:val="24"/>
          <w:szCs w:val="24"/>
          <w:lang w:val="id-ID"/>
        </w:rPr>
        <w:t>TIMRA</w:t>
      </w:r>
      <w:r w:rsidR="0083723D" w:rsidRPr="00956542">
        <w:rPr>
          <w:rFonts w:ascii="Goudy Old Style" w:eastAsia="Arial" w:hAnsi="Goudy Old Style" w:cstheme="minorBidi"/>
          <w:color w:val="252525"/>
          <w:sz w:val="24"/>
          <w:szCs w:val="24"/>
          <w:lang w:val="id-ID"/>
        </w:rPr>
        <w:t xml:space="preserve">, and the determination of the theme of interpretation. The subsequent section will entail an analysis of the form of </w:t>
      </w:r>
      <w:r w:rsidR="00887AAA" w:rsidRPr="00956542">
        <w:rPr>
          <w:rFonts w:ascii="Goudy Old Style" w:eastAsia="Arial" w:hAnsi="Goudy Old Style" w:cstheme="minorBidi"/>
          <w:color w:val="252525"/>
          <w:sz w:val="24"/>
          <w:szCs w:val="24"/>
          <w:lang w:val="id-ID"/>
        </w:rPr>
        <w:t>TIMRA’s</w:t>
      </w:r>
      <w:r w:rsidR="0083723D" w:rsidRPr="00956542">
        <w:rPr>
          <w:rFonts w:ascii="Goudy Old Style" w:eastAsia="Arial" w:hAnsi="Goudy Old Style" w:cstheme="minorBidi"/>
          <w:color w:val="252525"/>
          <w:sz w:val="24"/>
          <w:szCs w:val="24"/>
          <w:lang w:val="id-ID"/>
        </w:rPr>
        <w:t xml:space="preserve"> counter-narrative, which is employed to address </w:t>
      </w:r>
      <w:r w:rsidR="00887AAA" w:rsidRPr="00956542">
        <w:rPr>
          <w:rFonts w:ascii="Goudy Old Style" w:eastAsia="Arial" w:hAnsi="Goudy Old Style" w:cstheme="minorBidi"/>
          <w:color w:val="252525"/>
          <w:sz w:val="24"/>
          <w:szCs w:val="24"/>
          <w:lang w:val="id-ID"/>
        </w:rPr>
        <w:t>several</w:t>
      </w:r>
      <w:r w:rsidR="0083723D" w:rsidRPr="00956542">
        <w:rPr>
          <w:rFonts w:ascii="Goudy Old Style" w:eastAsia="Arial" w:hAnsi="Goudy Old Style" w:cstheme="minorBidi"/>
          <w:color w:val="252525"/>
          <w:sz w:val="24"/>
          <w:szCs w:val="24"/>
          <w:lang w:val="id-ID"/>
        </w:rPr>
        <w:t xml:space="preserve"> socio-religious issues, including jihad, the concept of statehood, radicalism, and extremism.</w:t>
      </w:r>
      <w:r w:rsidR="00B911D9" w:rsidRPr="00956542">
        <w:rPr>
          <w:rFonts w:ascii="Goudy Old Style" w:eastAsia="Arial" w:hAnsi="Goudy Old Style" w:cstheme="minorBidi"/>
          <w:color w:val="252525"/>
          <w:sz w:val="24"/>
          <w:szCs w:val="24"/>
          <w:lang w:val="id-ID"/>
        </w:rPr>
        <w:t xml:space="preserve"> </w:t>
      </w:r>
      <w:r w:rsidR="0083723D" w:rsidRPr="00956542">
        <w:rPr>
          <w:rFonts w:ascii="Goudy Old Style" w:eastAsia="Arial" w:hAnsi="Goudy Old Style" w:cstheme="minorBidi"/>
          <w:color w:val="252525"/>
          <w:sz w:val="24"/>
          <w:szCs w:val="24"/>
          <w:lang w:val="id-ID"/>
        </w:rPr>
        <w:t xml:space="preserve">In the final stage, the researcher will trace the responses of </w:t>
      </w:r>
      <w:r w:rsidR="00DF53DC" w:rsidRPr="00956542">
        <w:rPr>
          <w:rFonts w:ascii="Goudy Old Style" w:eastAsia="Arial" w:hAnsi="Goudy Old Style" w:cstheme="minorBidi"/>
          <w:color w:val="252525"/>
          <w:sz w:val="24"/>
          <w:szCs w:val="24"/>
          <w:lang w:val="id-ID"/>
        </w:rPr>
        <w:t>TIMRA</w:t>
      </w:r>
      <w:r w:rsidR="0083723D" w:rsidRPr="00956542">
        <w:rPr>
          <w:rFonts w:ascii="Goudy Old Style" w:eastAsia="Arial" w:hAnsi="Goudy Old Style" w:cstheme="minorBidi"/>
          <w:color w:val="252525"/>
          <w:sz w:val="24"/>
          <w:szCs w:val="24"/>
          <w:lang w:val="id-ID"/>
        </w:rPr>
        <w:t xml:space="preserve"> readers and users through literature survey and interview data.</w:t>
      </w:r>
    </w:p>
    <w:p w14:paraId="7F7CDE2F" w14:textId="7464A882" w:rsidR="00A95EE9" w:rsidRPr="00956542" w:rsidRDefault="00A95EE9" w:rsidP="00275200">
      <w:pPr>
        <w:pStyle w:val="FootnoteText"/>
        <w:tabs>
          <w:tab w:val="left" w:pos="567"/>
        </w:tabs>
        <w:rPr>
          <w:rFonts w:ascii="Goudy Old Style" w:eastAsia="Arial" w:hAnsi="Goudy Old Style" w:cstheme="minorBidi"/>
          <w:color w:val="252525"/>
          <w:sz w:val="24"/>
          <w:szCs w:val="24"/>
          <w:lang w:val="id-ID"/>
        </w:rPr>
      </w:pPr>
    </w:p>
    <w:p w14:paraId="4B2C5C42" w14:textId="3A39E152" w:rsidR="00F9665F" w:rsidRPr="00956542" w:rsidRDefault="00F9665F" w:rsidP="00275200">
      <w:pPr>
        <w:spacing w:after="0" w:line="240" w:lineRule="auto"/>
        <w:rPr>
          <w:rFonts w:ascii="Goudy Old Style" w:eastAsia="Arial" w:hAnsi="Goudy Old Style"/>
          <w:b/>
          <w:bCs/>
          <w:color w:val="252525"/>
          <w:sz w:val="24"/>
          <w:szCs w:val="24"/>
          <w:lang w:val="id-ID"/>
        </w:rPr>
      </w:pPr>
      <w:bookmarkStart w:id="0" w:name="_Hlk148123317"/>
      <w:r w:rsidRPr="00956542">
        <w:rPr>
          <w:rFonts w:ascii="Goudy Old Style" w:eastAsia="Arial" w:hAnsi="Goudy Old Style"/>
          <w:b/>
          <w:bCs/>
          <w:color w:val="252525"/>
          <w:sz w:val="24"/>
          <w:szCs w:val="24"/>
          <w:lang w:val="id-ID"/>
        </w:rPr>
        <w:t>Method</w:t>
      </w:r>
    </w:p>
    <w:bookmarkEnd w:id="0"/>
    <w:p w14:paraId="750966F2" w14:textId="37B06A48" w:rsidR="00BF7DC6" w:rsidRPr="00956542" w:rsidRDefault="00C257F7" w:rsidP="00275200">
      <w:pPr>
        <w:pStyle w:val="FootnoteText"/>
        <w:tabs>
          <w:tab w:val="left" w:pos="567"/>
        </w:tabs>
        <w:rPr>
          <w:rFonts w:ascii="Goudy Old Style" w:eastAsia="Arial" w:hAnsi="Goudy Old Style" w:cstheme="minorBidi"/>
          <w:color w:val="252525"/>
          <w:sz w:val="24"/>
          <w:szCs w:val="24"/>
          <w:lang w:val="id-ID"/>
        </w:rPr>
      </w:pPr>
      <w:r w:rsidRPr="00956542">
        <w:rPr>
          <w:rFonts w:ascii="Goudy Old Style" w:eastAsia="Arial" w:hAnsi="Goudy Old Style" w:cstheme="minorBidi"/>
          <w:color w:val="252525"/>
          <w:sz w:val="24"/>
          <w:szCs w:val="24"/>
          <w:lang w:val="id-ID"/>
        </w:rPr>
        <w:tab/>
      </w:r>
      <w:r w:rsidR="00142D25" w:rsidRPr="00956542">
        <w:rPr>
          <w:rFonts w:ascii="Goudy Old Style" w:eastAsia="Arial" w:hAnsi="Goudy Old Style" w:cstheme="minorBidi"/>
          <w:color w:val="252525"/>
          <w:sz w:val="24"/>
          <w:szCs w:val="24"/>
          <w:lang w:val="id-ID"/>
        </w:rPr>
        <w:t xml:space="preserve">This article employs a qualitative research method, </w:t>
      </w:r>
      <w:r w:rsidR="0073405B" w:rsidRPr="00956542">
        <w:rPr>
          <w:rFonts w:ascii="Goudy Old Style" w:eastAsia="Arial" w:hAnsi="Goudy Old Style" w:cstheme="minorBidi"/>
          <w:color w:val="252525"/>
          <w:sz w:val="24"/>
          <w:szCs w:val="24"/>
          <w:lang w:val="id-ID"/>
        </w:rPr>
        <w:t>utilizing</w:t>
      </w:r>
      <w:r w:rsidR="00142D25" w:rsidRPr="00956542">
        <w:rPr>
          <w:rFonts w:ascii="Goudy Old Style" w:eastAsia="Arial" w:hAnsi="Goudy Old Style" w:cstheme="minorBidi"/>
          <w:color w:val="252525"/>
          <w:sz w:val="24"/>
          <w:szCs w:val="24"/>
          <w:lang w:val="id-ID"/>
        </w:rPr>
        <w:t xml:space="preserve"> Michael </w:t>
      </w:r>
      <w:r w:rsidR="00887AAA" w:rsidRPr="00956542">
        <w:rPr>
          <w:rFonts w:ascii="Goudy Old Style" w:eastAsia="Arial" w:hAnsi="Goudy Old Style" w:cstheme="minorBidi"/>
          <w:color w:val="252525"/>
          <w:sz w:val="24"/>
          <w:szCs w:val="24"/>
          <w:lang w:val="id-ID"/>
        </w:rPr>
        <w:t>Faucoult’s</w:t>
      </w:r>
      <w:r w:rsidR="00142D25" w:rsidRPr="00956542">
        <w:rPr>
          <w:rFonts w:ascii="Goudy Old Style" w:eastAsia="Arial" w:hAnsi="Goudy Old Style" w:cstheme="minorBidi"/>
          <w:color w:val="252525"/>
          <w:sz w:val="24"/>
          <w:szCs w:val="24"/>
          <w:lang w:val="id-ID"/>
        </w:rPr>
        <w:t xml:space="preserve"> power relations </w:t>
      </w:r>
      <w:r w:rsidR="00887AAA" w:rsidRPr="00956542">
        <w:rPr>
          <w:rFonts w:ascii="Goudy Old Style" w:eastAsia="Arial" w:hAnsi="Goudy Old Style" w:cstheme="minorBidi"/>
          <w:color w:val="252525"/>
          <w:sz w:val="24"/>
          <w:szCs w:val="24"/>
          <w:lang w:val="id-ID"/>
        </w:rPr>
        <w:t>and descriptive-analytical approaches</w:t>
      </w:r>
      <w:r w:rsidR="00142D25" w:rsidRPr="00956542">
        <w:rPr>
          <w:rFonts w:ascii="Goudy Old Style" w:eastAsia="Arial" w:hAnsi="Goudy Old Style" w:cstheme="minorBidi"/>
          <w:color w:val="252525"/>
          <w:sz w:val="24"/>
          <w:szCs w:val="24"/>
          <w:lang w:val="id-ID"/>
        </w:rPr>
        <w:t xml:space="preserve">. The employment of </w:t>
      </w:r>
      <w:r w:rsidR="00887AAA" w:rsidRPr="00956542">
        <w:rPr>
          <w:rFonts w:ascii="Goudy Old Style" w:eastAsia="Arial" w:hAnsi="Goudy Old Style" w:cstheme="minorBidi"/>
          <w:color w:val="252525"/>
          <w:sz w:val="24"/>
          <w:szCs w:val="24"/>
          <w:lang w:val="id-ID"/>
        </w:rPr>
        <w:t>Faucoult’s</w:t>
      </w:r>
      <w:r w:rsidR="00142D25" w:rsidRPr="00956542">
        <w:rPr>
          <w:rFonts w:ascii="Goudy Old Style" w:eastAsia="Arial" w:hAnsi="Goudy Old Style" w:cstheme="minorBidi"/>
          <w:color w:val="252525"/>
          <w:sz w:val="24"/>
          <w:szCs w:val="24"/>
          <w:lang w:val="id-ID"/>
        </w:rPr>
        <w:t xml:space="preserve"> power relations theory is intended to trace the process of religious discourse construction carried out by the state through the </w:t>
      </w:r>
      <w:r w:rsidR="00DF53DC" w:rsidRPr="00956542">
        <w:rPr>
          <w:rFonts w:ascii="Goudy Old Style" w:eastAsia="Arial" w:hAnsi="Goudy Old Style" w:cstheme="minorBidi"/>
          <w:color w:val="252525"/>
          <w:sz w:val="24"/>
          <w:szCs w:val="24"/>
          <w:lang w:val="id-ID"/>
        </w:rPr>
        <w:t>TIMRA</w:t>
      </w:r>
      <w:r w:rsidR="00142D25" w:rsidRPr="00956542">
        <w:rPr>
          <w:rFonts w:ascii="Goudy Old Style" w:eastAsia="Arial" w:hAnsi="Goudy Old Style" w:cstheme="minorBidi"/>
          <w:color w:val="252525"/>
          <w:sz w:val="24"/>
          <w:szCs w:val="24"/>
          <w:lang w:val="id-ID"/>
        </w:rPr>
        <w:t xml:space="preserve">. The </w:t>
      </w:r>
      <w:r w:rsidR="001F7248" w:rsidRPr="00956542">
        <w:rPr>
          <w:rFonts w:ascii="Goudy Old Style" w:eastAsia="Arial" w:hAnsi="Goudy Old Style" w:cstheme="minorBidi"/>
          <w:color w:val="252525"/>
          <w:sz w:val="24"/>
          <w:szCs w:val="24"/>
          <w:lang w:val="id-ID"/>
        </w:rPr>
        <w:t>literature data source</w:t>
      </w:r>
      <w:r w:rsidR="00FB4DA7" w:rsidRPr="00956542">
        <w:rPr>
          <w:rFonts w:ascii="Goudy Old Style" w:eastAsia="Arial" w:hAnsi="Goudy Old Style" w:cstheme="minorBidi"/>
          <w:color w:val="252525"/>
          <w:sz w:val="24"/>
          <w:szCs w:val="24"/>
          <w:lang w:val="id-ID"/>
        </w:rPr>
        <w:t xml:space="preserve"> is the TIMRA, written from 2008 to 2012. It consists of 26 main themes of the Quran</w:t>
      </w:r>
      <w:r w:rsidR="00142D25" w:rsidRPr="00956542">
        <w:rPr>
          <w:rFonts w:ascii="Goudy Old Style" w:eastAsia="Arial" w:hAnsi="Goudy Old Style" w:cstheme="minorBidi"/>
          <w:color w:val="252525"/>
          <w:sz w:val="24"/>
          <w:szCs w:val="24"/>
          <w:lang w:val="id-ID"/>
        </w:rPr>
        <w:t xml:space="preserve">, such as Muslim and non-Muslim relations, radicalism, and inter-religious relations. In addition to literature data sources, this article is supported by interview data with </w:t>
      </w:r>
      <w:r w:rsidR="00173707" w:rsidRPr="00956542">
        <w:rPr>
          <w:rFonts w:ascii="Goudy Old Style" w:eastAsia="Arial" w:hAnsi="Goudy Old Style" w:cstheme="minorBidi"/>
          <w:color w:val="252525"/>
          <w:sz w:val="24"/>
          <w:szCs w:val="24"/>
          <w:lang w:val="id-ID"/>
        </w:rPr>
        <w:t>several</w:t>
      </w:r>
      <w:r w:rsidR="00142D25" w:rsidRPr="00956542">
        <w:rPr>
          <w:rFonts w:ascii="Goudy Old Style" w:eastAsia="Arial" w:hAnsi="Goudy Old Style" w:cstheme="minorBidi"/>
          <w:color w:val="252525"/>
          <w:sz w:val="24"/>
          <w:szCs w:val="24"/>
          <w:lang w:val="id-ID"/>
        </w:rPr>
        <w:t xml:space="preserve"> writing teams, committees, secretariats, and archives related to the writing of </w:t>
      </w:r>
      <w:r w:rsidR="00DF53DC" w:rsidRPr="00956542">
        <w:rPr>
          <w:rFonts w:ascii="Goudy Old Style" w:eastAsia="Arial" w:hAnsi="Goudy Old Style" w:cstheme="minorBidi"/>
          <w:color w:val="252525"/>
          <w:sz w:val="24"/>
          <w:szCs w:val="24"/>
          <w:lang w:val="id-ID"/>
        </w:rPr>
        <w:t>TIMRA</w:t>
      </w:r>
      <w:r w:rsidR="00142D25" w:rsidRPr="00956542">
        <w:rPr>
          <w:rFonts w:ascii="Goudy Old Style" w:eastAsia="Arial" w:hAnsi="Goudy Old Style" w:cstheme="minorBidi"/>
          <w:color w:val="252525"/>
          <w:sz w:val="24"/>
          <w:szCs w:val="24"/>
          <w:lang w:val="id-ID"/>
        </w:rPr>
        <w:t xml:space="preserve">, as well as with parties involved in the process of compiling </w:t>
      </w:r>
      <w:r w:rsidR="00DF53DC" w:rsidRPr="00956542">
        <w:rPr>
          <w:rFonts w:ascii="Goudy Old Style" w:eastAsia="Arial" w:hAnsi="Goudy Old Style" w:cstheme="minorBidi"/>
          <w:color w:val="252525"/>
          <w:sz w:val="24"/>
          <w:szCs w:val="24"/>
          <w:lang w:val="id-ID"/>
        </w:rPr>
        <w:t>TIMRA</w:t>
      </w:r>
      <w:r w:rsidR="00142D25" w:rsidRPr="00956542">
        <w:rPr>
          <w:rFonts w:ascii="Goudy Old Style" w:eastAsia="Arial" w:hAnsi="Goudy Old Style" w:cstheme="minorBidi"/>
          <w:color w:val="252525"/>
          <w:sz w:val="24"/>
          <w:szCs w:val="24"/>
          <w:lang w:val="id-ID"/>
        </w:rPr>
        <w:t xml:space="preserve"> either from LPMQ or from MoRA of the Republic of Indonesia. Secondary data sources include writings related to the process of writing and compiling the </w:t>
      </w:r>
      <w:r w:rsidR="00DF53DC" w:rsidRPr="00956542">
        <w:rPr>
          <w:rFonts w:ascii="Goudy Old Style" w:eastAsia="Arial" w:hAnsi="Goudy Old Style" w:cstheme="minorBidi"/>
          <w:color w:val="252525"/>
          <w:sz w:val="24"/>
          <w:szCs w:val="24"/>
          <w:lang w:val="id-ID"/>
        </w:rPr>
        <w:t>TIMRA</w:t>
      </w:r>
      <w:r w:rsidR="00142D25" w:rsidRPr="00956542">
        <w:rPr>
          <w:rFonts w:ascii="Goudy Old Style" w:eastAsia="Arial" w:hAnsi="Goudy Old Style" w:cstheme="minorBidi"/>
          <w:color w:val="252525"/>
          <w:sz w:val="24"/>
          <w:szCs w:val="24"/>
          <w:lang w:val="id-ID"/>
        </w:rPr>
        <w:t>.</w:t>
      </w:r>
    </w:p>
    <w:p w14:paraId="50E59705" w14:textId="32F846C1" w:rsidR="003720B4" w:rsidRPr="00956542" w:rsidRDefault="00E34826" w:rsidP="00275200">
      <w:pPr>
        <w:pStyle w:val="FootnoteText"/>
        <w:tabs>
          <w:tab w:val="left" w:pos="567"/>
        </w:tabs>
        <w:rPr>
          <w:rFonts w:ascii="Goudy Old Style" w:eastAsia="Arial" w:hAnsi="Goudy Old Style" w:cstheme="minorBidi"/>
          <w:color w:val="252525"/>
          <w:sz w:val="24"/>
          <w:szCs w:val="24"/>
          <w:lang w:val="id-ID"/>
        </w:rPr>
      </w:pPr>
      <w:r w:rsidRPr="00956542">
        <w:rPr>
          <w:rFonts w:ascii="Goudy Old Style" w:eastAsia="Arial" w:hAnsi="Goudy Old Style" w:cstheme="minorBidi"/>
          <w:color w:val="252525"/>
          <w:sz w:val="24"/>
          <w:szCs w:val="24"/>
          <w:lang w:val="id-ID"/>
        </w:rPr>
        <w:tab/>
      </w:r>
      <w:r w:rsidR="007D224B" w:rsidRPr="00956542">
        <w:rPr>
          <w:rFonts w:ascii="Goudy Old Style" w:eastAsia="Arial" w:hAnsi="Goudy Old Style" w:cstheme="minorBidi"/>
          <w:color w:val="252525"/>
          <w:sz w:val="24"/>
          <w:szCs w:val="24"/>
          <w:lang w:val="id-ID"/>
        </w:rPr>
        <w:t xml:space="preserve">The present research data collection is divided into two primary components. The initial stage entails </w:t>
      </w:r>
      <w:r w:rsidR="000F62ED" w:rsidRPr="00956542">
        <w:rPr>
          <w:rFonts w:ascii="Goudy Old Style" w:eastAsia="Arial" w:hAnsi="Goudy Old Style" w:cstheme="minorBidi"/>
          <w:color w:val="252525"/>
          <w:sz w:val="24"/>
          <w:szCs w:val="24"/>
          <w:lang w:val="id-ID"/>
        </w:rPr>
        <w:t>compiling</w:t>
      </w:r>
      <w:r w:rsidR="007D224B" w:rsidRPr="00956542">
        <w:rPr>
          <w:rFonts w:ascii="Goudy Old Style" w:eastAsia="Arial" w:hAnsi="Goudy Old Style" w:cstheme="minorBidi"/>
          <w:color w:val="252525"/>
          <w:sz w:val="24"/>
          <w:szCs w:val="24"/>
          <w:lang w:val="id-ID"/>
        </w:rPr>
        <w:t xml:space="preserve"> counter-narrative data concerning </w:t>
      </w:r>
      <w:r w:rsidR="00E414C1" w:rsidRPr="00956542">
        <w:rPr>
          <w:rFonts w:ascii="Goudy Old Style" w:eastAsia="Arial" w:hAnsi="Goudy Old Style" w:cstheme="minorBidi"/>
          <w:color w:val="252525"/>
          <w:sz w:val="24"/>
          <w:szCs w:val="24"/>
        </w:rPr>
        <w:t xml:space="preserve">gender </w:t>
      </w:r>
      <w:r w:rsidR="007D224B" w:rsidRPr="00956542">
        <w:rPr>
          <w:rFonts w:ascii="Goudy Old Style" w:eastAsia="Arial" w:hAnsi="Goudy Old Style" w:cstheme="minorBidi"/>
          <w:color w:val="252525"/>
          <w:sz w:val="24"/>
          <w:szCs w:val="24"/>
          <w:lang w:val="id-ID"/>
        </w:rPr>
        <w:t xml:space="preserve">perspectives within the context of </w:t>
      </w:r>
      <w:r w:rsidR="00DF53DC" w:rsidRPr="00956542">
        <w:rPr>
          <w:rFonts w:ascii="Goudy Old Style" w:eastAsia="Arial" w:hAnsi="Goudy Old Style" w:cstheme="minorBidi"/>
          <w:color w:val="252525"/>
          <w:sz w:val="24"/>
          <w:szCs w:val="24"/>
          <w:lang w:val="id-ID"/>
        </w:rPr>
        <w:t>TIMRA</w:t>
      </w:r>
      <w:r w:rsidR="007D224B" w:rsidRPr="00956542">
        <w:rPr>
          <w:rFonts w:ascii="Goudy Old Style" w:eastAsia="Arial" w:hAnsi="Goudy Old Style" w:cstheme="minorBidi"/>
          <w:color w:val="252525"/>
          <w:sz w:val="24"/>
          <w:szCs w:val="24"/>
          <w:lang w:val="id-ID"/>
        </w:rPr>
        <w:t xml:space="preserve">. These data are found in </w:t>
      </w:r>
      <w:r w:rsidR="00A6000A" w:rsidRPr="00956542">
        <w:rPr>
          <w:rFonts w:ascii="Goudy Old Style" w:eastAsia="Arial" w:hAnsi="Goudy Old Style" w:cstheme="minorBidi"/>
          <w:color w:val="252525"/>
          <w:sz w:val="24"/>
          <w:szCs w:val="24"/>
        </w:rPr>
        <w:t>women's</w:t>
      </w:r>
      <w:r w:rsidR="00BB748B" w:rsidRPr="00956542">
        <w:rPr>
          <w:rFonts w:ascii="Goudy Old Style" w:eastAsia="Arial" w:hAnsi="Goudy Old Style" w:cstheme="minorBidi"/>
          <w:color w:val="252525"/>
          <w:sz w:val="24"/>
          <w:szCs w:val="24"/>
        </w:rPr>
        <w:t xml:space="preserve"> leadership in public spaces</w:t>
      </w:r>
      <w:r w:rsidR="007D224B" w:rsidRPr="00956542">
        <w:rPr>
          <w:rFonts w:ascii="Goudy Old Style" w:eastAsia="Arial" w:hAnsi="Goudy Old Style" w:cstheme="minorBidi"/>
          <w:color w:val="252525"/>
          <w:sz w:val="24"/>
          <w:szCs w:val="24"/>
          <w:lang w:val="id-ID"/>
        </w:rPr>
        <w:t xml:space="preserve">. The research is further supported by interview data from </w:t>
      </w:r>
      <w:r w:rsidR="000F62ED" w:rsidRPr="00956542">
        <w:rPr>
          <w:rFonts w:ascii="Goudy Old Style" w:eastAsia="Arial" w:hAnsi="Goudy Old Style" w:cstheme="minorBidi"/>
          <w:color w:val="252525"/>
          <w:sz w:val="24"/>
          <w:szCs w:val="24"/>
          <w:lang w:val="id-ID"/>
        </w:rPr>
        <w:t>several</w:t>
      </w:r>
      <w:r w:rsidR="007D224B" w:rsidRPr="00956542">
        <w:rPr>
          <w:rFonts w:ascii="Goudy Old Style" w:eastAsia="Arial" w:hAnsi="Goudy Old Style" w:cstheme="minorBidi"/>
          <w:color w:val="252525"/>
          <w:sz w:val="24"/>
          <w:szCs w:val="24"/>
          <w:lang w:val="id-ID"/>
        </w:rPr>
        <w:t xml:space="preserve"> </w:t>
      </w:r>
      <w:r w:rsidR="00DF53DC" w:rsidRPr="00956542">
        <w:rPr>
          <w:rFonts w:ascii="Goudy Old Style" w:eastAsia="Arial" w:hAnsi="Goudy Old Style" w:cstheme="minorBidi"/>
          <w:color w:val="252525"/>
          <w:sz w:val="24"/>
          <w:szCs w:val="24"/>
          <w:lang w:val="id-ID"/>
        </w:rPr>
        <w:t>TIMRA</w:t>
      </w:r>
      <w:r w:rsidR="007D224B" w:rsidRPr="00956542">
        <w:rPr>
          <w:rFonts w:ascii="Goudy Old Style" w:eastAsia="Arial" w:hAnsi="Goudy Old Style" w:cstheme="minorBidi"/>
          <w:color w:val="252525"/>
          <w:sz w:val="24"/>
          <w:szCs w:val="24"/>
          <w:lang w:val="id-ID"/>
        </w:rPr>
        <w:t xml:space="preserve"> committees and writing teams affiliated with MoRA and LPMQ. The integration of interview and observational data aims to illuminate the intricacies of the writing process and the dynamics of power relations within the context of </w:t>
      </w:r>
      <w:r w:rsidR="00DF53DC" w:rsidRPr="00956542">
        <w:rPr>
          <w:rFonts w:ascii="Goudy Old Style" w:eastAsia="Arial" w:hAnsi="Goudy Old Style" w:cstheme="minorBidi"/>
          <w:color w:val="252525"/>
          <w:sz w:val="24"/>
          <w:szCs w:val="24"/>
          <w:lang w:val="id-ID"/>
        </w:rPr>
        <w:t>TIMRA</w:t>
      </w:r>
      <w:r w:rsidR="007D224B" w:rsidRPr="00956542">
        <w:rPr>
          <w:rFonts w:ascii="Goudy Old Style" w:eastAsia="Arial" w:hAnsi="Goudy Old Style" w:cstheme="minorBidi"/>
          <w:color w:val="252525"/>
          <w:sz w:val="24"/>
          <w:szCs w:val="24"/>
          <w:lang w:val="id-ID"/>
        </w:rPr>
        <w:t xml:space="preserve">. To further understand the </w:t>
      </w:r>
      <w:r w:rsidR="0073405B" w:rsidRPr="00956542">
        <w:rPr>
          <w:rFonts w:ascii="Goudy Old Style" w:eastAsia="Arial" w:hAnsi="Goudy Old Style" w:cstheme="minorBidi"/>
          <w:color w:val="252525"/>
          <w:sz w:val="24"/>
          <w:szCs w:val="24"/>
          <w:lang w:val="id-ID"/>
        </w:rPr>
        <w:t>prioritization</w:t>
      </w:r>
      <w:r w:rsidR="001F7248" w:rsidRPr="00956542">
        <w:rPr>
          <w:rFonts w:ascii="Goudy Old Style" w:eastAsia="Arial" w:hAnsi="Goudy Old Style" w:cstheme="minorBidi"/>
          <w:color w:val="252525"/>
          <w:sz w:val="24"/>
          <w:szCs w:val="24"/>
          <w:lang w:val="id-ID"/>
        </w:rPr>
        <w:t>, notoriety, and acceptance of TIMRA, researchers surveyed</w:t>
      </w:r>
      <w:r w:rsidR="007D224B" w:rsidRPr="00956542">
        <w:rPr>
          <w:rFonts w:ascii="Goudy Old Style" w:eastAsia="Arial" w:hAnsi="Goudy Old Style" w:cstheme="minorBidi"/>
          <w:color w:val="252525"/>
          <w:sz w:val="24"/>
          <w:szCs w:val="24"/>
          <w:lang w:val="id-ID"/>
        </w:rPr>
        <w:t xml:space="preserve"> 100 academics consisting of lecturers and tafsir students at three state Islamic universities. A comprehensive search of literature addressing the emergence of </w:t>
      </w:r>
      <w:r w:rsidR="00DF53DC" w:rsidRPr="00956542">
        <w:rPr>
          <w:rFonts w:ascii="Goudy Old Style" w:eastAsia="Arial" w:hAnsi="Goudy Old Style" w:cstheme="minorBidi"/>
          <w:color w:val="252525"/>
          <w:sz w:val="24"/>
          <w:szCs w:val="24"/>
          <w:lang w:val="id-ID"/>
        </w:rPr>
        <w:t>TIMRA</w:t>
      </w:r>
      <w:r w:rsidR="007D224B" w:rsidRPr="00956542">
        <w:rPr>
          <w:rFonts w:ascii="Goudy Old Style" w:eastAsia="Arial" w:hAnsi="Goudy Old Style" w:cstheme="minorBidi"/>
          <w:color w:val="252525"/>
          <w:sz w:val="24"/>
          <w:szCs w:val="24"/>
          <w:lang w:val="id-ID"/>
        </w:rPr>
        <w:t xml:space="preserve"> was also conducted to ascertain </w:t>
      </w:r>
      <w:r w:rsidR="001F7248" w:rsidRPr="00956542">
        <w:rPr>
          <w:rFonts w:ascii="Goudy Old Style" w:eastAsia="Arial" w:hAnsi="Goudy Old Style" w:cstheme="minorBidi"/>
          <w:color w:val="252525"/>
          <w:sz w:val="24"/>
          <w:szCs w:val="24"/>
          <w:lang w:val="id-ID"/>
        </w:rPr>
        <w:t>scholars’</w:t>
      </w:r>
      <w:r w:rsidR="007D224B" w:rsidRPr="00956542">
        <w:rPr>
          <w:rFonts w:ascii="Goudy Old Style" w:eastAsia="Arial" w:hAnsi="Goudy Old Style" w:cstheme="minorBidi"/>
          <w:color w:val="252525"/>
          <w:sz w:val="24"/>
          <w:szCs w:val="24"/>
          <w:lang w:val="id-ID"/>
        </w:rPr>
        <w:t xml:space="preserve"> responses and the level of acceptance of </w:t>
      </w:r>
      <w:r w:rsidR="00DF53DC" w:rsidRPr="00956542">
        <w:rPr>
          <w:rFonts w:ascii="Goudy Old Style" w:eastAsia="Arial" w:hAnsi="Goudy Old Style" w:cstheme="minorBidi"/>
          <w:color w:val="252525"/>
          <w:sz w:val="24"/>
          <w:szCs w:val="24"/>
          <w:lang w:val="id-ID"/>
        </w:rPr>
        <w:t>TIMRA</w:t>
      </w:r>
      <w:r w:rsidR="007D224B" w:rsidRPr="00956542">
        <w:rPr>
          <w:rFonts w:ascii="Goudy Old Style" w:eastAsia="Arial" w:hAnsi="Goudy Old Style" w:cstheme="minorBidi"/>
          <w:color w:val="252525"/>
          <w:sz w:val="24"/>
          <w:szCs w:val="24"/>
          <w:lang w:val="id-ID"/>
        </w:rPr>
        <w:t>.</w:t>
      </w:r>
    </w:p>
    <w:p w14:paraId="569A3AB9" w14:textId="77777777" w:rsidR="00160088" w:rsidRPr="00956542" w:rsidRDefault="00160088" w:rsidP="00275200">
      <w:pPr>
        <w:pStyle w:val="FootnoteText"/>
        <w:tabs>
          <w:tab w:val="left" w:pos="567"/>
        </w:tabs>
        <w:rPr>
          <w:rFonts w:ascii="Goudy Old Style" w:eastAsia="Arial" w:hAnsi="Goudy Old Style" w:cstheme="minorBidi"/>
          <w:color w:val="252525"/>
          <w:sz w:val="24"/>
          <w:szCs w:val="24"/>
          <w:lang w:val="id-ID"/>
        </w:rPr>
      </w:pPr>
    </w:p>
    <w:p w14:paraId="20F992BF" w14:textId="7832A54F" w:rsidR="00795FFA" w:rsidRPr="00956542" w:rsidRDefault="00DF53DC" w:rsidP="00275200">
      <w:pPr>
        <w:spacing w:after="0" w:line="240" w:lineRule="auto"/>
        <w:rPr>
          <w:rFonts w:ascii="Goudy Old Style" w:eastAsia="Arial" w:hAnsi="Goudy Old Style"/>
          <w:b/>
          <w:bCs/>
          <w:color w:val="252525"/>
          <w:sz w:val="24"/>
          <w:szCs w:val="24"/>
        </w:rPr>
      </w:pPr>
      <w:r w:rsidRPr="00956542">
        <w:rPr>
          <w:rFonts w:ascii="Goudy Old Style" w:eastAsia="Arial" w:hAnsi="Goudy Old Style"/>
          <w:b/>
          <w:bCs/>
          <w:color w:val="252525"/>
          <w:sz w:val="24"/>
          <w:szCs w:val="24"/>
          <w:lang w:val="id-ID"/>
        </w:rPr>
        <w:t>TIMRA</w:t>
      </w:r>
      <w:r w:rsidR="00795FFA" w:rsidRPr="00956542">
        <w:rPr>
          <w:rFonts w:ascii="Goudy Old Style" w:eastAsia="Arial" w:hAnsi="Goudy Old Style"/>
          <w:b/>
          <w:bCs/>
          <w:color w:val="252525"/>
          <w:sz w:val="24"/>
          <w:szCs w:val="24"/>
          <w:lang w:val="id-ID"/>
        </w:rPr>
        <w:t xml:space="preserve"> Writing Construct</w:t>
      </w:r>
      <w:r w:rsidR="00C35F29" w:rsidRPr="00956542">
        <w:rPr>
          <w:rFonts w:ascii="Goudy Old Style" w:eastAsia="Arial" w:hAnsi="Goudy Old Style"/>
          <w:b/>
          <w:bCs/>
          <w:color w:val="252525"/>
          <w:sz w:val="24"/>
          <w:szCs w:val="24"/>
        </w:rPr>
        <w:t xml:space="preserve">ion </w:t>
      </w:r>
    </w:p>
    <w:p w14:paraId="4E021173" w14:textId="50F3E8D4" w:rsidR="00E20F60" w:rsidRPr="00956542" w:rsidRDefault="00E20F60" w:rsidP="00275200">
      <w:pPr>
        <w:spacing w:after="0" w:line="240" w:lineRule="auto"/>
        <w:ind w:firstLine="567"/>
        <w:rPr>
          <w:rFonts w:ascii="Goudy Old Style" w:hAnsi="Goudy Old Style"/>
          <w:sz w:val="24"/>
          <w:szCs w:val="24"/>
          <w:lang w:val="id-ID"/>
        </w:rPr>
      </w:pPr>
      <w:r w:rsidRPr="00956542">
        <w:rPr>
          <w:rFonts w:ascii="Goudy Old Style" w:hAnsi="Goudy Old Style"/>
          <w:sz w:val="24"/>
          <w:szCs w:val="24"/>
          <w:lang w:val="id-ID"/>
        </w:rPr>
        <w:t xml:space="preserve">The </w:t>
      </w:r>
      <w:r w:rsidR="001F7248" w:rsidRPr="00956542">
        <w:rPr>
          <w:rFonts w:ascii="Goudy Old Style" w:hAnsi="Goudy Old Style"/>
          <w:sz w:val="24"/>
          <w:szCs w:val="24"/>
          <w:lang w:val="id-ID"/>
        </w:rPr>
        <w:t>state’s</w:t>
      </w:r>
      <w:r w:rsidRPr="00956542">
        <w:rPr>
          <w:rFonts w:ascii="Goudy Old Style" w:hAnsi="Goudy Old Style"/>
          <w:sz w:val="24"/>
          <w:szCs w:val="24"/>
          <w:lang w:val="id-ID"/>
        </w:rPr>
        <w:t xml:space="preserve"> profound influence on the production of tafsir content is evident in the structuring of writing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This is exemplified by the appointment process of the mufasir team by MoRA, which selects scholars adhering to religious beliefs and ideologies that align with the prevailing state ideology.</w:t>
      </w:r>
      <w:r w:rsidR="00760546" w:rsidRPr="00956542">
        <w:rPr>
          <w:rFonts w:ascii="Goudy Old Style" w:hAnsi="Goudy Old Style"/>
          <w:sz w:val="24"/>
          <w:szCs w:val="24"/>
          <w:lang w:val="id-ID"/>
        </w:rPr>
        <w:t xml:space="preserve"> </w:t>
      </w:r>
      <w:r w:rsidRPr="00956542">
        <w:rPr>
          <w:rFonts w:ascii="Goudy Old Style" w:hAnsi="Goudy Old Style"/>
          <w:sz w:val="24"/>
          <w:szCs w:val="24"/>
          <w:lang w:val="id-ID"/>
        </w:rPr>
        <w:t xml:space="preserve">An additional indication of the </w:t>
      </w:r>
      <w:r w:rsidR="001F7248" w:rsidRPr="00956542">
        <w:rPr>
          <w:rFonts w:ascii="Goudy Old Style" w:hAnsi="Goudy Old Style"/>
          <w:sz w:val="24"/>
          <w:szCs w:val="24"/>
          <w:lang w:val="id-ID"/>
        </w:rPr>
        <w:t>state’s</w:t>
      </w:r>
      <w:r w:rsidRPr="00956542">
        <w:rPr>
          <w:rFonts w:ascii="Goudy Old Style" w:hAnsi="Goudy Old Style"/>
          <w:sz w:val="24"/>
          <w:szCs w:val="24"/>
          <w:lang w:val="id-ID"/>
        </w:rPr>
        <w:t xml:space="preserve"> involvement is the determination of the theme of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which was undertaken in 2008. The role of the Ministry of Religious Affairs (MoRA) in directing and determining the title and theme of the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writing is significant. In the final stage, the Ministry played a crucial role in the final editing and revision process of the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before its printing and circulation.</w:t>
      </w:r>
    </w:p>
    <w:p w14:paraId="65E23281" w14:textId="215661F5" w:rsidR="000D5233" w:rsidRPr="00956542" w:rsidRDefault="000D5233" w:rsidP="00275200">
      <w:pPr>
        <w:spacing w:after="0" w:line="240" w:lineRule="auto"/>
        <w:ind w:firstLine="567"/>
        <w:rPr>
          <w:rFonts w:ascii="Goudy Old Style" w:hAnsi="Goudy Old Style"/>
          <w:sz w:val="24"/>
          <w:szCs w:val="24"/>
          <w:lang w:val="id-ID"/>
        </w:rPr>
      </w:pPr>
      <w:r w:rsidRPr="00956542">
        <w:rPr>
          <w:rFonts w:ascii="Goudy Old Style" w:hAnsi="Goudy Old Style"/>
          <w:sz w:val="24"/>
          <w:szCs w:val="24"/>
          <w:lang w:val="id-ID"/>
        </w:rPr>
        <w:t xml:space="preserve">The notion of initiating the composition of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emerged from the endorsement of scholars from diverse geographical regions within Indonesia during the Mukernas Ulama </w:t>
      </w:r>
      <w:r w:rsidR="00D94B33" w:rsidRPr="00956542">
        <w:rPr>
          <w:rFonts w:ascii="Goudy Old Style" w:hAnsi="Goudy Old Style"/>
          <w:sz w:val="24"/>
          <w:szCs w:val="24"/>
          <w:lang w:val="id-ID"/>
        </w:rPr>
        <w:t>al-Qur’an events, held on May 8-10, 2006, in Yogyakarta and on December 14-16, 2006,</w:t>
      </w:r>
      <w:r w:rsidRPr="00956542">
        <w:rPr>
          <w:rFonts w:ascii="Goudy Old Style" w:hAnsi="Goudy Old Style"/>
          <w:sz w:val="24"/>
          <w:szCs w:val="24"/>
          <w:lang w:val="id-ID"/>
        </w:rPr>
        <w:t xml:space="preserve"> in Ciloto (Ministry of Religious Affairs, 2009: xii). However, since the inception of the mukernas in the early 2000s, the concept of compiling thematic tafsir books in Indonesia has emerged and persists as a subject of discussion at </w:t>
      </w:r>
      <w:r w:rsidRPr="00956542">
        <w:rPr>
          <w:rFonts w:ascii="Goudy Old Style" w:hAnsi="Goudy Old Style"/>
          <w:sz w:val="24"/>
          <w:szCs w:val="24"/>
          <w:lang w:val="id-ID"/>
        </w:rPr>
        <w:lastRenderedPageBreak/>
        <w:t>each mukernas.</w:t>
      </w:r>
      <w:r w:rsidR="00760546" w:rsidRPr="00956542">
        <w:rPr>
          <w:rFonts w:ascii="Goudy Old Style" w:hAnsi="Goudy Old Style"/>
          <w:sz w:val="24"/>
          <w:szCs w:val="24"/>
          <w:lang w:val="id-ID"/>
        </w:rPr>
        <w:t xml:space="preserve"> </w:t>
      </w:r>
      <w:r w:rsidRPr="00956542">
        <w:rPr>
          <w:rFonts w:ascii="Goudy Old Style" w:hAnsi="Goudy Old Style"/>
          <w:sz w:val="24"/>
          <w:szCs w:val="24"/>
          <w:lang w:val="id-ID"/>
        </w:rPr>
        <w:t xml:space="preserve">Delegates at that time recommended that MoRA compile tafsir with a thematic format, proposing an alternative to the limitations of tafsir in the tahlili format. Following deliberation, the Mukernas </w:t>
      </w:r>
      <w:r w:rsidR="00B82D59" w:rsidRPr="00956542">
        <w:rPr>
          <w:rFonts w:ascii="Goudy Old Style" w:hAnsi="Goudy Old Style"/>
          <w:sz w:val="24"/>
          <w:szCs w:val="24"/>
          <w:lang w:val="id-ID"/>
        </w:rPr>
        <w:t xml:space="preserve">Ulama </w:t>
      </w:r>
      <w:r w:rsidR="00D40FC1" w:rsidRPr="00956542">
        <w:rPr>
          <w:rFonts w:ascii="Goudy Old Style" w:hAnsi="Goudy Old Style"/>
          <w:sz w:val="24"/>
          <w:szCs w:val="24"/>
          <w:lang w:val="id-ID"/>
        </w:rPr>
        <w:t>al-Qur’an</w:t>
      </w:r>
      <w:r w:rsidRPr="00956542">
        <w:rPr>
          <w:rFonts w:ascii="Goudy Old Style" w:hAnsi="Goudy Old Style"/>
          <w:sz w:val="24"/>
          <w:szCs w:val="24"/>
          <w:lang w:val="id-ID"/>
        </w:rPr>
        <w:t xml:space="preserve"> </w:t>
      </w:r>
      <w:r w:rsidR="00D40FC1" w:rsidRPr="00956542">
        <w:rPr>
          <w:rFonts w:ascii="Goudy Old Style" w:hAnsi="Goudy Old Style"/>
          <w:sz w:val="24"/>
          <w:szCs w:val="24"/>
          <w:lang w:val="id-ID"/>
        </w:rPr>
        <w:t>Forum</w:t>
      </w:r>
      <w:r w:rsidRPr="00956542">
        <w:rPr>
          <w:rFonts w:ascii="Goudy Old Style" w:hAnsi="Goudy Old Style"/>
          <w:sz w:val="24"/>
          <w:szCs w:val="24"/>
          <w:lang w:val="id-ID"/>
        </w:rPr>
        <w:t xml:space="preserve"> 2006 formally endorsed the composition of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w:t>
      </w:r>
    </w:p>
    <w:p w14:paraId="142DAE22" w14:textId="2C521C2C" w:rsidR="00B25236" w:rsidRPr="00956542" w:rsidRDefault="00B25236" w:rsidP="00275200">
      <w:pPr>
        <w:spacing w:after="0" w:line="240" w:lineRule="auto"/>
        <w:ind w:firstLine="567"/>
        <w:rPr>
          <w:rFonts w:ascii="Goudy Old Style" w:hAnsi="Goudy Old Style"/>
          <w:sz w:val="24"/>
          <w:szCs w:val="24"/>
          <w:lang w:val="id-ID"/>
        </w:rPr>
      </w:pPr>
      <w:r w:rsidRPr="00956542">
        <w:rPr>
          <w:rFonts w:ascii="Goudy Old Style" w:hAnsi="Goudy Old Style"/>
          <w:sz w:val="24"/>
          <w:szCs w:val="24"/>
          <w:lang w:val="id-ID"/>
        </w:rPr>
        <w:t xml:space="preserve">During the drafting process, the composition of the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underwent multiple stages.</w:t>
      </w:r>
      <w:r w:rsidR="00747C17" w:rsidRPr="00956542">
        <w:rPr>
          <w:rFonts w:ascii="Goudy Old Style" w:hAnsi="Goudy Old Style"/>
          <w:sz w:val="24"/>
          <w:szCs w:val="24"/>
          <w:lang w:val="id-ID"/>
        </w:rPr>
        <w:t xml:space="preserve"> </w:t>
      </w:r>
      <w:r w:rsidRPr="00956542">
        <w:rPr>
          <w:rFonts w:ascii="Goudy Old Style" w:hAnsi="Goudy Old Style"/>
          <w:sz w:val="24"/>
          <w:szCs w:val="24"/>
          <w:lang w:val="id-ID"/>
        </w:rPr>
        <w:t xml:space="preserve">Initially, the selection of the head of the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writing team was determined by Ministry of Religious Affairs officials, one of whom was </w:t>
      </w:r>
      <w:r w:rsidR="00747C17" w:rsidRPr="00956542">
        <w:rPr>
          <w:rFonts w:ascii="Goudy Old Style" w:hAnsi="Goudy Old Style"/>
          <w:sz w:val="24"/>
          <w:szCs w:val="24"/>
          <w:lang w:val="id-ID"/>
        </w:rPr>
        <w:t>Atho’</w:t>
      </w:r>
      <w:r w:rsidRPr="00956542">
        <w:rPr>
          <w:rFonts w:ascii="Goudy Old Style" w:hAnsi="Goudy Old Style"/>
          <w:sz w:val="24"/>
          <w:szCs w:val="24"/>
          <w:lang w:val="id-ID"/>
        </w:rPr>
        <w:t xml:space="preserve"> Mudzhar. This decision was made </w:t>
      </w:r>
      <w:r w:rsidR="00747C17" w:rsidRPr="00956542">
        <w:rPr>
          <w:rFonts w:ascii="Goudy Old Style" w:hAnsi="Goudy Old Style"/>
          <w:sz w:val="24"/>
          <w:szCs w:val="24"/>
          <w:lang w:val="id-ID"/>
        </w:rPr>
        <w:t>after consultations with LPMQ officials and several stakeholders in preparing</w:t>
      </w:r>
      <w:r w:rsidRPr="00956542">
        <w:rPr>
          <w:rFonts w:ascii="Goudy Old Style" w:hAnsi="Goudy Old Style"/>
          <w:sz w:val="24"/>
          <w:szCs w:val="24"/>
          <w:lang w:val="id-ID"/>
        </w:rPr>
        <w:t xml:space="preserve"> the </w:t>
      </w:r>
      <w:r w:rsidR="00DF53DC" w:rsidRPr="00956542">
        <w:rPr>
          <w:rFonts w:ascii="Goudy Old Style" w:hAnsi="Goudy Old Style"/>
          <w:sz w:val="24"/>
          <w:szCs w:val="24"/>
          <w:lang w:val="id-ID"/>
        </w:rPr>
        <w:t>TIMRA</w:t>
      </w:r>
      <w:r w:rsidRPr="00956542">
        <w:rPr>
          <w:rFonts w:ascii="Goudy Old Style" w:hAnsi="Goudy Old Style"/>
          <w:sz w:val="24"/>
          <w:szCs w:val="24"/>
          <w:lang w:val="id-ID"/>
        </w:rPr>
        <w:t>.</w:t>
      </w:r>
      <w:r w:rsidR="00747C17" w:rsidRPr="00956542">
        <w:rPr>
          <w:rFonts w:ascii="Goudy Old Style" w:hAnsi="Goudy Old Style"/>
          <w:sz w:val="24"/>
          <w:szCs w:val="24"/>
          <w:lang w:val="id-ID"/>
        </w:rPr>
        <w:t xml:space="preserve"> </w:t>
      </w:r>
      <w:r w:rsidRPr="00956542">
        <w:rPr>
          <w:rFonts w:ascii="Goudy Old Style" w:hAnsi="Goudy Old Style"/>
          <w:sz w:val="24"/>
          <w:szCs w:val="24"/>
          <w:lang w:val="id-ID"/>
        </w:rPr>
        <w:t xml:space="preserve">At </w:t>
      </w:r>
      <w:r w:rsidR="00747C17" w:rsidRPr="00956542">
        <w:rPr>
          <w:rFonts w:ascii="Goudy Old Style" w:hAnsi="Goudy Old Style"/>
          <w:sz w:val="24"/>
          <w:szCs w:val="24"/>
          <w:lang w:val="id-ID"/>
        </w:rPr>
        <w:t>Mudzhar’s</w:t>
      </w:r>
      <w:r w:rsidRPr="00956542">
        <w:rPr>
          <w:rFonts w:ascii="Goudy Old Style" w:hAnsi="Goudy Old Style"/>
          <w:sz w:val="24"/>
          <w:szCs w:val="24"/>
          <w:lang w:val="id-ID"/>
        </w:rPr>
        <w:t xml:space="preserve"> direction, Muchlis Hanafi was appointed as the head of the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writing team. According to some sources</w:t>
      </w:r>
      <w:r w:rsidR="00767D91" w:rsidRPr="00956542">
        <w:rPr>
          <w:rFonts w:ascii="Goudy Old Style" w:hAnsi="Goudy Old Style"/>
          <w:sz w:val="24"/>
          <w:szCs w:val="24"/>
          <w:lang w:val="id-ID"/>
        </w:rPr>
        <w:t xml:space="preserve">, another candidate, a professor specializing in </w:t>
      </w:r>
      <w:r w:rsidR="00D40FC1" w:rsidRPr="00956542">
        <w:rPr>
          <w:rFonts w:ascii="Goudy Old Style" w:hAnsi="Goudy Old Style"/>
          <w:sz w:val="24"/>
          <w:szCs w:val="24"/>
          <w:lang w:val="id-ID"/>
        </w:rPr>
        <w:t>Quranic</w:t>
      </w:r>
      <w:r w:rsidR="00767D91" w:rsidRPr="00956542">
        <w:rPr>
          <w:rFonts w:ascii="Goudy Old Style" w:hAnsi="Goudy Old Style"/>
          <w:sz w:val="24"/>
          <w:szCs w:val="24"/>
          <w:lang w:val="id-ID"/>
        </w:rPr>
        <w:t xml:space="preserve"> studies, was under consideration before </w:t>
      </w:r>
      <w:r w:rsidR="00400D7C" w:rsidRPr="00956542">
        <w:rPr>
          <w:rFonts w:ascii="Goudy Old Style" w:hAnsi="Goudy Old Style"/>
          <w:sz w:val="24"/>
          <w:szCs w:val="24"/>
          <w:lang w:val="id-ID"/>
        </w:rPr>
        <w:t>Hanafi’s</w:t>
      </w:r>
      <w:r w:rsidR="00767D91" w:rsidRPr="00956542">
        <w:rPr>
          <w:rFonts w:ascii="Goudy Old Style" w:hAnsi="Goudy Old Style"/>
          <w:sz w:val="24"/>
          <w:szCs w:val="24"/>
          <w:lang w:val="id-ID"/>
        </w:rPr>
        <w:t xml:space="preserve"> name was approved</w:t>
      </w:r>
      <w:r w:rsidRPr="00956542">
        <w:rPr>
          <w:rFonts w:ascii="Goudy Old Style" w:hAnsi="Goudy Old Style"/>
          <w:sz w:val="24"/>
          <w:szCs w:val="24"/>
          <w:lang w:val="id-ID"/>
        </w:rPr>
        <w:t xml:space="preserve">. However, after careful deliberation, Mudzhar selected Hanafi to lead the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writing team. </w:t>
      </w:r>
      <w:r w:rsidR="00767D91" w:rsidRPr="00956542">
        <w:rPr>
          <w:rFonts w:ascii="Goudy Old Style" w:hAnsi="Goudy Old Style"/>
          <w:sz w:val="24"/>
          <w:szCs w:val="24"/>
          <w:lang w:val="id-ID"/>
        </w:rPr>
        <w:t>Mudzhar’s</w:t>
      </w:r>
      <w:r w:rsidRPr="00956542">
        <w:rPr>
          <w:rFonts w:ascii="Goudy Old Style" w:hAnsi="Goudy Old Style"/>
          <w:sz w:val="24"/>
          <w:szCs w:val="24"/>
          <w:lang w:val="id-ID"/>
        </w:rPr>
        <w:t xml:space="preserve"> decision to </w:t>
      </w:r>
      <w:r w:rsidR="00767D91" w:rsidRPr="00956542">
        <w:rPr>
          <w:rFonts w:ascii="Goudy Old Style" w:hAnsi="Goudy Old Style"/>
          <w:sz w:val="24"/>
          <w:szCs w:val="24"/>
          <w:lang w:val="id-ID"/>
        </w:rPr>
        <w:t>choose</w:t>
      </w:r>
      <w:r w:rsidRPr="00956542">
        <w:rPr>
          <w:rFonts w:ascii="Goudy Old Style" w:hAnsi="Goudy Old Style"/>
          <w:sz w:val="24"/>
          <w:szCs w:val="24"/>
          <w:lang w:val="id-ID"/>
        </w:rPr>
        <w:t xml:space="preserve"> Hanafi was influenced by several factors, including his academic background as an alumnus of al-Azhar University in Egypt with expertise in Tafsir. </w:t>
      </w:r>
      <w:r w:rsidR="00400D7C" w:rsidRPr="00956542">
        <w:rPr>
          <w:rFonts w:ascii="Goudy Old Style" w:hAnsi="Goudy Old Style"/>
          <w:sz w:val="24"/>
          <w:szCs w:val="24"/>
          <w:lang w:val="id-ID"/>
        </w:rPr>
        <w:t xml:space="preserve">Hanafi’s youth and tenacious disposition were also </w:t>
      </w:r>
      <w:r w:rsidRPr="00956542">
        <w:rPr>
          <w:rFonts w:ascii="Goudy Old Style" w:hAnsi="Goudy Old Style"/>
          <w:sz w:val="24"/>
          <w:szCs w:val="24"/>
          <w:lang w:val="id-ID"/>
        </w:rPr>
        <w:t xml:space="preserve">deemed advantageous, contributing to his perceived aptitude for leading the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writing project. </w:t>
      </w:r>
    </w:p>
    <w:p w14:paraId="69EB06F3" w14:textId="6A477066" w:rsidR="006E474E" w:rsidRPr="00956542" w:rsidRDefault="00D635AF" w:rsidP="00275200">
      <w:pPr>
        <w:spacing w:after="0" w:line="240" w:lineRule="auto"/>
        <w:ind w:firstLine="567"/>
        <w:rPr>
          <w:rFonts w:ascii="Goudy Old Style" w:hAnsi="Goudy Old Style"/>
          <w:sz w:val="24"/>
          <w:szCs w:val="24"/>
          <w:lang w:val="id-ID"/>
        </w:rPr>
      </w:pPr>
      <w:r w:rsidRPr="00956542">
        <w:rPr>
          <w:rFonts w:ascii="Goudy Old Style" w:hAnsi="Goudy Old Style"/>
          <w:sz w:val="24"/>
          <w:szCs w:val="24"/>
          <w:lang w:val="id-ID"/>
        </w:rPr>
        <w:t>According to Darwis Hude</w:t>
      </w:r>
      <w:r w:rsidR="004D5FA9" w:rsidRPr="00956542">
        <w:rPr>
          <w:rFonts w:ascii="Goudy Old Style" w:hAnsi="Goudy Old Style"/>
          <w:sz w:val="24"/>
          <w:szCs w:val="24"/>
        </w:rPr>
        <w:t xml:space="preserve"> (2022)</w:t>
      </w:r>
      <w:r w:rsidRPr="00956542">
        <w:rPr>
          <w:rFonts w:ascii="Goudy Old Style" w:hAnsi="Goudy Old Style"/>
          <w:sz w:val="24"/>
          <w:szCs w:val="24"/>
          <w:lang w:val="id-ID"/>
        </w:rPr>
        <w:t xml:space="preserve">, the </w:t>
      </w:r>
      <w:r w:rsidR="006D4A05" w:rsidRPr="00956542">
        <w:rPr>
          <w:rFonts w:ascii="Goudy Old Style" w:hAnsi="Goudy Old Style"/>
          <w:sz w:val="24"/>
          <w:szCs w:val="24"/>
          <w:lang w:val="id-ID"/>
        </w:rPr>
        <w:t>TIMRA writing committee secretary, the mufasirs were selected</w:t>
      </w:r>
      <w:r w:rsidRPr="00956542">
        <w:rPr>
          <w:rFonts w:ascii="Goudy Old Style" w:hAnsi="Goudy Old Style"/>
          <w:sz w:val="24"/>
          <w:szCs w:val="24"/>
          <w:lang w:val="id-ID"/>
        </w:rPr>
        <w:t xml:space="preserve"> with several key considerations in mind. Chief among these considerations was the </w:t>
      </w:r>
      <w:r w:rsidR="006D4A05" w:rsidRPr="00956542">
        <w:rPr>
          <w:rFonts w:ascii="Goudy Old Style" w:hAnsi="Goudy Old Style"/>
          <w:sz w:val="24"/>
          <w:szCs w:val="24"/>
          <w:lang w:val="id-ID"/>
        </w:rPr>
        <w:t>mufasir’s</w:t>
      </w:r>
      <w:r w:rsidRPr="00956542">
        <w:rPr>
          <w:rFonts w:ascii="Goudy Old Style" w:hAnsi="Goudy Old Style"/>
          <w:sz w:val="24"/>
          <w:szCs w:val="24"/>
          <w:lang w:val="id-ID"/>
        </w:rPr>
        <w:t xml:space="preserve"> mastery of the </w:t>
      </w:r>
      <w:r w:rsidR="006D4A05" w:rsidRPr="00956542">
        <w:rPr>
          <w:rFonts w:ascii="Goudy Old Style" w:hAnsi="Goudy Old Style"/>
          <w:sz w:val="24"/>
          <w:szCs w:val="24"/>
          <w:lang w:val="id-ID"/>
        </w:rPr>
        <w:t>Qur’an</w:t>
      </w:r>
      <w:r w:rsidRPr="00956542">
        <w:rPr>
          <w:rFonts w:ascii="Goudy Old Style" w:hAnsi="Goudy Old Style"/>
          <w:sz w:val="24"/>
          <w:szCs w:val="24"/>
          <w:lang w:val="id-ID"/>
        </w:rPr>
        <w:t xml:space="preserve"> and Islamic law. Along with a firm grasp of </w:t>
      </w:r>
      <w:r w:rsidR="006D4A05" w:rsidRPr="00956542">
        <w:rPr>
          <w:rFonts w:ascii="Goudy Old Style" w:hAnsi="Goudy Old Style"/>
          <w:sz w:val="24"/>
          <w:szCs w:val="24"/>
          <w:lang w:val="id-ID"/>
        </w:rPr>
        <w:t>Qur’anic</w:t>
      </w:r>
      <w:r w:rsidRPr="00956542">
        <w:rPr>
          <w:rFonts w:ascii="Goudy Old Style" w:hAnsi="Goudy Old Style"/>
          <w:sz w:val="24"/>
          <w:szCs w:val="24"/>
          <w:lang w:val="id-ID"/>
        </w:rPr>
        <w:t xml:space="preserve"> knowledge, the ability to comprehend the methodology and content of Islamic law was also deemed crucial. The 26 themes of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encompass a wide array of subjects, with a significant proportion focusing on Islamic law. These themes include inheritance rights, testimony, marriage, crime, and contemporary issues in the field of medicine. A further point of consideration is the representation of religious organizations, including Nahdatul Ulama (NU),</w:t>
      </w:r>
      <w:r w:rsidR="006D4A05" w:rsidRPr="00956542">
        <w:rPr>
          <w:rFonts w:ascii="Goudy Old Style" w:hAnsi="Goudy Old Style"/>
          <w:sz w:val="24"/>
          <w:szCs w:val="24"/>
          <w:lang w:val="id-ID"/>
        </w:rPr>
        <w:t xml:space="preserve"> </w:t>
      </w:r>
      <w:r w:rsidRPr="00956542">
        <w:rPr>
          <w:rFonts w:ascii="Goudy Old Style" w:hAnsi="Goudy Old Style"/>
          <w:sz w:val="24"/>
          <w:szCs w:val="24"/>
          <w:lang w:val="id-ID"/>
        </w:rPr>
        <w:t xml:space="preserve">Muhammadiyah (MU), Indonesian Ulema Council (MUI), Islamic Unity (Persis), al-Azhar University </w:t>
      </w:r>
      <w:r w:rsidR="008B079D" w:rsidRPr="00956542">
        <w:rPr>
          <w:rFonts w:ascii="Goudy Old Style" w:hAnsi="Goudy Old Style"/>
          <w:sz w:val="24"/>
          <w:szCs w:val="24"/>
          <w:lang w:val="id-ID"/>
        </w:rPr>
        <w:t>alum</w:t>
      </w:r>
      <w:r w:rsidRPr="00956542">
        <w:rPr>
          <w:rFonts w:ascii="Goudy Old Style" w:hAnsi="Goudy Old Style"/>
          <w:sz w:val="24"/>
          <w:szCs w:val="24"/>
          <w:lang w:val="id-ID"/>
        </w:rPr>
        <w:t xml:space="preserve"> network, Indonesian Institute of Sciences (LIPI), and teaching lecturers at IAIN/UIN in Jakarta and Yogyakarta.</w:t>
      </w:r>
    </w:p>
    <w:p w14:paraId="3A773A44" w14:textId="0A22809A" w:rsidR="009C5894" w:rsidRPr="00956542" w:rsidRDefault="009C5894" w:rsidP="00275200">
      <w:pPr>
        <w:spacing w:after="0" w:line="240" w:lineRule="auto"/>
        <w:ind w:firstLine="567"/>
        <w:rPr>
          <w:rFonts w:ascii="Goudy Old Style" w:hAnsi="Goudy Old Style"/>
          <w:sz w:val="24"/>
          <w:szCs w:val="24"/>
          <w:lang w:val="id-ID"/>
        </w:rPr>
      </w:pPr>
      <w:r w:rsidRPr="00956542">
        <w:rPr>
          <w:rFonts w:ascii="Goudy Old Style" w:hAnsi="Goudy Old Style"/>
          <w:sz w:val="24"/>
          <w:szCs w:val="24"/>
          <w:lang w:val="id-ID"/>
        </w:rPr>
        <w:t xml:space="preserve">The notion of authoring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emerged from the counsel of scholars from diverse regions in Indonesia during the Mukernas Ulama </w:t>
      </w:r>
      <w:r w:rsidR="00AF7CDC" w:rsidRPr="00956542">
        <w:rPr>
          <w:rFonts w:ascii="Goudy Old Style" w:hAnsi="Goudy Old Style"/>
          <w:sz w:val="24"/>
          <w:szCs w:val="24"/>
          <w:lang w:val="id-ID"/>
        </w:rPr>
        <w:t>al-Qur’an</w:t>
      </w:r>
      <w:r w:rsidRPr="00956542">
        <w:rPr>
          <w:rFonts w:ascii="Goudy Old Style" w:hAnsi="Goudy Old Style"/>
          <w:sz w:val="24"/>
          <w:szCs w:val="24"/>
          <w:lang w:val="id-ID"/>
        </w:rPr>
        <w:t xml:space="preserve"> event, which transpired from May 8-10, 2006, in Yogyakarta and from December 14-16, 2006, in Ciloto (Ministry of Religious Affairs RI, 2009: xii). However, since the inception of the mukernas in the early 2000s, the notion of producing thematic tafsir books in Indonesia has emerged and persists as a subject of discourse at each mukernas.</w:t>
      </w:r>
      <w:r w:rsidR="008B079D" w:rsidRPr="00956542">
        <w:rPr>
          <w:rFonts w:ascii="Goudy Old Style" w:hAnsi="Goudy Old Style"/>
          <w:sz w:val="24"/>
          <w:szCs w:val="24"/>
          <w:lang w:val="id-ID"/>
        </w:rPr>
        <w:t xml:space="preserve"> </w:t>
      </w:r>
      <w:r w:rsidRPr="00956542">
        <w:rPr>
          <w:rFonts w:ascii="Goudy Old Style" w:hAnsi="Goudy Old Style"/>
          <w:sz w:val="24"/>
          <w:szCs w:val="24"/>
          <w:lang w:val="id-ID"/>
        </w:rPr>
        <w:t xml:space="preserve">Delegates at that time recommended that MoRA compile tafsir with a thematic format, proposing an alternative to the limitations of tafsir in the tahlili format. Following deliberation, the Mukernas </w:t>
      </w:r>
      <w:r w:rsidR="00B957A5" w:rsidRPr="00956542">
        <w:rPr>
          <w:rFonts w:ascii="Goudy Old Style" w:hAnsi="Goudy Old Style"/>
          <w:sz w:val="24"/>
          <w:szCs w:val="24"/>
          <w:lang w:val="id-ID"/>
        </w:rPr>
        <w:t>al-Qur’an</w:t>
      </w:r>
      <w:r w:rsidRPr="00956542">
        <w:rPr>
          <w:rFonts w:ascii="Goudy Old Style" w:hAnsi="Goudy Old Style"/>
          <w:sz w:val="24"/>
          <w:szCs w:val="24"/>
          <w:lang w:val="id-ID"/>
        </w:rPr>
        <w:t xml:space="preserve"> Ulama </w:t>
      </w:r>
      <w:r w:rsidR="00DE35DE" w:rsidRPr="00956542">
        <w:rPr>
          <w:rFonts w:ascii="Goudy Old Style" w:hAnsi="Goudy Old Style"/>
          <w:sz w:val="24"/>
          <w:szCs w:val="24"/>
          <w:lang w:val="id-ID"/>
        </w:rPr>
        <w:t>Forum</w:t>
      </w:r>
      <w:r w:rsidRPr="00956542">
        <w:rPr>
          <w:rFonts w:ascii="Goudy Old Style" w:hAnsi="Goudy Old Style"/>
          <w:sz w:val="24"/>
          <w:szCs w:val="24"/>
          <w:lang w:val="id-ID"/>
        </w:rPr>
        <w:t xml:space="preserve"> 2006 formally endorsed the composition of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w:t>
      </w:r>
    </w:p>
    <w:p w14:paraId="1A7110BE" w14:textId="329F88B4" w:rsidR="00037180" w:rsidRPr="00956542" w:rsidRDefault="00037180" w:rsidP="00275200">
      <w:pPr>
        <w:spacing w:after="0" w:line="240" w:lineRule="auto"/>
        <w:ind w:firstLine="567"/>
        <w:rPr>
          <w:rFonts w:ascii="Goudy Old Style" w:hAnsi="Goudy Old Style"/>
          <w:color w:val="000000" w:themeColor="text1"/>
          <w:sz w:val="24"/>
          <w:szCs w:val="24"/>
          <w:lang w:val="id-ID"/>
        </w:rPr>
      </w:pPr>
      <w:r w:rsidRPr="00956542">
        <w:rPr>
          <w:rFonts w:ascii="Goudy Old Style" w:hAnsi="Goudy Old Style"/>
          <w:color w:val="000000" w:themeColor="text1"/>
          <w:sz w:val="24"/>
          <w:szCs w:val="24"/>
          <w:lang w:val="id-ID"/>
        </w:rPr>
        <w:t xml:space="preserve">The representation of the religious organization background of </w:t>
      </w:r>
      <w:r w:rsidR="00DF53DC" w:rsidRPr="00956542">
        <w:rPr>
          <w:rFonts w:ascii="Goudy Old Style" w:hAnsi="Goudy Old Style"/>
          <w:color w:val="000000" w:themeColor="text1"/>
          <w:sz w:val="24"/>
          <w:szCs w:val="24"/>
          <w:lang w:val="id-ID"/>
        </w:rPr>
        <w:t>TIMRA</w:t>
      </w:r>
      <w:r w:rsidRPr="00956542">
        <w:rPr>
          <w:rFonts w:ascii="Goudy Old Style" w:hAnsi="Goudy Old Style"/>
          <w:color w:val="000000" w:themeColor="text1"/>
          <w:sz w:val="24"/>
          <w:szCs w:val="24"/>
          <w:lang w:val="id-ID"/>
        </w:rPr>
        <w:t xml:space="preserve"> writers is considered important as a form of assurance that </w:t>
      </w:r>
      <w:r w:rsidR="00DF53DC" w:rsidRPr="00956542">
        <w:rPr>
          <w:rFonts w:ascii="Goudy Old Style" w:hAnsi="Goudy Old Style"/>
          <w:color w:val="000000" w:themeColor="text1"/>
          <w:sz w:val="24"/>
          <w:szCs w:val="24"/>
          <w:lang w:val="id-ID"/>
        </w:rPr>
        <w:t>TIMRA</w:t>
      </w:r>
      <w:r w:rsidRPr="00956542">
        <w:rPr>
          <w:rFonts w:ascii="Goudy Old Style" w:hAnsi="Goudy Old Style"/>
          <w:color w:val="000000" w:themeColor="text1"/>
          <w:sz w:val="24"/>
          <w:szCs w:val="24"/>
          <w:lang w:val="id-ID"/>
        </w:rPr>
        <w:t xml:space="preserve"> writing accommodates many different ideologies and religious views. Thus, </w:t>
      </w:r>
      <w:r w:rsidR="00DF53DC" w:rsidRPr="00956542">
        <w:rPr>
          <w:rFonts w:ascii="Goudy Old Style" w:hAnsi="Goudy Old Style"/>
          <w:color w:val="000000" w:themeColor="text1"/>
          <w:sz w:val="24"/>
          <w:szCs w:val="24"/>
          <w:lang w:val="id-ID"/>
        </w:rPr>
        <w:t>TIMRA</w:t>
      </w:r>
      <w:r w:rsidRPr="00956542">
        <w:rPr>
          <w:rFonts w:ascii="Goudy Old Style" w:hAnsi="Goudy Old Style"/>
          <w:color w:val="000000" w:themeColor="text1"/>
          <w:sz w:val="24"/>
          <w:szCs w:val="24"/>
          <w:lang w:val="id-ID"/>
        </w:rPr>
        <w:t xml:space="preserve"> does not appear to be dominated by a particular ideology or sect.</w:t>
      </w:r>
      <w:r w:rsidR="00390377" w:rsidRPr="00956542">
        <w:rPr>
          <w:rFonts w:ascii="Goudy Old Style" w:hAnsi="Goudy Old Style"/>
          <w:color w:val="000000" w:themeColor="text1"/>
          <w:sz w:val="24"/>
          <w:szCs w:val="24"/>
          <w:lang w:val="id-ID"/>
        </w:rPr>
        <w:t xml:space="preserve"> </w:t>
      </w:r>
      <w:r w:rsidRPr="00956542">
        <w:rPr>
          <w:rFonts w:ascii="Goudy Old Style" w:hAnsi="Goudy Old Style"/>
          <w:color w:val="000000" w:themeColor="text1"/>
          <w:sz w:val="24"/>
          <w:szCs w:val="24"/>
          <w:lang w:val="id-ID"/>
        </w:rPr>
        <w:t xml:space="preserve">However, it should be noted that the writing team appointed above are individual scholars whose religious organizational backgrounds </w:t>
      </w:r>
      <w:r w:rsidR="00DE35DE" w:rsidRPr="00956542">
        <w:rPr>
          <w:rFonts w:ascii="Goudy Old Style" w:hAnsi="Goudy Old Style"/>
          <w:color w:val="000000" w:themeColor="text1"/>
          <w:sz w:val="24"/>
          <w:szCs w:val="24"/>
          <w:lang w:val="id-ID"/>
        </w:rPr>
        <w:t>align</w:t>
      </w:r>
      <w:r w:rsidRPr="00956542">
        <w:rPr>
          <w:rFonts w:ascii="Goudy Old Style" w:hAnsi="Goudy Old Style"/>
          <w:color w:val="000000" w:themeColor="text1"/>
          <w:sz w:val="24"/>
          <w:szCs w:val="24"/>
          <w:lang w:val="id-ID"/>
        </w:rPr>
        <w:t xml:space="preserve"> with the </w:t>
      </w:r>
      <w:r w:rsidR="00DE35DE" w:rsidRPr="00956542">
        <w:rPr>
          <w:rFonts w:ascii="Goudy Old Style" w:hAnsi="Goudy Old Style"/>
          <w:color w:val="000000" w:themeColor="text1"/>
          <w:sz w:val="24"/>
          <w:szCs w:val="24"/>
          <w:lang w:val="id-ID"/>
        </w:rPr>
        <w:t>state’s</w:t>
      </w:r>
      <w:r w:rsidRPr="00956542">
        <w:rPr>
          <w:rFonts w:ascii="Goudy Old Style" w:hAnsi="Goudy Old Style"/>
          <w:color w:val="000000" w:themeColor="text1"/>
          <w:sz w:val="24"/>
          <w:szCs w:val="24"/>
          <w:lang w:val="id-ID"/>
        </w:rPr>
        <w:t xml:space="preserve"> religious ideology and understanding, which is moderate, tolerant, and inclusive. Consequently, religious leaders affiliated with organizations such as the Islamic Defenders Front (FPI), Hizbut Tahrir Indonesia (HTI), and </w:t>
      </w:r>
      <w:r w:rsidR="00DE35DE" w:rsidRPr="00956542">
        <w:rPr>
          <w:rFonts w:ascii="Goudy Old Style" w:hAnsi="Goudy Old Style"/>
          <w:color w:val="000000" w:themeColor="text1"/>
          <w:sz w:val="24"/>
          <w:szCs w:val="24"/>
          <w:lang w:val="id-ID"/>
        </w:rPr>
        <w:t>Jam’iyyatul</w:t>
      </w:r>
      <w:r w:rsidRPr="00956542">
        <w:rPr>
          <w:rFonts w:ascii="Goudy Old Style" w:hAnsi="Goudy Old Style"/>
          <w:color w:val="000000" w:themeColor="text1"/>
          <w:sz w:val="24"/>
          <w:szCs w:val="24"/>
          <w:lang w:val="id-ID"/>
        </w:rPr>
        <w:t xml:space="preserve"> Islamiyyah (JI) were not included in the composition of the </w:t>
      </w:r>
      <w:r w:rsidR="00DF53DC" w:rsidRPr="00956542">
        <w:rPr>
          <w:rFonts w:ascii="Goudy Old Style" w:hAnsi="Goudy Old Style"/>
          <w:color w:val="000000" w:themeColor="text1"/>
          <w:sz w:val="24"/>
          <w:szCs w:val="24"/>
          <w:lang w:val="id-ID"/>
        </w:rPr>
        <w:lastRenderedPageBreak/>
        <w:t>TIMRA</w:t>
      </w:r>
      <w:r w:rsidRPr="00956542">
        <w:rPr>
          <w:rFonts w:ascii="Goudy Old Style" w:hAnsi="Goudy Old Style"/>
          <w:color w:val="000000" w:themeColor="text1"/>
          <w:sz w:val="24"/>
          <w:szCs w:val="24"/>
          <w:lang w:val="id-ID"/>
        </w:rPr>
        <w:t xml:space="preserve"> writing team.</w:t>
      </w:r>
      <w:r w:rsidR="00390377" w:rsidRPr="00956542">
        <w:rPr>
          <w:rFonts w:ascii="Goudy Old Style" w:hAnsi="Goudy Old Style"/>
          <w:color w:val="000000" w:themeColor="text1"/>
          <w:sz w:val="24"/>
          <w:szCs w:val="24"/>
          <w:lang w:val="id-ID"/>
        </w:rPr>
        <w:t xml:space="preserve"> </w:t>
      </w:r>
      <w:r w:rsidRPr="00956542">
        <w:rPr>
          <w:rFonts w:ascii="Goudy Old Style" w:hAnsi="Goudy Old Style"/>
          <w:color w:val="000000" w:themeColor="text1"/>
          <w:sz w:val="24"/>
          <w:szCs w:val="24"/>
          <w:lang w:val="id-ID"/>
        </w:rPr>
        <w:t xml:space="preserve">This observation indicates that the </w:t>
      </w:r>
      <w:r w:rsidR="00C818AE" w:rsidRPr="00956542">
        <w:rPr>
          <w:rFonts w:ascii="Goudy Old Style" w:hAnsi="Goudy Old Style"/>
          <w:color w:val="000000" w:themeColor="text1"/>
          <w:sz w:val="24"/>
          <w:szCs w:val="24"/>
          <w:lang w:val="id-ID"/>
        </w:rPr>
        <w:t>government’s</w:t>
      </w:r>
      <w:r w:rsidRPr="00956542">
        <w:rPr>
          <w:rFonts w:ascii="Goudy Old Style" w:hAnsi="Goudy Old Style"/>
          <w:color w:val="000000" w:themeColor="text1"/>
          <w:sz w:val="24"/>
          <w:szCs w:val="24"/>
          <w:lang w:val="id-ID"/>
        </w:rPr>
        <w:t xml:space="preserve"> decision to appoint mufasirs has enabled the state to exercise control over the content of </w:t>
      </w:r>
      <w:r w:rsidR="00DF53DC" w:rsidRPr="00956542">
        <w:rPr>
          <w:rFonts w:ascii="Goudy Old Style" w:hAnsi="Goudy Old Style"/>
          <w:color w:val="000000" w:themeColor="text1"/>
          <w:sz w:val="24"/>
          <w:szCs w:val="24"/>
          <w:lang w:val="id-ID"/>
        </w:rPr>
        <w:t>TIMRA</w:t>
      </w:r>
      <w:r w:rsidRPr="00956542">
        <w:rPr>
          <w:rFonts w:ascii="Goudy Old Style" w:hAnsi="Goudy Old Style"/>
          <w:color w:val="000000" w:themeColor="text1"/>
          <w:sz w:val="24"/>
          <w:szCs w:val="24"/>
          <w:lang w:val="id-ID"/>
        </w:rPr>
        <w:t>.</w:t>
      </w:r>
    </w:p>
    <w:p w14:paraId="48989AFE" w14:textId="36B68158" w:rsidR="00227073" w:rsidRPr="00956542" w:rsidRDefault="00386C38" w:rsidP="00275200">
      <w:pPr>
        <w:spacing w:after="0" w:line="240" w:lineRule="auto"/>
        <w:ind w:firstLine="567"/>
        <w:rPr>
          <w:rFonts w:ascii="Goudy Old Style" w:hAnsi="Goudy Old Style"/>
          <w:color w:val="000000" w:themeColor="text1"/>
          <w:sz w:val="24"/>
          <w:szCs w:val="24"/>
          <w:lang w:val="id-ID"/>
        </w:rPr>
      </w:pPr>
      <w:r w:rsidRPr="00956542">
        <w:rPr>
          <w:rFonts w:ascii="Goudy Old Style" w:hAnsi="Goudy Old Style"/>
          <w:color w:val="000000" w:themeColor="text1"/>
          <w:sz w:val="24"/>
          <w:szCs w:val="24"/>
          <w:lang w:val="id-ID"/>
        </w:rPr>
        <w:t xml:space="preserve">A further consideration in the appointment of the </w:t>
      </w:r>
      <w:r w:rsidR="00DF53DC" w:rsidRPr="00956542">
        <w:rPr>
          <w:rFonts w:ascii="Goudy Old Style" w:hAnsi="Goudy Old Style"/>
          <w:color w:val="000000" w:themeColor="text1"/>
          <w:sz w:val="24"/>
          <w:szCs w:val="24"/>
          <w:lang w:val="id-ID"/>
        </w:rPr>
        <w:t>TIMRA</w:t>
      </w:r>
      <w:r w:rsidRPr="00956542">
        <w:rPr>
          <w:rFonts w:ascii="Goudy Old Style" w:hAnsi="Goudy Old Style"/>
          <w:color w:val="000000" w:themeColor="text1"/>
          <w:sz w:val="24"/>
          <w:szCs w:val="24"/>
          <w:lang w:val="id-ID"/>
        </w:rPr>
        <w:t xml:space="preserve"> writing team is the </w:t>
      </w:r>
      <w:r w:rsidR="00C818AE" w:rsidRPr="00956542">
        <w:rPr>
          <w:rFonts w:ascii="Goudy Old Style" w:hAnsi="Goudy Old Style"/>
          <w:color w:val="000000" w:themeColor="text1"/>
          <w:sz w:val="24"/>
          <w:szCs w:val="24"/>
          <w:lang w:val="id-ID"/>
        </w:rPr>
        <w:t>author’s</w:t>
      </w:r>
      <w:r w:rsidRPr="00956542">
        <w:rPr>
          <w:rFonts w:ascii="Goudy Old Style" w:hAnsi="Goudy Old Style"/>
          <w:color w:val="000000" w:themeColor="text1"/>
          <w:sz w:val="24"/>
          <w:szCs w:val="24"/>
          <w:lang w:val="id-ID"/>
        </w:rPr>
        <w:t xml:space="preserve"> commitment to completing the </w:t>
      </w:r>
      <w:r w:rsidR="00DF53DC" w:rsidRPr="00956542">
        <w:rPr>
          <w:rFonts w:ascii="Goudy Old Style" w:hAnsi="Goudy Old Style"/>
          <w:color w:val="000000" w:themeColor="text1"/>
          <w:sz w:val="24"/>
          <w:szCs w:val="24"/>
          <w:lang w:val="id-ID"/>
        </w:rPr>
        <w:t>TIMRA</w:t>
      </w:r>
      <w:r w:rsidRPr="00956542">
        <w:rPr>
          <w:rFonts w:ascii="Goudy Old Style" w:hAnsi="Goudy Old Style"/>
          <w:color w:val="000000" w:themeColor="text1"/>
          <w:sz w:val="24"/>
          <w:szCs w:val="24"/>
          <w:lang w:val="id-ID"/>
        </w:rPr>
        <w:t xml:space="preserve"> writing task according to the deadline established by the committee. This third requirement is given primary consideration </w:t>
      </w:r>
      <w:r w:rsidR="006420CD" w:rsidRPr="00956542">
        <w:rPr>
          <w:rFonts w:ascii="Goudy Old Style" w:hAnsi="Goudy Old Style"/>
          <w:color w:val="000000" w:themeColor="text1"/>
          <w:sz w:val="24"/>
          <w:szCs w:val="24"/>
          <w:lang w:val="id-ID"/>
        </w:rPr>
        <w:t>because</w:t>
      </w:r>
      <w:r w:rsidRPr="00956542">
        <w:rPr>
          <w:rFonts w:ascii="Goudy Old Style" w:hAnsi="Goudy Old Style"/>
          <w:color w:val="000000" w:themeColor="text1"/>
          <w:sz w:val="24"/>
          <w:szCs w:val="24"/>
          <w:lang w:val="id-ID"/>
        </w:rPr>
        <w:t xml:space="preserve"> many writing teams </w:t>
      </w:r>
      <w:r w:rsidR="006420CD" w:rsidRPr="00956542">
        <w:rPr>
          <w:rFonts w:ascii="Goudy Old Style" w:hAnsi="Goudy Old Style"/>
          <w:color w:val="000000" w:themeColor="text1"/>
          <w:sz w:val="24"/>
          <w:szCs w:val="24"/>
          <w:lang w:val="id-ID"/>
        </w:rPr>
        <w:t>cannot</w:t>
      </w:r>
      <w:r w:rsidRPr="00956542">
        <w:rPr>
          <w:rFonts w:ascii="Goudy Old Style" w:hAnsi="Goudy Old Style"/>
          <w:color w:val="000000" w:themeColor="text1"/>
          <w:sz w:val="24"/>
          <w:szCs w:val="24"/>
          <w:lang w:val="id-ID"/>
        </w:rPr>
        <w:t xml:space="preserve"> complete the writing draft task, impeding the </w:t>
      </w:r>
      <w:r w:rsidR="00DF53DC" w:rsidRPr="00956542">
        <w:rPr>
          <w:rFonts w:ascii="Goudy Old Style" w:hAnsi="Goudy Old Style"/>
          <w:color w:val="000000" w:themeColor="text1"/>
          <w:sz w:val="24"/>
          <w:szCs w:val="24"/>
          <w:lang w:val="id-ID"/>
        </w:rPr>
        <w:t>TIMRA</w:t>
      </w:r>
      <w:r w:rsidRPr="00956542">
        <w:rPr>
          <w:rFonts w:ascii="Goudy Old Style" w:hAnsi="Goudy Old Style"/>
          <w:color w:val="000000" w:themeColor="text1"/>
          <w:sz w:val="24"/>
          <w:szCs w:val="24"/>
          <w:lang w:val="id-ID"/>
        </w:rPr>
        <w:t xml:space="preserve"> publishing process. This is </w:t>
      </w:r>
      <w:r w:rsidR="006420CD" w:rsidRPr="00956542">
        <w:rPr>
          <w:rFonts w:ascii="Goudy Old Style" w:hAnsi="Goudy Old Style"/>
          <w:color w:val="000000" w:themeColor="text1"/>
          <w:sz w:val="24"/>
          <w:szCs w:val="24"/>
          <w:lang w:val="id-ID"/>
        </w:rPr>
        <w:t>because</w:t>
      </w:r>
      <w:r w:rsidRPr="00956542">
        <w:rPr>
          <w:rFonts w:ascii="Goudy Old Style" w:hAnsi="Goudy Old Style"/>
          <w:color w:val="000000" w:themeColor="text1"/>
          <w:sz w:val="24"/>
          <w:szCs w:val="24"/>
          <w:lang w:val="id-ID"/>
        </w:rPr>
        <w:t xml:space="preserve"> the </w:t>
      </w:r>
      <w:r w:rsidR="006420CD" w:rsidRPr="00956542">
        <w:rPr>
          <w:rFonts w:ascii="Goudy Old Style" w:hAnsi="Goudy Old Style"/>
          <w:color w:val="000000" w:themeColor="text1"/>
          <w:sz w:val="24"/>
          <w:szCs w:val="24"/>
          <w:lang w:val="id-ID"/>
        </w:rPr>
        <w:t>committee’s</w:t>
      </w:r>
      <w:r w:rsidRPr="00956542">
        <w:rPr>
          <w:rFonts w:ascii="Goudy Old Style" w:hAnsi="Goudy Old Style"/>
          <w:color w:val="000000" w:themeColor="text1"/>
          <w:sz w:val="24"/>
          <w:szCs w:val="24"/>
          <w:lang w:val="id-ID"/>
        </w:rPr>
        <w:t xml:space="preserve"> demands are substantial. The drafting of a single </w:t>
      </w:r>
      <w:r w:rsidR="00DF53DC" w:rsidRPr="00956542">
        <w:rPr>
          <w:rFonts w:ascii="Goudy Old Style" w:hAnsi="Goudy Old Style"/>
          <w:color w:val="000000" w:themeColor="text1"/>
          <w:sz w:val="24"/>
          <w:szCs w:val="24"/>
          <w:lang w:val="id-ID"/>
        </w:rPr>
        <w:t>TIMRA</w:t>
      </w:r>
      <w:r w:rsidRPr="00956542">
        <w:rPr>
          <w:rFonts w:ascii="Goudy Old Style" w:hAnsi="Goudy Old Style"/>
          <w:color w:val="000000" w:themeColor="text1"/>
          <w:sz w:val="24"/>
          <w:szCs w:val="24"/>
          <w:lang w:val="id-ID"/>
        </w:rPr>
        <w:t xml:space="preserve"> theme is entrusted to two or three teams of writers, with pages ranging from 400 to 600.</w:t>
      </w:r>
      <w:r w:rsidR="00390377" w:rsidRPr="00956542">
        <w:rPr>
          <w:rFonts w:ascii="Goudy Old Style" w:hAnsi="Goudy Old Style"/>
          <w:color w:val="000000" w:themeColor="text1"/>
          <w:sz w:val="24"/>
          <w:szCs w:val="24"/>
          <w:lang w:val="id-ID"/>
        </w:rPr>
        <w:t xml:space="preserve"> </w:t>
      </w:r>
      <w:r w:rsidRPr="00956542">
        <w:rPr>
          <w:rFonts w:ascii="Goudy Old Style" w:hAnsi="Goudy Old Style"/>
          <w:color w:val="000000" w:themeColor="text1"/>
          <w:sz w:val="24"/>
          <w:szCs w:val="24"/>
          <w:lang w:val="id-ID"/>
        </w:rPr>
        <w:t xml:space="preserve">Furthermore, within </w:t>
      </w:r>
      <w:r w:rsidR="006420CD" w:rsidRPr="00956542">
        <w:rPr>
          <w:rFonts w:ascii="Goudy Old Style" w:hAnsi="Goudy Old Style"/>
          <w:color w:val="000000" w:themeColor="text1"/>
          <w:sz w:val="24"/>
          <w:szCs w:val="24"/>
          <w:lang w:val="id-ID"/>
        </w:rPr>
        <w:t>one year, the TIMRA writing team must</w:t>
      </w:r>
      <w:r w:rsidRPr="00956542">
        <w:rPr>
          <w:rFonts w:ascii="Goudy Old Style" w:hAnsi="Goudy Old Style"/>
          <w:color w:val="000000" w:themeColor="text1"/>
          <w:sz w:val="24"/>
          <w:szCs w:val="24"/>
          <w:lang w:val="id-ID"/>
        </w:rPr>
        <w:t xml:space="preserve"> attend up to three meetings to present the outcomes of their writing. </w:t>
      </w:r>
      <w:r w:rsidR="006420CD" w:rsidRPr="00956542">
        <w:rPr>
          <w:rFonts w:ascii="Goudy Old Style" w:hAnsi="Goudy Old Style"/>
          <w:color w:val="000000" w:themeColor="text1"/>
          <w:sz w:val="24"/>
          <w:szCs w:val="24"/>
          <w:lang w:val="id-ID"/>
        </w:rPr>
        <w:t>After</w:t>
      </w:r>
      <w:r w:rsidRPr="00956542">
        <w:rPr>
          <w:rFonts w:ascii="Goudy Old Style" w:hAnsi="Goudy Old Style"/>
          <w:color w:val="000000" w:themeColor="text1"/>
          <w:sz w:val="24"/>
          <w:szCs w:val="24"/>
          <w:lang w:val="id-ID"/>
        </w:rPr>
        <w:t xml:space="preserve"> these presentations, revisions are made based on forum feedback and criticism. It has been documented that several scholars were approached with offers to contribute to the </w:t>
      </w:r>
      <w:r w:rsidR="00DF53DC" w:rsidRPr="00956542">
        <w:rPr>
          <w:rFonts w:ascii="Goudy Old Style" w:hAnsi="Goudy Old Style"/>
          <w:color w:val="000000" w:themeColor="text1"/>
          <w:sz w:val="24"/>
          <w:szCs w:val="24"/>
          <w:lang w:val="id-ID"/>
        </w:rPr>
        <w:t>TIMRA</w:t>
      </w:r>
      <w:r w:rsidRPr="00956542">
        <w:rPr>
          <w:rFonts w:ascii="Goudy Old Style" w:hAnsi="Goudy Old Style"/>
          <w:color w:val="000000" w:themeColor="text1"/>
          <w:sz w:val="24"/>
          <w:szCs w:val="24"/>
          <w:lang w:val="id-ID"/>
        </w:rPr>
        <w:t xml:space="preserve">, yet they declined for </w:t>
      </w:r>
      <w:r w:rsidR="006420CD" w:rsidRPr="00956542">
        <w:rPr>
          <w:rFonts w:ascii="Goudy Old Style" w:hAnsi="Goudy Old Style"/>
          <w:color w:val="000000" w:themeColor="text1"/>
          <w:sz w:val="24"/>
          <w:szCs w:val="24"/>
          <w:lang w:val="id-ID"/>
        </w:rPr>
        <w:t>several</w:t>
      </w:r>
      <w:r w:rsidRPr="00956542">
        <w:rPr>
          <w:rFonts w:ascii="Goudy Old Style" w:hAnsi="Goudy Old Style"/>
          <w:color w:val="000000" w:themeColor="text1"/>
          <w:sz w:val="24"/>
          <w:szCs w:val="24"/>
          <w:lang w:val="id-ID"/>
        </w:rPr>
        <w:t xml:space="preserve"> reasons.</w:t>
      </w:r>
      <w:r w:rsidR="00854CFB" w:rsidRPr="00956542">
        <w:rPr>
          <w:rFonts w:ascii="Goudy Old Style" w:hAnsi="Goudy Old Style"/>
          <w:color w:val="000000" w:themeColor="text1"/>
          <w:sz w:val="24"/>
          <w:szCs w:val="24"/>
          <w:lang w:val="id-ID"/>
        </w:rPr>
        <w:t xml:space="preserve">  </w:t>
      </w:r>
    </w:p>
    <w:p w14:paraId="4567E300" w14:textId="274395DA" w:rsidR="00BD0AE1" w:rsidRPr="00956542" w:rsidRDefault="00E37501" w:rsidP="00275200">
      <w:pPr>
        <w:autoSpaceDE w:val="0"/>
        <w:autoSpaceDN w:val="0"/>
        <w:adjustRightInd w:val="0"/>
        <w:spacing w:after="0" w:line="240" w:lineRule="auto"/>
        <w:ind w:firstLine="567"/>
        <w:rPr>
          <w:rFonts w:ascii="Goudy Old Style" w:hAnsi="Goudy Old Style"/>
          <w:color w:val="000000"/>
          <w:sz w:val="24"/>
          <w:szCs w:val="24"/>
          <w:lang w:val="id-ID"/>
        </w:rPr>
      </w:pPr>
      <w:r w:rsidRPr="00956542">
        <w:rPr>
          <w:rFonts w:ascii="Goudy Old Style" w:hAnsi="Goudy Old Style"/>
          <w:color w:val="000000"/>
          <w:sz w:val="24"/>
          <w:szCs w:val="24"/>
          <w:lang w:val="id-ID"/>
        </w:rPr>
        <w:t xml:space="preserve">The </w:t>
      </w:r>
      <w:r w:rsidR="006420CD" w:rsidRPr="00956542">
        <w:rPr>
          <w:rFonts w:ascii="Goudy Old Style" w:hAnsi="Goudy Old Style"/>
          <w:color w:val="000000"/>
          <w:sz w:val="24"/>
          <w:szCs w:val="24"/>
          <w:lang w:val="id-ID"/>
        </w:rPr>
        <w:t>committee’s</w:t>
      </w:r>
      <w:r w:rsidRPr="00956542">
        <w:rPr>
          <w:rFonts w:ascii="Goudy Old Style" w:hAnsi="Goudy Old Style"/>
          <w:color w:val="000000"/>
          <w:sz w:val="24"/>
          <w:szCs w:val="24"/>
          <w:lang w:val="id-ID"/>
        </w:rPr>
        <w:t xml:space="preserve"> selection of themes for the </w:t>
      </w:r>
      <w:r w:rsidR="006420CD" w:rsidRPr="00956542">
        <w:rPr>
          <w:rFonts w:ascii="Goudy Old Style" w:hAnsi="Goudy Old Style"/>
          <w:color w:val="000000"/>
          <w:sz w:val="24"/>
          <w:szCs w:val="24"/>
          <w:lang w:val="id-ID"/>
        </w:rPr>
        <w:t>Qur’an’s</w:t>
      </w:r>
      <w:r w:rsidRPr="00956542">
        <w:rPr>
          <w:rFonts w:ascii="Goudy Old Style" w:hAnsi="Goudy Old Style"/>
          <w:color w:val="000000"/>
          <w:sz w:val="24"/>
          <w:szCs w:val="24"/>
          <w:lang w:val="id-ID"/>
        </w:rPr>
        <w:t xml:space="preserve"> study is determined </w:t>
      </w:r>
      <w:r w:rsidR="006420CD" w:rsidRPr="00956542">
        <w:rPr>
          <w:rFonts w:ascii="Goudy Old Style" w:hAnsi="Goudy Old Style"/>
          <w:color w:val="000000"/>
          <w:sz w:val="24"/>
          <w:szCs w:val="24"/>
          <w:lang w:val="id-ID"/>
        </w:rPr>
        <w:t>after</w:t>
      </w:r>
      <w:r w:rsidRPr="00956542">
        <w:rPr>
          <w:rFonts w:ascii="Goudy Old Style" w:hAnsi="Goudy Old Style"/>
          <w:color w:val="000000"/>
          <w:sz w:val="24"/>
          <w:szCs w:val="24"/>
          <w:lang w:val="id-ID"/>
        </w:rPr>
        <w:t xml:space="preserve"> the appointment of the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writing team. The </w:t>
      </w:r>
      <w:r w:rsidR="00341A52" w:rsidRPr="00956542">
        <w:rPr>
          <w:rFonts w:ascii="Goudy Old Style" w:hAnsi="Goudy Old Style"/>
          <w:color w:val="000000"/>
          <w:sz w:val="24"/>
          <w:szCs w:val="24"/>
          <w:lang w:val="id-ID"/>
        </w:rPr>
        <w:t>choice</w:t>
      </w:r>
      <w:r w:rsidRPr="00956542">
        <w:rPr>
          <w:rFonts w:ascii="Goudy Old Style" w:hAnsi="Goudy Old Style"/>
          <w:color w:val="000000"/>
          <w:sz w:val="24"/>
          <w:szCs w:val="24"/>
          <w:lang w:val="id-ID"/>
        </w:rPr>
        <w:t xml:space="preserve"> of themes in the early stages of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preparation was based on recommendations from MoRA.Conversely, in the post-2008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theme selection, the mufasir team was granted autonomy in determining relevant and aligned themes with the National Medium-Term Development Plan (RPJMN). The </w:t>
      </w:r>
      <w:r w:rsidR="00341A52" w:rsidRPr="00956542">
        <w:rPr>
          <w:rFonts w:ascii="Goudy Old Style" w:hAnsi="Goudy Old Style"/>
          <w:color w:val="000000"/>
          <w:sz w:val="24"/>
          <w:szCs w:val="24"/>
          <w:lang w:val="id-ID"/>
        </w:rPr>
        <w:t>government’s</w:t>
      </w:r>
      <w:r w:rsidRPr="00956542">
        <w:rPr>
          <w:rFonts w:ascii="Goudy Old Style" w:hAnsi="Goudy Old Style"/>
          <w:color w:val="000000"/>
          <w:sz w:val="24"/>
          <w:szCs w:val="24"/>
          <w:lang w:val="id-ID"/>
        </w:rPr>
        <w:t xml:space="preserve"> involvement in </w:t>
      </w:r>
      <w:r w:rsidR="00341A52" w:rsidRPr="00956542">
        <w:rPr>
          <w:rFonts w:ascii="Goudy Old Style" w:hAnsi="Goudy Old Style"/>
          <w:color w:val="000000"/>
          <w:sz w:val="24"/>
          <w:szCs w:val="24"/>
          <w:lang w:val="id-ID"/>
        </w:rPr>
        <w:t>deciding</w:t>
      </w:r>
      <w:r w:rsidRPr="00956542">
        <w:rPr>
          <w:rFonts w:ascii="Goudy Old Style" w:hAnsi="Goudy Old Style"/>
          <w:color w:val="000000"/>
          <w:sz w:val="24"/>
          <w:szCs w:val="24"/>
          <w:lang w:val="id-ID"/>
        </w:rPr>
        <w:t xml:space="preserve"> the theme is significant because it ensures that the content of the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aligns with the ideology and RPJMN. The government seeks to ensure that the interpretive thoughts that emerge in the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are moderate and inclusive, thereby ensuring that they become solutions and do not cause uproar and </w:t>
      </w:r>
      <w:r w:rsidR="000707A5" w:rsidRPr="00956542">
        <w:rPr>
          <w:rFonts w:ascii="Goudy Old Style" w:hAnsi="Goudy Old Style"/>
          <w:color w:val="000000"/>
          <w:sz w:val="24"/>
          <w:szCs w:val="24"/>
          <w:lang w:val="id-ID"/>
        </w:rPr>
        <w:t>societal controversy</w:t>
      </w:r>
      <w:r w:rsidRPr="00956542">
        <w:rPr>
          <w:rFonts w:ascii="Goudy Old Style" w:hAnsi="Goudy Old Style"/>
          <w:color w:val="000000"/>
          <w:sz w:val="24"/>
          <w:szCs w:val="24"/>
          <w:lang w:val="id-ID"/>
        </w:rPr>
        <w:t>.</w:t>
      </w:r>
    </w:p>
    <w:p w14:paraId="0BD4BFB2" w14:textId="78DB0D1E" w:rsidR="00BD0AE1" w:rsidRPr="00956542" w:rsidRDefault="00653B85" w:rsidP="00275200">
      <w:pPr>
        <w:autoSpaceDE w:val="0"/>
        <w:autoSpaceDN w:val="0"/>
        <w:adjustRightInd w:val="0"/>
        <w:spacing w:after="0" w:line="240" w:lineRule="auto"/>
        <w:ind w:firstLine="567"/>
        <w:rPr>
          <w:rFonts w:ascii="Goudy Old Style" w:hAnsi="Goudy Old Style"/>
          <w:color w:val="000000"/>
          <w:sz w:val="24"/>
          <w:szCs w:val="24"/>
          <w:lang w:val="id-ID"/>
        </w:rPr>
      </w:pPr>
      <w:r w:rsidRPr="00956542">
        <w:rPr>
          <w:rFonts w:ascii="Goudy Old Style" w:hAnsi="Goudy Old Style"/>
          <w:color w:val="000000"/>
          <w:sz w:val="24"/>
          <w:szCs w:val="24"/>
          <w:lang w:val="id-ID"/>
        </w:rPr>
        <w:t xml:space="preserve">Following 2008, the determination of the theme was no longer conducted in isolation by MoRA or the head of the committee; </w:t>
      </w:r>
      <w:r w:rsidR="00740017" w:rsidRPr="00956542">
        <w:rPr>
          <w:rFonts w:ascii="Goudy Old Style" w:hAnsi="Goudy Old Style"/>
          <w:color w:val="000000"/>
          <w:sz w:val="24"/>
          <w:szCs w:val="24"/>
          <w:lang w:val="id-ID"/>
        </w:rPr>
        <w:t>instead</w:t>
      </w:r>
      <w:r w:rsidRPr="00956542">
        <w:rPr>
          <w:rFonts w:ascii="Goudy Old Style" w:hAnsi="Goudy Old Style"/>
          <w:color w:val="000000"/>
          <w:sz w:val="24"/>
          <w:szCs w:val="24"/>
          <w:lang w:val="id-ID"/>
        </w:rPr>
        <w:t>, it was decided collectively in a designated forum.</w:t>
      </w:r>
      <w:r w:rsidR="00390377" w:rsidRPr="00956542">
        <w:rPr>
          <w:rFonts w:ascii="Goudy Old Style" w:hAnsi="Goudy Old Style"/>
          <w:color w:val="000000"/>
          <w:sz w:val="24"/>
          <w:szCs w:val="24"/>
          <w:lang w:val="id-ID"/>
        </w:rPr>
        <w:t xml:space="preserve"> </w:t>
      </w:r>
      <w:r w:rsidRPr="00956542">
        <w:rPr>
          <w:rFonts w:ascii="Goudy Old Style" w:hAnsi="Goudy Old Style"/>
          <w:color w:val="000000"/>
          <w:sz w:val="24"/>
          <w:szCs w:val="24"/>
          <w:lang w:val="id-ID"/>
        </w:rPr>
        <w:t xml:space="preserve">According to Nurdin and Hude, </w:t>
      </w:r>
      <w:r w:rsidR="000707A5" w:rsidRPr="00956542">
        <w:rPr>
          <w:rFonts w:ascii="Goudy Old Style" w:hAnsi="Goudy Old Style"/>
          <w:color w:val="000000"/>
          <w:sz w:val="24"/>
          <w:szCs w:val="24"/>
          <w:lang w:val="id-ID"/>
        </w:rPr>
        <w:t>the outcomes of the TIMRA drafting team meeting informed the selection of primary themes and sub-themes</w:t>
      </w:r>
      <w:r w:rsidRPr="00956542">
        <w:rPr>
          <w:rFonts w:ascii="Goudy Old Style" w:hAnsi="Goudy Old Style"/>
          <w:color w:val="000000"/>
          <w:sz w:val="24"/>
          <w:szCs w:val="24"/>
          <w:lang w:val="id-ID"/>
        </w:rPr>
        <w:t xml:space="preserve">. However, the composition of </w:t>
      </w:r>
      <w:r w:rsidR="00740017" w:rsidRPr="00956542">
        <w:rPr>
          <w:rFonts w:ascii="Goudy Old Style" w:hAnsi="Goudy Old Style"/>
          <w:color w:val="000000"/>
          <w:sz w:val="24"/>
          <w:szCs w:val="24"/>
          <w:lang w:val="id-ID"/>
        </w:rPr>
        <w:t>specific</w:t>
      </w:r>
      <w:r w:rsidRPr="00956542">
        <w:rPr>
          <w:rFonts w:ascii="Goudy Old Style" w:hAnsi="Goudy Old Style"/>
          <w:color w:val="000000"/>
          <w:sz w:val="24"/>
          <w:szCs w:val="24"/>
          <w:lang w:val="id-ID"/>
        </w:rPr>
        <w:t xml:space="preserve"> themes continues to be influenced by directives and instructions from MoRA (Nurdin, 2022). </w:t>
      </w:r>
      <w:r w:rsidR="001D6869" w:rsidRPr="00956542">
        <w:rPr>
          <w:rFonts w:ascii="Goudy Old Style" w:hAnsi="Goudy Old Style"/>
          <w:color w:val="000000"/>
          <w:sz w:val="24"/>
          <w:szCs w:val="24"/>
          <w:lang w:val="id-ID"/>
        </w:rPr>
        <w:t>After</w:t>
      </w:r>
      <w:r w:rsidRPr="00956542">
        <w:rPr>
          <w:rFonts w:ascii="Goudy Old Style" w:hAnsi="Goudy Old Style"/>
          <w:color w:val="000000"/>
          <w:sz w:val="24"/>
          <w:szCs w:val="24"/>
          <w:lang w:val="id-ID"/>
        </w:rPr>
        <w:t xml:space="preserve"> </w:t>
      </w:r>
      <w:r w:rsidR="00E7156E" w:rsidRPr="00956542">
        <w:rPr>
          <w:rFonts w:ascii="Goudy Old Style" w:hAnsi="Goudy Old Style"/>
          <w:color w:val="000000"/>
          <w:sz w:val="24"/>
          <w:szCs w:val="24"/>
          <w:lang w:val="id-ID"/>
        </w:rPr>
        <w:t>determining themes, the committee delegated the mufasir team the autonomy to elect the themes they would undertake, contingent on each writer’s educational background and expertise</w:t>
      </w:r>
      <w:r w:rsidRPr="00956542">
        <w:rPr>
          <w:rFonts w:ascii="Goudy Old Style" w:hAnsi="Goudy Old Style"/>
          <w:color w:val="000000"/>
          <w:sz w:val="24"/>
          <w:szCs w:val="24"/>
          <w:lang w:val="id-ID"/>
        </w:rPr>
        <w:t>.</w:t>
      </w:r>
      <w:r w:rsidR="00390377" w:rsidRPr="00956542">
        <w:rPr>
          <w:rFonts w:ascii="Goudy Old Style" w:hAnsi="Goudy Old Style"/>
          <w:color w:val="000000"/>
          <w:sz w:val="24"/>
          <w:szCs w:val="24"/>
          <w:lang w:val="id-ID"/>
        </w:rPr>
        <w:t xml:space="preserve"> </w:t>
      </w:r>
      <w:r w:rsidRPr="00956542">
        <w:rPr>
          <w:rFonts w:ascii="Goudy Old Style" w:hAnsi="Goudy Old Style"/>
          <w:color w:val="000000"/>
          <w:sz w:val="24"/>
          <w:szCs w:val="24"/>
          <w:lang w:val="id-ID"/>
        </w:rPr>
        <w:t xml:space="preserve">According to </w:t>
      </w:r>
      <w:r w:rsidR="00E7156E" w:rsidRPr="00956542">
        <w:rPr>
          <w:rFonts w:ascii="Goudy Old Style" w:hAnsi="Goudy Old Style"/>
          <w:color w:val="000000"/>
          <w:sz w:val="24"/>
          <w:szCs w:val="24"/>
          <w:lang w:val="id-ID"/>
        </w:rPr>
        <w:t>Hanafi’s</w:t>
      </w:r>
      <w:r w:rsidRPr="00956542">
        <w:rPr>
          <w:rFonts w:ascii="Goudy Old Style" w:hAnsi="Goudy Old Style"/>
          <w:color w:val="000000"/>
          <w:sz w:val="24"/>
          <w:szCs w:val="24"/>
          <w:lang w:val="id-ID"/>
        </w:rPr>
        <w:t xml:space="preserve"> information, each author was allotted less than a year to complete the draft tafsir. For instance, the draft entitled </w:t>
      </w:r>
      <w:r w:rsidR="00E7156E" w:rsidRPr="00956542">
        <w:rPr>
          <w:rFonts w:ascii="Goudy Old Style" w:hAnsi="Goudy Old Style"/>
          <w:color w:val="000000"/>
          <w:sz w:val="24"/>
          <w:szCs w:val="24"/>
          <w:lang w:val="id-ID"/>
        </w:rPr>
        <w:t>“</w:t>
      </w:r>
      <w:r w:rsidRPr="00956542">
        <w:rPr>
          <w:rFonts w:ascii="Goudy Old Style" w:hAnsi="Goudy Old Style"/>
          <w:color w:val="000000"/>
          <w:sz w:val="24"/>
          <w:szCs w:val="24"/>
          <w:lang w:val="id-ID"/>
        </w:rPr>
        <w:t>Role and Position of Women,</w:t>
      </w:r>
      <w:r w:rsidR="00E7156E" w:rsidRPr="00956542">
        <w:rPr>
          <w:rFonts w:ascii="Goudy Old Style" w:hAnsi="Goudy Old Style"/>
          <w:color w:val="000000"/>
          <w:sz w:val="24"/>
          <w:szCs w:val="24"/>
          <w:lang w:val="id-ID"/>
        </w:rPr>
        <w:t>”</w:t>
      </w:r>
      <w:r w:rsidRPr="00956542">
        <w:rPr>
          <w:rFonts w:ascii="Goudy Old Style" w:hAnsi="Goudy Old Style"/>
          <w:color w:val="000000"/>
          <w:sz w:val="24"/>
          <w:szCs w:val="24"/>
          <w:lang w:val="id-ID"/>
        </w:rPr>
        <w:t xml:space="preserve"> authored by two mufasirs, was completed within this timeframe.</w:t>
      </w:r>
    </w:p>
    <w:p w14:paraId="5547EDC8" w14:textId="71602B7E" w:rsidR="000E39A3" w:rsidRPr="00956542" w:rsidRDefault="000E39A3" w:rsidP="00275200">
      <w:pPr>
        <w:autoSpaceDE w:val="0"/>
        <w:autoSpaceDN w:val="0"/>
        <w:adjustRightInd w:val="0"/>
        <w:spacing w:after="0" w:line="240" w:lineRule="auto"/>
        <w:ind w:firstLine="567"/>
        <w:rPr>
          <w:rFonts w:ascii="Goudy Old Style" w:hAnsi="Goudy Old Style"/>
          <w:color w:val="000000"/>
          <w:sz w:val="24"/>
          <w:szCs w:val="24"/>
          <w:lang w:val="id-ID"/>
        </w:rPr>
      </w:pPr>
      <w:r w:rsidRPr="00956542">
        <w:rPr>
          <w:rFonts w:ascii="Goudy Old Style" w:hAnsi="Goudy Old Style"/>
          <w:color w:val="000000"/>
          <w:sz w:val="24"/>
          <w:szCs w:val="24"/>
          <w:lang w:val="id-ID"/>
        </w:rPr>
        <w:t xml:space="preserve">The third phase entails the presentation of draft thematic interpretations by the mufasirs to the committee team, which subsequently leads to further deliberations during the plenary session. This session constitutes the crux of the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writing process (Muchlis Hanafi, 2022). During this session, teams of writers from </w:t>
      </w:r>
      <w:r w:rsidR="00DB1489" w:rsidRPr="00956542">
        <w:rPr>
          <w:rFonts w:ascii="Goudy Old Style" w:hAnsi="Goudy Old Style"/>
          <w:color w:val="000000"/>
          <w:sz w:val="24"/>
          <w:szCs w:val="24"/>
          <w:lang w:val="id-ID"/>
        </w:rPr>
        <w:t>several</w:t>
      </w:r>
      <w:r w:rsidRPr="00956542">
        <w:rPr>
          <w:rFonts w:ascii="Goudy Old Style" w:hAnsi="Goudy Old Style"/>
          <w:color w:val="000000"/>
          <w:sz w:val="24"/>
          <w:szCs w:val="24"/>
          <w:lang w:val="id-ID"/>
        </w:rPr>
        <w:t xml:space="preserve"> scientific disciplines, including tafsir, law, science, and other scientific fields, are convened and tasked with commenting on the draft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interpretation, which is prepared by two or three responsible individuals based on their respective areas of expertise and knowledge.</w:t>
      </w:r>
      <w:r w:rsidR="00390377" w:rsidRPr="00956542">
        <w:rPr>
          <w:rFonts w:ascii="Goudy Old Style" w:hAnsi="Goudy Old Style"/>
          <w:color w:val="000000"/>
          <w:sz w:val="24"/>
          <w:szCs w:val="24"/>
          <w:lang w:val="id-ID"/>
        </w:rPr>
        <w:t xml:space="preserve"> </w:t>
      </w:r>
      <w:r w:rsidRPr="00956542">
        <w:rPr>
          <w:rFonts w:ascii="Goudy Old Style" w:hAnsi="Goudy Old Style"/>
          <w:color w:val="000000"/>
          <w:sz w:val="24"/>
          <w:szCs w:val="24"/>
          <w:lang w:val="id-ID"/>
        </w:rPr>
        <w:t>The committee then presents the entire team of mufasir, comprising the resource persons and all the members of the tafsir writers.</w:t>
      </w:r>
    </w:p>
    <w:p w14:paraId="61305DAB" w14:textId="0F3DF146" w:rsidR="0072244B" w:rsidRPr="00956542" w:rsidRDefault="00533BF2" w:rsidP="00275200">
      <w:pPr>
        <w:autoSpaceDE w:val="0"/>
        <w:autoSpaceDN w:val="0"/>
        <w:adjustRightInd w:val="0"/>
        <w:spacing w:after="0" w:line="240" w:lineRule="auto"/>
        <w:ind w:firstLine="567"/>
        <w:rPr>
          <w:rFonts w:ascii="Goudy Old Style" w:hAnsi="Goudy Old Style"/>
          <w:color w:val="000000"/>
          <w:sz w:val="24"/>
          <w:szCs w:val="24"/>
          <w:lang w:val="id-ID"/>
        </w:rPr>
      </w:pPr>
      <w:r w:rsidRPr="00956542">
        <w:rPr>
          <w:rFonts w:ascii="Goudy Old Style" w:hAnsi="Goudy Old Style"/>
          <w:color w:val="000000"/>
          <w:sz w:val="24"/>
          <w:szCs w:val="24"/>
          <w:lang w:val="id-ID"/>
        </w:rPr>
        <w:t xml:space="preserve">In the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plenary session, the resource persons and the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writer participants engaged in rigorous debates and discussions, during which they argued, debated, and provided corrections to the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draft. These debates predominantly centered on contentious subjects such as jihad, radicalism, extremism, the status of women, sexuality, and other controversial themes (Darwis Hude, 2022). This discord is </w:t>
      </w:r>
      <w:r w:rsidRPr="00956542">
        <w:rPr>
          <w:rFonts w:ascii="Goudy Old Style" w:hAnsi="Goudy Old Style"/>
          <w:color w:val="000000"/>
          <w:sz w:val="24"/>
          <w:szCs w:val="24"/>
          <w:lang w:val="id-ID"/>
        </w:rPr>
        <w:lastRenderedPageBreak/>
        <w:t>attributable to the ideological, perspective, and school of thought differences among the mufasirs.</w:t>
      </w:r>
      <w:r w:rsidR="00390377" w:rsidRPr="00956542">
        <w:rPr>
          <w:rFonts w:ascii="Goudy Old Style" w:hAnsi="Goudy Old Style"/>
          <w:color w:val="000000"/>
          <w:sz w:val="24"/>
          <w:szCs w:val="24"/>
          <w:lang w:val="id-ID"/>
        </w:rPr>
        <w:t xml:space="preserve"> </w:t>
      </w:r>
      <w:r w:rsidRPr="00956542">
        <w:rPr>
          <w:rFonts w:ascii="Goudy Old Style" w:hAnsi="Goudy Old Style"/>
          <w:color w:val="000000"/>
          <w:sz w:val="24"/>
          <w:szCs w:val="24"/>
          <w:lang w:val="id-ID"/>
        </w:rPr>
        <w:t>Notwithstanding, the committee reports that the debate among the mufasirs was resolved through deliberation and consensus.</w:t>
      </w:r>
    </w:p>
    <w:p w14:paraId="20673676" w14:textId="5C6F0A87" w:rsidR="008B66D1" w:rsidRPr="00956542" w:rsidRDefault="008B66D1" w:rsidP="00275200">
      <w:pPr>
        <w:autoSpaceDE w:val="0"/>
        <w:autoSpaceDN w:val="0"/>
        <w:adjustRightInd w:val="0"/>
        <w:spacing w:after="0" w:line="240" w:lineRule="auto"/>
        <w:ind w:firstLine="567"/>
        <w:rPr>
          <w:rFonts w:ascii="Goudy Old Style" w:hAnsi="Goudy Old Style"/>
          <w:color w:val="000000"/>
          <w:sz w:val="24"/>
          <w:szCs w:val="24"/>
          <w:lang w:val="id-ID"/>
        </w:rPr>
      </w:pPr>
      <w:r w:rsidRPr="00956542">
        <w:rPr>
          <w:rFonts w:ascii="Goudy Old Style" w:hAnsi="Goudy Old Style"/>
          <w:color w:val="000000"/>
          <w:sz w:val="24"/>
          <w:szCs w:val="24"/>
          <w:lang w:val="id-ID"/>
        </w:rPr>
        <w:t xml:space="preserve">In the context of plenary sessions, consensus and deliberation do not always </w:t>
      </w:r>
      <w:r w:rsidR="00DB1489" w:rsidRPr="00956542">
        <w:rPr>
          <w:rFonts w:ascii="Goudy Old Style" w:hAnsi="Goudy Old Style"/>
          <w:color w:val="000000"/>
          <w:sz w:val="24"/>
          <w:szCs w:val="24"/>
          <w:lang w:val="id-ID"/>
        </w:rPr>
        <w:t>resolve</w:t>
      </w:r>
      <w:r w:rsidRPr="00956542">
        <w:rPr>
          <w:rFonts w:ascii="Goudy Old Style" w:hAnsi="Goudy Old Style"/>
          <w:color w:val="000000"/>
          <w:sz w:val="24"/>
          <w:szCs w:val="24"/>
          <w:lang w:val="id-ID"/>
        </w:rPr>
        <w:t xml:space="preserve"> problems. Indeed, </w:t>
      </w:r>
      <w:r w:rsidR="00DB1489" w:rsidRPr="00956542">
        <w:rPr>
          <w:rFonts w:ascii="Goudy Old Style" w:hAnsi="Goudy Old Style"/>
          <w:color w:val="000000"/>
          <w:sz w:val="24"/>
          <w:szCs w:val="24"/>
          <w:lang w:val="id-ID"/>
        </w:rPr>
        <w:t xml:space="preserve">the </w:t>
      </w:r>
      <w:r w:rsidRPr="00956542">
        <w:rPr>
          <w:rFonts w:ascii="Goudy Old Style" w:hAnsi="Goudy Old Style"/>
          <w:color w:val="000000"/>
          <w:sz w:val="24"/>
          <w:szCs w:val="24"/>
          <w:lang w:val="id-ID"/>
        </w:rPr>
        <w:t>consensus in the formulation of tafsir tends to constrain the intellectual freedom and expression of individual mufasirs.</w:t>
      </w:r>
      <w:r w:rsidR="00390377" w:rsidRPr="00956542">
        <w:rPr>
          <w:rFonts w:ascii="Goudy Old Style" w:hAnsi="Goudy Old Style"/>
          <w:color w:val="000000"/>
          <w:sz w:val="24"/>
          <w:szCs w:val="24"/>
          <w:lang w:val="id-ID"/>
        </w:rPr>
        <w:t xml:space="preserve"> </w:t>
      </w:r>
      <w:r w:rsidRPr="00956542">
        <w:rPr>
          <w:rFonts w:ascii="Goudy Old Style" w:hAnsi="Goudy Old Style"/>
          <w:color w:val="000000"/>
          <w:sz w:val="24"/>
          <w:szCs w:val="24"/>
          <w:lang w:val="id-ID"/>
        </w:rPr>
        <w:t xml:space="preserve">According to the account of one mufasir, junior mufasirs frequently refrain from expressing their own opinions or challenging the views of senior mufasirs, even when these views contradict their own. This dynamic has led to </w:t>
      </w:r>
      <w:r w:rsidR="00A6000A" w:rsidRPr="00956542">
        <w:rPr>
          <w:rFonts w:ascii="Goudy Old Style" w:hAnsi="Goudy Old Style"/>
          <w:color w:val="000000"/>
          <w:sz w:val="24"/>
          <w:szCs w:val="24"/>
          <w:lang w:val="id-ID"/>
        </w:rPr>
        <w:t>excluding</w:t>
      </w:r>
      <w:r w:rsidRPr="00956542">
        <w:rPr>
          <w:rFonts w:ascii="Goudy Old Style" w:hAnsi="Goudy Old Style"/>
          <w:color w:val="000000"/>
          <w:sz w:val="24"/>
          <w:szCs w:val="24"/>
          <w:lang w:val="id-ID"/>
        </w:rPr>
        <w:t xml:space="preserve"> numerous mufasir aspirations and viewpoints from the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Notably, if an opinion expressed by a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mufasir is regarded as unfamiliar, controversial, or prone to conflict, it may be rejected. Consequently, some interpretations in the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may contradict the </w:t>
      </w:r>
      <w:r w:rsidR="009C6E33" w:rsidRPr="00956542">
        <w:rPr>
          <w:rFonts w:ascii="Goudy Old Style" w:hAnsi="Goudy Old Style"/>
          <w:color w:val="000000"/>
          <w:sz w:val="24"/>
          <w:szCs w:val="24"/>
          <w:lang w:val="id-ID"/>
        </w:rPr>
        <w:t>mufasir’s</w:t>
      </w:r>
      <w:r w:rsidRPr="00956542">
        <w:rPr>
          <w:rFonts w:ascii="Goudy Old Style" w:hAnsi="Goudy Old Style"/>
          <w:color w:val="000000"/>
          <w:sz w:val="24"/>
          <w:szCs w:val="24"/>
          <w:lang w:val="id-ID"/>
        </w:rPr>
        <w:t xml:space="preserve"> opinions expressed in other writings.</w:t>
      </w:r>
    </w:p>
    <w:p w14:paraId="6B132C1D" w14:textId="75913A6B" w:rsidR="00A8154A" w:rsidRPr="00956542" w:rsidRDefault="00A8154A" w:rsidP="00275200">
      <w:pPr>
        <w:autoSpaceDE w:val="0"/>
        <w:autoSpaceDN w:val="0"/>
        <w:adjustRightInd w:val="0"/>
        <w:spacing w:after="0" w:line="240" w:lineRule="auto"/>
        <w:ind w:firstLine="567"/>
        <w:rPr>
          <w:rFonts w:ascii="Goudy Old Style" w:hAnsi="Goudy Old Style"/>
          <w:color w:val="000000"/>
          <w:sz w:val="24"/>
          <w:szCs w:val="24"/>
          <w:lang w:val="id-ID"/>
        </w:rPr>
      </w:pPr>
      <w:r w:rsidRPr="00956542">
        <w:rPr>
          <w:rFonts w:ascii="Goudy Old Style" w:hAnsi="Goudy Old Style"/>
          <w:color w:val="000000"/>
          <w:sz w:val="24"/>
          <w:szCs w:val="24"/>
          <w:lang w:val="id-ID"/>
        </w:rPr>
        <w:t xml:space="preserve">In the context of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there exists an interpretation that women are not permitted to assume the roles of president, regional head, or minister, </w:t>
      </w:r>
      <w:r w:rsidR="000B4863" w:rsidRPr="00956542">
        <w:rPr>
          <w:rFonts w:ascii="Goudy Old Style" w:hAnsi="Goudy Old Style"/>
          <w:color w:val="000000"/>
          <w:sz w:val="24"/>
          <w:szCs w:val="24"/>
          <w:lang w:val="id-ID"/>
        </w:rPr>
        <w:t>which</w:t>
      </w:r>
      <w:r w:rsidRPr="00956542">
        <w:rPr>
          <w:rFonts w:ascii="Goudy Old Style" w:hAnsi="Goudy Old Style"/>
          <w:color w:val="000000"/>
          <w:sz w:val="24"/>
          <w:szCs w:val="24"/>
          <w:lang w:val="id-ID"/>
        </w:rPr>
        <w:t xml:space="preserve"> is evidently at odds with the progressive stances espoused by figures such as QS, NU, HTY, and NR. Notably, the delineation of </w:t>
      </w:r>
      <w:r w:rsidR="000B4863" w:rsidRPr="00956542">
        <w:rPr>
          <w:rFonts w:ascii="Goudy Old Style" w:hAnsi="Goudy Old Style"/>
          <w:color w:val="000000"/>
          <w:sz w:val="24"/>
          <w:szCs w:val="24"/>
          <w:lang w:val="id-ID"/>
        </w:rPr>
        <w:t>women’s</w:t>
      </w:r>
      <w:r w:rsidRPr="00956542">
        <w:rPr>
          <w:rFonts w:ascii="Goudy Old Style" w:hAnsi="Goudy Old Style"/>
          <w:color w:val="000000"/>
          <w:sz w:val="24"/>
          <w:szCs w:val="24"/>
          <w:lang w:val="id-ID"/>
        </w:rPr>
        <w:t xml:space="preserve"> aurat encompassing the entire female body, </w:t>
      </w:r>
      <w:r w:rsidR="000B4863" w:rsidRPr="00956542">
        <w:rPr>
          <w:rFonts w:ascii="Goudy Old Style" w:hAnsi="Goudy Old Style"/>
          <w:color w:val="000000"/>
          <w:sz w:val="24"/>
          <w:szCs w:val="24"/>
          <w:lang w:val="id-ID"/>
        </w:rPr>
        <w:t>except</w:t>
      </w:r>
      <w:r w:rsidRPr="00956542">
        <w:rPr>
          <w:rFonts w:ascii="Goudy Old Style" w:hAnsi="Goudy Old Style"/>
          <w:color w:val="000000"/>
          <w:sz w:val="24"/>
          <w:szCs w:val="24"/>
          <w:lang w:val="id-ID"/>
        </w:rPr>
        <w:t xml:space="preserve"> the face and palms of the hands, does not align with </w:t>
      </w:r>
      <w:r w:rsidR="000B4863" w:rsidRPr="00956542">
        <w:rPr>
          <w:rFonts w:ascii="Goudy Old Style" w:hAnsi="Goudy Old Style"/>
          <w:color w:val="000000"/>
          <w:sz w:val="24"/>
          <w:szCs w:val="24"/>
          <w:lang w:val="id-ID"/>
        </w:rPr>
        <w:t>QS’s</w:t>
      </w:r>
      <w:r w:rsidRPr="00956542">
        <w:rPr>
          <w:rFonts w:ascii="Goudy Old Style" w:hAnsi="Goudy Old Style"/>
          <w:color w:val="000000"/>
          <w:sz w:val="24"/>
          <w:szCs w:val="24"/>
          <w:lang w:val="id-ID"/>
        </w:rPr>
        <w:t xml:space="preserve"> perspective. In Tafsir al-Misbah and select writings, he advances the concept that the jilbab is a garment of honor, thus not necessitating full body coverage (Shihab, 2004; Umar, 2001).</w:t>
      </w:r>
      <w:r w:rsidR="00390377" w:rsidRPr="00956542">
        <w:rPr>
          <w:rFonts w:ascii="Goudy Old Style" w:hAnsi="Goudy Old Style"/>
          <w:color w:val="000000"/>
          <w:sz w:val="24"/>
          <w:szCs w:val="24"/>
          <w:lang w:val="id-ID"/>
        </w:rPr>
        <w:t xml:space="preserve"> </w:t>
      </w:r>
      <w:r w:rsidRPr="00956542">
        <w:rPr>
          <w:rFonts w:ascii="Goudy Old Style" w:hAnsi="Goudy Old Style"/>
          <w:color w:val="000000"/>
          <w:sz w:val="24"/>
          <w:szCs w:val="24"/>
          <w:lang w:val="id-ID"/>
        </w:rPr>
        <w:t>This incongruity in thought and interpretation among mufassirs underscores the susceptibility of compromise and consensus to impede the autonomy of mufassirs to articulate and express their ideas in tafsir literature.</w:t>
      </w:r>
    </w:p>
    <w:p w14:paraId="03E9F363" w14:textId="552B9A00" w:rsidR="0032106B" w:rsidRPr="00956542" w:rsidRDefault="00724393" w:rsidP="00275200">
      <w:pPr>
        <w:autoSpaceDE w:val="0"/>
        <w:autoSpaceDN w:val="0"/>
        <w:adjustRightInd w:val="0"/>
        <w:spacing w:after="0" w:line="240" w:lineRule="auto"/>
        <w:ind w:firstLine="567"/>
        <w:rPr>
          <w:rFonts w:ascii="Goudy Old Style" w:hAnsi="Goudy Old Style"/>
          <w:color w:val="000000"/>
          <w:sz w:val="24"/>
          <w:szCs w:val="24"/>
          <w:lang w:val="id-ID"/>
        </w:rPr>
      </w:pPr>
      <w:r w:rsidRPr="00956542">
        <w:rPr>
          <w:rFonts w:ascii="Goudy Old Style" w:hAnsi="Goudy Old Style"/>
          <w:color w:val="000000"/>
          <w:sz w:val="24"/>
          <w:szCs w:val="24"/>
          <w:lang w:val="id-ID"/>
        </w:rPr>
        <w:t xml:space="preserve">In the final stage, the revised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draft resulting from the plenary session was printed on a limited basis for review at the Mukernas Forum of </w:t>
      </w:r>
      <w:r w:rsidR="00E824F6" w:rsidRPr="00956542">
        <w:rPr>
          <w:rFonts w:ascii="Goudy Old Style" w:hAnsi="Goudy Old Style"/>
          <w:color w:val="000000"/>
          <w:sz w:val="24"/>
          <w:szCs w:val="24"/>
          <w:lang w:val="id-ID"/>
        </w:rPr>
        <w:t>Qur’anic</w:t>
      </w:r>
      <w:r w:rsidRPr="00956542">
        <w:rPr>
          <w:rFonts w:ascii="Goudy Old Style" w:hAnsi="Goudy Old Style"/>
          <w:color w:val="000000"/>
          <w:sz w:val="24"/>
          <w:szCs w:val="24"/>
          <w:lang w:val="id-ID"/>
        </w:rPr>
        <w:t xml:space="preserve"> Scholars.</w:t>
      </w:r>
      <w:r w:rsidR="00390377" w:rsidRPr="00956542">
        <w:rPr>
          <w:rFonts w:ascii="Goudy Old Style" w:hAnsi="Goudy Old Style"/>
          <w:color w:val="000000"/>
          <w:sz w:val="24"/>
          <w:szCs w:val="24"/>
          <w:lang w:val="id-ID"/>
        </w:rPr>
        <w:t xml:space="preserve"> </w:t>
      </w:r>
      <w:r w:rsidRPr="00956542">
        <w:rPr>
          <w:rFonts w:ascii="Goudy Old Style" w:hAnsi="Goudy Old Style"/>
          <w:color w:val="000000"/>
          <w:sz w:val="24"/>
          <w:szCs w:val="24"/>
          <w:lang w:val="id-ID"/>
        </w:rPr>
        <w:t xml:space="preserve">The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draft was then revised according to the input of the Mukernas participants.</w:t>
      </w:r>
      <w:r w:rsidR="00390377" w:rsidRPr="00956542">
        <w:rPr>
          <w:rFonts w:ascii="Goudy Old Style" w:hAnsi="Goudy Old Style"/>
          <w:color w:val="000000"/>
          <w:sz w:val="24"/>
          <w:szCs w:val="24"/>
          <w:lang w:val="id-ID"/>
        </w:rPr>
        <w:t xml:space="preserve"> </w:t>
      </w:r>
      <w:r w:rsidRPr="00956542">
        <w:rPr>
          <w:rFonts w:ascii="Goudy Old Style" w:hAnsi="Goudy Old Style"/>
          <w:color w:val="000000"/>
          <w:sz w:val="24"/>
          <w:szCs w:val="24"/>
          <w:lang w:val="id-ID"/>
        </w:rPr>
        <w:t xml:space="preserve">According to the statement of the team of interpreters, criticism and input from the Mukernas participants were only suggestions and recommendations because the final decision rested with the writing team (Hanafi, 2022). The culmination of the revision process for this thematic interpretation was marked by its dissemination in printed form to </w:t>
      </w:r>
      <w:r w:rsidR="00E824F6" w:rsidRPr="00956542">
        <w:rPr>
          <w:rFonts w:ascii="Goudy Old Style" w:hAnsi="Goudy Old Style"/>
          <w:color w:val="000000"/>
          <w:sz w:val="24"/>
          <w:szCs w:val="24"/>
          <w:lang w:val="id-ID"/>
        </w:rPr>
        <w:t>several</w:t>
      </w:r>
      <w:r w:rsidRPr="00956542">
        <w:rPr>
          <w:rFonts w:ascii="Goudy Old Style" w:hAnsi="Goudy Old Style"/>
          <w:color w:val="000000"/>
          <w:sz w:val="24"/>
          <w:szCs w:val="24"/>
          <w:lang w:val="id-ID"/>
        </w:rPr>
        <w:t xml:space="preserve"> institutions, including high schools, MA-level schools, IAIN/UIN, seminar forums, and other institutions under the purview of MoRA.In addition to the printed version, the E-book version of </w:t>
      </w:r>
      <w:r w:rsidR="00DF53DC" w:rsidRPr="00956542">
        <w:rPr>
          <w:rFonts w:ascii="Goudy Old Style" w:hAnsi="Goudy Old Style"/>
          <w:color w:val="000000"/>
          <w:sz w:val="24"/>
          <w:szCs w:val="24"/>
          <w:lang w:val="id-ID"/>
        </w:rPr>
        <w:t>TIMRA</w:t>
      </w:r>
      <w:r w:rsidRPr="00956542">
        <w:rPr>
          <w:rFonts w:ascii="Goudy Old Style" w:hAnsi="Goudy Old Style"/>
          <w:color w:val="000000"/>
          <w:sz w:val="24"/>
          <w:szCs w:val="24"/>
          <w:lang w:val="id-ID"/>
        </w:rPr>
        <w:t xml:space="preserve"> was published online on the LPMQ website and made available for download at no cost.</w:t>
      </w:r>
      <w:r w:rsidR="002D747F" w:rsidRPr="00956542">
        <w:rPr>
          <w:rFonts w:ascii="Goudy Old Style" w:hAnsi="Goudy Old Style"/>
          <w:color w:val="000000"/>
          <w:sz w:val="24"/>
          <w:szCs w:val="24"/>
          <w:lang w:val="id-ID"/>
        </w:rPr>
        <w:t xml:space="preserve"> </w:t>
      </w:r>
      <w:r w:rsidR="0032106B" w:rsidRPr="00956542">
        <w:rPr>
          <w:rStyle w:val="FootnoteReference"/>
          <w:rFonts w:ascii="Goudy Old Style" w:hAnsi="Goudy Old Style" w:cstheme="minorBidi"/>
          <w:color w:val="000000"/>
          <w:sz w:val="24"/>
          <w:szCs w:val="24"/>
          <w:lang w:val="id-ID"/>
        </w:rPr>
        <w:t xml:space="preserve"> </w:t>
      </w:r>
    </w:p>
    <w:p w14:paraId="2EC60CFD" w14:textId="1FCE70D0" w:rsidR="00352931" w:rsidRPr="00956542" w:rsidRDefault="00A674F8" w:rsidP="00275200">
      <w:pPr>
        <w:spacing w:after="0" w:line="240" w:lineRule="auto"/>
        <w:ind w:firstLine="567"/>
        <w:rPr>
          <w:rFonts w:ascii="Goudy Old Style" w:hAnsi="Goudy Old Style"/>
          <w:sz w:val="24"/>
          <w:szCs w:val="24"/>
          <w:lang w:val="id-ID"/>
        </w:rPr>
      </w:pPr>
      <w:r w:rsidRPr="00956542">
        <w:rPr>
          <w:rFonts w:ascii="Goudy Old Style" w:hAnsi="Goudy Old Style"/>
          <w:sz w:val="24"/>
          <w:szCs w:val="24"/>
          <w:lang w:val="id-ID"/>
        </w:rPr>
        <w:t xml:space="preserve">The data presented herein demonstrates the substantial impact and authority wielded by MoRA in shaping the content of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The </w:t>
      </w:r>
      <w:r w:rsidR="00E824F6" w:rsidRPr="00956542">
        <w:rPr>
          <w:rFonts w:ascii="Goudy Old Style" w:hAnsi="Goudy Old Style"/>
          <w:sz w:val="24"/>
          <w:szCs w:val="24"/>
          <w:lang w:val="id-ID"/>
        </w:rPr>
        <w:t>organization’s</w:t>
      </w:r>
      <w:r w:rsidRPr="00956542">
        <w:rPr>
          <w:rFonts w:ascii="Goudy Old Style" w:hAnsi="Goudy Old Style"/>
          <w:sz w:val="24"/>
          <w:szCs w:val="24"/>
          <w:lang w:val="id-ID"/>
        </w:rPr>
        <w:t xml:space="preserve"> financial support, the selection of mufasir, the determination of themes, the editorial process, and the publication of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content all underscore its ability to exert a considerable influence over the written form of </w:t>
      </w:r>
      <w:r w:rsidR="00DF53DC" w:rsidRPr="00956542">
        <w:rPr>
          <w:rFonts w:ascii="Goudy Old Style" w:hAnsi="Goudy Old Style"/>
          <w:sz w:val="24"/>
          <w:szCs w:val="24"/>
          <w:lang w:val="id-ID"/>
        </w:rPr>
        <w:t>TIMRA</w:t>
      </w:r>
      <w:r w:rsidRPr="00956542">
        <w:rPr>
          <w:rFonts w:ascii="Goudy Old Style" w:hAnsi="Goudy Old Style"/>
          <w:sz w:val="24"/>
          <w:szCs w:val="24"/>
          <w:lang w:val="id-ID"/>
        </w:rPr>
        <w:t>.</w:t>
      </w:r>
      <w:r w:rsidR="00EE7263" w:rsidRPr="00956542">
        <w:rPr>
          <w:rFonts w:ascii="Goudy Old Style" w:hAnsi="Goudy Old Style"/>
          <w:sz w:val="24"/>
          <w:szCs w:val="24"/>
          <w:lang w:val="id-ID"/>
        </w:rPr>
        <w:t xml:space="preserve"> </w:t>
      </w:r>
      <w:r w:rsidR="00E824F6" w:rsidRPr="00956542">
        <w:rPr>
          <w:rFonts w:ascii="Goudy Old Style" w:hAnsi="Goudy Old Style"/>
          <w:sz w:val="24"/>
          <w:szCs w:val="24"/>
          <w:lang w:val="id-ID"/>
        </w:rPr>
        <w:t>As previously discussed, the state’s pervasive influence on the content of TIMRA</w:t>
      </w:r>
      <w:r w:rsidRPr="00956542">
        <w:rPr>
          <w:rFonts w:ascii="Goudy Old Style" w:hAnsi="Goudy Old Style"/>
          <w:sz w:val="24"/>
          <w:szCs w:val="24"/>
          <w:lang w:val="id-ID"/>
        </w:rPr>
        <w:t xml:space="preserve"> is further substantiated by its control and domination over the process of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writing. In the subsequent section, this article will methodically analyze </w:t>
      </w:r>
      <w:r w:rsidR="00DF53DC" w:rsidRPr="00956542">
        <w:rPr>
          <w:rFonts w:ascii="Goudy Old Style" w:hAnsi="Goudy Old Style"/>
          <w:sz w:val="24"/>
          <w:szCs w:val="24"/>
          <w:lang w:val="id-ID"/>
        </w:rPr>
        <w:t>TIMRA</w:t>
      </w:r>
      <w:r w:rsidRPr="00956542">
        <w:rPr>
          <w:rFonts w:ascii="Goudy Old Style" w:hAnsi="Goudy Old Style"/>
          <w:sz w:val="24"/>
          <w:szCs w:val="24"/>
          <w:lang w:val="id-ID"/>
        </w:rPr>
        <w:t xml:space="preserve"> content on several key themes, including jihad, the concept of statehood, and the congruence of interpretation products with state ideology.    </w:t>
      </w:r>
    </w:p>
    <w:p w14:paraId="22447CE0" w14:textId="77777777" w:rsidR="0017562E" w:rsidRPr="00956542" w:rsidRDefault="0017562E" w:rsidP="00275200">
      <w:pPr>
        <w:spacing w:after="0" w:line="240" w:lineRule="auto"/>
        <w:ind w:firstLine="567"/>
        <w:rPr>
          <w:rFonts w:ascii="Goudy Old Style" w:hAnsi="Goudy Old Style"/>
          <w:b/>
          <w:bCs/>
          <w:sz w:val="24"/>
          <w:szCs w:val="24"/>
          <w:lang w:val="id-ID"/>
        </w:rPr>
      </w:pPr>
    </w:p>
    <w:p w14:paraId="3FF4AD68" w14:textId="77777777" w:rsidR="00E005C2" w:rsidRPr="00956542" w:rsidRDefault="00E005C2" w:rsidP="00275200">
      <w:pPr>
        <w:spacing w:after="0" w:line="240" w:lineRule="auto"/>
        <w:rPr>
          <w:rFonts w:ascii="Goudy Old Style" w:hAnsi="Goudy Old Style"/>
          <w:b/>
          <w:bCs/>
          <w:sz w:val="24"/>
          <w:szCs w:val="24"/>
          <w:lang w:val="en-ID"/>
        </w:rPr>
      </w:pPr>
      <w:bookmarkStart w:id="1" w:name="_Hlk148123345"/>
      <w:r w:rsidRPr="00956542">
        <w:rPr>
          <w:rFonts w:ascii="Goudy Old Style" w:hAnsi="Goudy Old Style"/>
          <w:b/>
          <w:bCs/>
          <w:sz w:val="24"/>
          <w:szCs w:val="24"/>
        </w:rPr>
        <w:t>Counter-Narratives of Radical Religious Beliefs in TIMRA</w:t>
      </w:r>
    </w:p>
    <w:p w14:paraId="28AD52E3" w14:textId="77777777" w:rsidR="00E005C2" w:rsidRPr="00956542" w:rsidRDefault="00E005C2" w:rsidP="00275200">
      <w:pPr>
        <w:spacing w:after="0" w:line="240" w:lineRule="auto"/>
        <w:ind w:firstLine="720"/>
        <w:rPr>
          <w:rFonts w:ascii="Goudy Old Style" w:hAnsi="Goudy Old Style"/>
          <w:sz w:val="24"/>
          <w:szCs w:val="24"/>
          <w:lang w:val="id-ID"/>
        </w:rPr>
      </w:pPr>
      <w:r w:rsidRPr="00956542">
        <w:rPr>
          <w:rFonts w:ascii="Goudy Old Style" w:hAnsi="Goudy Old Style"/>
          <w:sz w:val="24"/>
          <w:szCs w:val="24"/>
          <w:lang w:val="id-ID"/>
        </w:rPr>
        <w:t xml:space="preserve">The counter-narrative of radicalism and extremism in TIMRA manifests in numerous discursive iterations, prominently encompassing discourses on jihad and the </w:t>
      </w:r>
      <w:r w:rsidRPr="00956542">
        <w:rPr>
          <w:rFonts w:ascii="Goudy Old Style" w:hAnsi="Goudy Old Style"/>
          <w:sz w:val="24"/>
          <w:szCs w:val="24"/>
          <w:lang w:val="id-ID"/>
        </w:rPr>
        <w:lastRenderedPageBreak/>
        <w:t>notion of statehood. These two themes are of particular significance as they serve as foundational principles for the religious tenets of radical and extreme groups. In Indonesia, for instance, jihadist-radical groups cite the ideations of Sayyid Qutb and Islamist organizations concerning jihad and statehood. This section aims to elucidate how TIMRA content offers a counterpoint to radical and extreme perspectives on the subjects of jihad and statehood.</w:t>
      </w:r>
    </w:p>
    <w:p w14:paraId="1C519BB8" w14:textId="77777777" w:rsidR="00E005C2" w:rsidRPr="00956542" w:rsidRDefault="00E005C2" w:rsidP="00275200">
      <w:pPr>
        <w:spacing w:after="0" w:line="240" w:lineRule="auto"/>
        <w:ind w:firstLine="720"/>
        <w:rPr>
          <w:rFonts w:ascii="Goudy Old Style" w:hAnsi="Goudy Old Style"/>
          <w:b/>
          <w:bCs/>
          <w:sz w:val="24"/>
          <w:szCs w:val="24"/>
          <w:lang w:val="id-ID"/>
        </w:rPr>
      </w:pPr>
    </w:p>
    <w:bookmarkEnd w:id="1"/>
    <w:p w14:paraId="01CF9FBD" w14:textId="77777777" w:rsidR="00E005C2" w:rsidRPr="00956542" w:rsidRDefault="00E005C2" w:rsidP="00275200">
      <w:pPr>
        <w:spacing w:after="0" w:line="240" w:lineRule="auto"/>
        <w:rPr>
          <w:rFonts w:ascii="Goudy Old Style" w:hAnsi="Goudy Old Style"/>
          <w:b/>
          <w:bCs/>
          <w:sz w:val="24"/>
          <w:szCs w:val="24"/>
          <w:lang w:val="id-ID"/>
        </w:rPr>
      </w:pPr>
      <w:r w:rsidRPr="00956542">
        <w:rPr>
          <w:rFonts w:ascii="Goudy Old Style" w:eastAsia="Garamond-Transliterasi-Tajwid" w:hAnsi="Goudy Old Style"/>
          <w:b/>
          <w:bCs/>
          <w:color w:val="242021"/>
          <w:sz w:val="24"/>
          <w:szCs w:val="24"/>
        </w:rPr>
        <w:t>The Doctrine of Jihad: From Offensive to Defensive</w:t>
      </w:r>
    </w:p>
    <w:p w14:paraId="152FCA7D" w14:textId="77777777" w:rsidR="00E005C2" w:rsidRPr="00956542" w:rsidRDefault="00E005C2" w:rsidP="00275200">
      <w:pPr>
        <w:spacing w:after="0" w:line="240" w:lineRule="auto"/>
        <w:ind w:firstLine="567"/>
        <w:rPr>
          <w:rFonts w:ascii="Goudy Old Style" w:eastAsia="Garamond-Transliterasi-Tajwid" w:hAnsi="Goudy Old Style"/>
          <w:color w:val="242021"/>
          <w:sz w:val="24"/>
          <w:szCs w:val="24"/>
          <w:lang w:val="id-ID"/>
        </w:rPr>
      </w:pPr>
      <w:r w:rsidRPr="00956542">
        <w:rPr>
          <w:rFonts w:ascii="Goudy Old Style" w:eastAsia="Garamond-Transliterasi-Tajwid" w:hAnsi="Goudy Old Style"/>
          <w:color w:val="242021"/>
          <w:sz w:val="24"/>
          <w:szCs w:val="24"/>
          <w:lang w:val="id-ID"/>
        </w:rPr>
        <w:t xml:space="preserve">The interpretation of jihad in TIMRA is predicated on the notion that it serves as a counterpoint to the views espoused by radical and extreme Islamic groups. For TIMRA, the principle of jihad is not, as Sayyid Qutb calls it (Qutb, 1993), offensive but somewhat defensive. The condition for jihad action, according to TIMRA, is that Muslims be attacked first. The doctrine of jihad in Islam, as interpreted by TIMRA, does not permit jihad action against non-Muslims or certain institutions because they do not practice Islamic law. Indeed, the TIMRA interpretation of jihad extends beyond the conventional conception of armed conflict with enemies, encompassing a more extensive scope. This expanded interpretation encompasses jihad with property and the pursuit of knowledge, among other facets. Furthermore, the TIMRA variant of Islam stipulates stringent criteria that must be fulfilled for an individual to qualify for jihad. Consequently, not all Muslims possess the prerequisites to engage in this spiritual act.     </w:t>
      </w:r>
    </w:p>
    <w:p w14:paraId="6577D30F" w14:textId="77777777" w:rsidR="00E005C2" w:rsidRPr="00956542" w:rsidRDefault="00E005C2" w:rsidP="00275200">
      <w:pPr>
        <w:spacing w:after="0" w:line="240" w:lineRule="auto"/>
        <w:ind w:firstLine="567"/>
        <w:rPr>
          <w:rFonts w:ascii="Goudy Old Style" w:eastAsia="Garamond-Transliterasi-Tajwid" w:hAnsi="Goudy Old Style"/>
          <w:color w:val="242021"/>
          <w:sz w:val="24"/>
          <w:szCs w:val="24"/>
          <w:lang w:val="id-ID"/>
        </w:rPr>
      </w:pPr>
      <w:r w:rsidRPr="00956542">
        <w:rPr>
          <w:rFonts w:ascii="Goudy Old Style" w:eastAsia="Garamond-Transliterasi-Tajwid" w:hAnsi="Goudy Old Style"/>
          <w:color w:val="242021"/>
          <w:sz w:val="24"/>
          <w:szCs w:val="24"/>
          <w:lang w:val="id-ID"/>
        </w:rPr>
        <w:t>The jihad theme raised in TIMRA is motivated by several factors. Since the events of 9 September 2001, TIMRA has observed a misinterpretation among Muslims, who have attempted to interpret jihad in a limited sense. This misinterpretation has resulted in the emergence of a violent and extreme attitude among Muslims—Ministry of Religious Affairs of the Republic of Indonesia, Jihad; Its Meaning and Implementation. The argument is that the jihad verses revealed in the Meccan period (Makkiyah), which are predominantly da’wah-oriented, tolerant, and moderate, have been superseded by the verses revealed in Madinah (Madaniyyah), which are predominantly about war (Ministry of Religious Affairs, 2012).</w:t>
      </w:r>
    </w:p>
    <w:p w14:paraId="40E8D964" w14:textId="77777777" w:rsidR="00E005C2" w:rsidRPr="00956542" w:rsidRDefault="00E005C2" w:rsidP="00275200">
      <w:pPr>
        <w:spacing w:after="0" w:line="240" w:lineRule="auto"/>
        <w:ind w:firstLine="567"/>
        <w:rPr>
          <w:rFonts w:ascii="Goudy Old Style" w:eastAsia="Garamond-Transliterasi-Tajwid" w:hAnsi="Goudy Old Style"/>
          <w:color w:val="242021"/>
          <w:sz w:val="24"/>
          <w:szCs w:val="24"/>
          <w:lang w:val="id-ID"/>
        </w:rPr>
      </w:pPr>
      <w:r w:rsidRPr="00956542">
        <w:rPr>
          <w:rFonts w:ascii="Goudy Old Style" w:eastAsia="Garamond-Transliterasi-Tajwid" w:hAnsi="Goudy Old Style"/>
          <w:color w:val="242021"/>
          <w:sz w:val="24"/>
          <w:szCs w:val="24"/>
          <w:lang w:val="id-ID"/>
        </w:rPr>
        <w:t>In this context, the theme of jihad in TIMRA aims to refute and erase the West’s negative stigma against Islam. They contend that Islam has been propagated through the use of force, as evidenced by the doctrine of jihad (Ministry of Religious Affairs, 2012). This perspective asserts that Islam is a religion that fosters violence during its expansion. This misinterpretation is not exclusive to the West; within Islam itself, certain groups interpret jihad as a struggle for weapons that offers the alternative of a noble life or martyrdom (Kementerian Agama RI, 2012).</w:t>
      </w:r>
    </w:p>
    <w:p w14:paraId="3FE89D3B" w14:textId="77777777" w:rsidR="00E005C2" w:rsidRPr="00956542" w:rsidRDefault="00E005C2" w:rsidP="00275200">
      <w:pPr>
        <w:spacing w:after="0" w:line="240" w:lineRule="auto"/>
        <w:ind w:firstLine="567"/>
        <w:rPr>
          <w:rFonts w:ascii="Goudy Old Style" w:eastAsia="Garamond-Transliterasi-Tajwid" w:hAnsi="Goudy Old Style"/>
          <w:color w:val="242021"/>
          <w:sz w:val="24"/>
          <w:szCs w:val="24"/>
          <w:lang w:val="id-ID"/>
        </w:rPr>
      </w:pPr>
      <w:r w:rsidRPr="00956542">
        <w:rPr>
          <w:rFonts w:ascii="Goudy Old Style" w:eastAsia="Garamond-Transliterasi-Tajwid" w:hAnsi="Goudy Old Style"/>
          <w:color w:val="242021"/>
          <w:sz w:val="24"/>
          <w:szCs w:val="24"/>
          <w:lang w:val="id-ID"/>
        </w:rPr>
        <w:t xml:space="preserve">TIMRA asserts that both the West and some Muslims possess a constrained understanding of the term jihad. The term jihad in the Qur’an encompasses a broad spectrum of meanings, extending beyond mere warfare to include more profound spiritual dimensions. Moreover, numerous verses in the Qur’an and Hadith explicitly delineate limits, rules, and ethical principles for implementing jihad. In this regard, the TIMRA endeavors to furnish a comprehensive understanding of the verses concerning jihad in the Qur’an and Hadith and to interpret them in the context of their respective sources (Ministry of Religious Affairs of the Republic of Indonesia, 2012). </w:t>
      </w:r>
    </w:p>
    <w:p w14:paraId="59E4BA59" w14:textId="77777777" w:rsidR="00E005C2" w:rsidRPr="00956542" w:rsidRDefault="00E005C2" w:rsidP="00275200">
      <w:pPr>
        <w:spacing w:after="0" w:line="240" w:lineRule="auto"/>
        <w:ind w:firstLine="567"/>
        <w:rPr>
          <w:rFonts w:ascii="Goudy Old Style" w:hAnsi="Goudy Old Style"/>
          <w:color w:val="242021"/>
          <w:sz w:val="24"/>
          <w:szCs w:val="24"/>
          <w:lang w:val="id-ID"/>
        </w:rPr>
      </w:pPr>
      <w:r w:rsidRPr="00956542">
        <w:rPr>
          <w:rFonts w:ascii="Goudy Old Style" w:hAnsi="Goudy Old Style"/>
          <w:color w:val="242021"/>
          <w:sz w:val="24"/>
          <w:szCs w:val="24"/>
          <w:lang w:val="id-ID"/>
        </w:rPr>
        <w:t xml:space="preserve">According to the Ministry of Religious Affairs of the Republic of Indonesia (2012), jihad is defined as expending all potential, power, effort, and strength in earnest to fight a despicable object to uphold the religion of Allah SWT. This definition distinguishes between two forms of jihad: non-physical and physical. Non-physical jihad </w:t>
      </w:r>
      <w:r w:rsidRPr="00956542">
        <w:rPr>
          <w:rFonts w:ascii="Goudy Old Style" w:hAnsi="Goudy Old Style"/>
          <w:color w:val="242021"/>
          <w:sz w:val="24"/>
          <w:szCs w:val="24"/>
          <w:lang w:val="id-ID"/>
        </w:rPr>
        <w:lastRenderedPageBreak/>
        <w:t xml:space="preserve">is defined as a jihad against lust or Satan. Physical jihad, in contrast, is waged against unbelievers, polytheists, hypocrites, apostates, rebels, and security disturbers. The attainment of non-physical jihad is contingent upon the subjugation of lust and the augmentation of faith, determination, and firm belief (Ministry of Religious Affairs of the Republic of Indonesia, 2012).   </w:t>
      </w:r>
    </w:p>
    <w:p w14:paraId="36CDC0F9" w14:textId="77777777" w:rsidR="00E005C2" w:rsidRPr="00956542" w:rsidRDefault="00E005C2" w:rsidP="00275200">
      <w:pPr>
        <w:tabs>
          <w:tab w:val="left" w:pos="567"/>
        </w:tabs>
        <w:spacing w:after="0" w:line="240" w:lineRule="auto"/>
        <w:rPr>
          <w:rFonts w:ascii="Goudy Old Style" w:hAnsi="Goudy Old Style"/>
          <w:color w:val="242021"/>
          <w:sz w:val="24"/>
          <w:szCs w:val="24"/>
          <w:lang w:val="id-ID"/>
        </w:rPr>
      </w:pPr>
      <w:r w:rsidRPr="00956542">
        <w:rPr>
          <w:rFonts w:ascii="Goudy Old Style" w:hAnsi="Goudy Old Style"/>
          <w:color w:val="242021"/>
          <w:sz w:val="24"/>
          <w:szCs w:val="24"/>
          <w:lang w:val="id-ID"/>
        </w:rPr>
        <w:tab/>
        <w:t xml:space="preserve">Contrary to the concept of non-physical jihad, the practice of physical jihad entails engagement in combat with physical weapons and necessitates significant personal sacrifice. This type of jihad is directed towards individuals who do not adhere to the Islamic faith or those who worship multiple deities. The permissibility of confronting such individuals hinges on specific criteria, which include: These circumstances include, but are not limited to, the following: (1) the violation of a treaty; (2) the initiation of armed conflict; (3) the expulsion of Muslims from their country of origin; and (4) the instigation of defamation, vilification of Islam, and expression of animosity and hostility toward Islam and Muslims (Ministry of Religious Affairs of the Republic of Indonesia, 2012).  </w:t>
      </w:r>
    </w:p>
    <w:p w14:paraId="0E70E5BB" w14:textId="77777777" w:rsidR="00E005C2" w:rsidRPr="00956542" w:rsidRDefault="00E005C2" w:rsidP="00275200">
      <w:pPr>
        <w:tabs>
          <w:tab w:val="left" w:pos="567"/>
        </w:tabs>
        <w:spacing w:after="0" w:line="240" w:lineRule="auto"/>
        <w:rPr>
          <w:rFonts w:ascii="Goudy Old Style" w:hAnsi="Goudy Old Style"/>
          <w:color w:val="242021"/>
          <w:sz w:val="24"/>
          <w:szCs w:val="24"/>
          <w:lang w:val="id-ID"/>
        </w:rPr>
      </w:pPr>
      <w:r w:rsidRPr="00956542">
        <w:rPr>
          <w:rFonts w:ascii="Goudy Old Style" w:hAnsi="Goudy Old Style"/>
          <w:color w:val="242021"/>
          <w:sz w:val="24"/>
          <w:szCs w:val="24"/>
          <w:lang w:val="id-ID"/>
        </w:rPr>
        <w:tab/>
        <w:t>According to the TIMRA, if one of the four conditions is violated, engagement in combat with non-believers or polytheists is permissible. The four prerequisites demonstrate that the TIMRA’s conception of physical jihad is defensive rather than being of an offensive character. The term “defensive jihad” is a form of jihad undertaken to protect oneself and one’s rights from attacks by enemy forces. In contrast, offensive jihad is classified as open jihad (Ministry of Religious Affairs of the Republic of Indonesia, 2012). Muslims may initiate hostilities even without infidel transgressions against the four provisions above. For groups adopting an offensive stance, such as Sayyid Qutub and Sa’id Hawwa, the absence of a legal system based on the Qur’an and Hadith is sufficient to be a prerequisite for a country to be considered a legitimate target (Hawwa, 1985; Ministry of Religious Affairs, 2012; Qutb, 1993).</w:t>
      </w:r>
    </w:p>
    <w:p w14:paraId="1C29DF2C" w14:textId="77777777" w:rsidR="00E005C2" w:rsidRPr="00956542" w:rsidRDefault="00E005C2" w:rsidP="00275200">
      <w:pPr>
        <w:spacing w:after="0" w:line="240" w:lineRule="auto"/>
        <w:rPr>
          <w:rFonts w:ascii="Goudy Old Style" w:hAnsi="Goudy Old Style"/>
          <w:sz w:val="24"/>
          <w:szCs w:val="24"/>
          <w:lang w:val="id-ID"/>
        </w:rPr>
      </w:pPr>
      <w:r w:rsidRPr="00956542">
        <w:rPr>
          <w:rFonts w:ascii="Goudy Old Style" w:hAnsi="Goudy Old Style"/>
          <w:sz w:val="24"/>
          <w:szCs w:val="24"/>
          <w:lang w:val="id-ID"/>
        </w:rPr>
        <w:tab/>
        <w:t xml:space="preserve">TIMRA references several provisions of jihad, as outlined by the Prophet’s practices, which effectively transformed the paradigm of warfare during the jahiliyah era, characterized by plunder, robbery, murder, and the abuse of women and children. During the Islamic period, jihad was interpreted as following the orders of Allah SWT to liberate humans from the authoritarian system. Jihad, or war, was executed by Islamic principles and the teachings of the Prophet Muhammad SAW, emphasizing the avoidance of killing weak people, women, and children. Furthermore, it was not done in public places (Ministry of Religious Affairs of the Republic of Indonesia, 2011).   </w:t>
      </w:r>
    </w:p>
    <w:p w14:paraId="0D636338" w14:textId="3A0578B9" w:rsidR="00E005C2" w:rsidRPr="00956542" w:rsidRDefault="00E005C2" w:rsidP="00275200">
      <w:pPr>
        <w:spacing w:after="0" w:line="240" w:lineRule="auto"/>
        <w:rPr>
          <w:rFonts w:ascii="Goudy Old Style" w:hAnsi="Goudy Old Style"/>
          <w:b/>
          <w:bCs/>
          <w:sz w:val="24"/>
          <w:szCs w:val="24"/>
        </w:rPr>
      </w:pPr>
    </w:p>
    <w:p w14:paraId="7EF51D68" w14:textId="1C761492" w:rsidR="00614A8F" w:rsidRPr="00956542" w:rsidRDefault="00614A8F" w:rsidP="00275200">
      <w:pPr>
        <w:spacing w:after="0" w:line="240" w:lineRule="auto"/>
        <w:rPr>
          <w:rFonts w:ascii="Goudy Old Style" w:hAnsi="Goudy Old Style"/>
          <w:b/>
          <w:bCs/>
          <w:sz w:val="24"/>
          <w:szCs w:val="24"/>
        </w:rPr>
      </w:pPr>
    </w:p>
    <w:p w14:paraId="78FFED31" w14:textId="77777777" w:rsidR="00614A8F" w:rsidRPr="00956542" w:rsidRDefault="00614A8F" w:rsidP="00275200">
      <w:pPr>
        <w:spacing w:after="0" w:line="240" w:lineRule="auto"/>
        <w:rPr>
          <w:rFonts w:ascii="Goudy Old Style" w:hAnsi="Goudy Old Style"/>
          <w:b/>
          <w:bCs/>
          <w:sz w:val="24"/>
          <w:szCs w:val="24"/>
        </w:rPr>
      </w:pPr>
    </w:p>
    <w:p w14:paraId="38E212B7" w14:textId="77777777" w:rsidR="00E005C2" w:rsidRPr="00956542" w:rsidRDefault="00E005C2" w:rsidP="00275200">
      <w:pPr>
        <w:spacing w:after="0" w:line="240" w:lineRule="auto"/>
        <w:rPr>
          <w:rFonts w:ascii="Goudy Old Style" w:hAnsi="Goudy Old Style"/>
          <w:b/>
          <w:bCs/>
          <w:color w:val="000000"/>
          <w:sz w:val="24"/>
          <w:szCs w:val="24"/>
          <w:lang w:val="id-ID"/>
        </w:rPr>
      </w:pPr>
      <w:r w:rsidRPr="00956542">
        <w:rPr>
          <w:rFonts w:ascii="Goudy Old Style" w:hAnsi="Goudy Old Style"/>
          <w:b/>
          <w:bCs/>
          <w:color w:val="000000"/>
          <w:sz w:val="24"/>
          <w:szCs w:val="24"/>
          <w:lang w:val="id-ID"/>
        </w:rPr>
        <w:t>State Concept</w:t>
      </w:r>
    </w:p>
    <w:p w14:paraId="53F4D93C" w14:textId="77777777" w:rsidR="00E005C2" w:rsidRPr="00956542" w:rsidRDefault="00E005C2" w:rsidP="00275200">
      <w:pPr>
        <w:spacing w:after="0" w:line="240" w:lineRule="auto"/>
        <w:ind w:firstLine="567"/>
        <w:rPr>
          <w:rFonts w:ascii="Goudy Old Style" w:hAnsi="Goudy Old Style"/>
          <w:color w:val="000000"/>
          <w:sz w:val="24"/>
          <w:szCs w:val="24"/>
          <w:lang w:val="id-ID"/>
        </w:rPr>
      </w:pPr>
      <w:r w:rsidRPr="00956542">
        <w:rPr>
          <w:rFonts w:ascii="Goudy Old Style" w:hAnsi="Goudy Old Style"/>
          <w:color w:val="000000"/>
          <w:sz w:val="24"/>
          <w:szCs w:val="24"/>
          <w:lang w:val="id-ID"/>
        </w:rPr>
        <w:t xml:space="preserve"> State discourse in </w:t>
      </w:r>
      <w:r w:rsidRPr="00956542">
        <w:rPr>
          <w:rFonts w:ascii="Goudy Old Style" w:hAnsi="Goudy Old Style"/>
          <w:color w:val="000000"/>
          <w:sz w:val="24"/>
          <w:szCs w:val="24"/>
        </w:rPr>
        <w:t>TIMRA</w:t>
      </w:r>
      <w:r w:rsidRPr="00956542">
        <w:rPr>
          <w:rFonts w:ascii="Goudy Old Style" w:hAnsi="Goudy Old Style"/>
          <w:color w:val="000000"/>
          <w:sz w:val="24"/>
          <w:szCs w:val="24"/>
          <w:lang w:val="id-ID"/>
        </w:rPr>
        <w:t xml:space="preserve"> has emerged as a means through which the government seeks to counter groups that advocate for the transformation of the Unitary State of the Republic of Indonesia (NKRI) into a caliphate system. According to the TIMRA perspective, the present form and system of the Indonesian state are the outcome of a scholarly consensus that must be adhered to. Furthermore, this consensus does not conflict with Islamic teachings. The Qur’an and hadith, the primary sources of Islamic law, do not explicitly delineate the form and system that must be adopted. Consequently, the arguments surrounding the system and form of statehood are understood by the TIMRA mufasir in a contextualist and substantive manner.</w:t>
      </w:r>
    </w:p>
    <w:p w14:paraId="733EBC11" w14:textId="77777777" w:rsidR="00E005C2" w:rsidRPr="00956542" w:rsidRDefault="00E005C2" w:rsidP="00275200">
      <w:pPr>
        <w:spacing w:after="0" w:line="240" w:lineRule="auto"/>
        <w:ind w:firstLine="567"/>
        <w:rPr>
          <w:rFonts w:ascii="Goudy Old Style" w:hAnsi="Goudy Old Style"/>
          <w:color w:val="000000"/>
          <w:sz w:val="24"/>
          <w:szCs w:val="24"/>
          <w:lang w:val="id-ID"/>
        </w:rPr>
      </w:pPr>
      <w:r w:rsidRPr="00956542">
        <w:rPr>
          <w:rFonts w:ascii="Goudy Old Style" w:hAnsi="Goudy Old Style"/>
          <w:color w:val="000000"/>
          <w:sz w:val="24"/>
          <w:szCs w:val="24"/>
          <w:lang w:val="id-ID"/>
        </w:rPr>
        <w:lastRenderedPageBreak/>
        <w:t>According to the Ministry of Religious Affairs (2011: 20), a state in the context of TIMRA is defined as an area on the surface of the earth whose political, military, economic, social, or cultural powers are governed by the government residing in that area. For a region to be considered a state under TIMRA, four conditions must be satisfied: the presence of a population, the existence of a defined territory, the establishment of a sovereign government, and the recognition of that state by other nations.</w:t>
      </w:r>
    </w:p>
    <w:p w14:paraId="48C1E03F" w14:textId="77777777" w:rsidR="00E005C2" w:rsidRPr="00956542" w:rsidRDefault="00E005C2" w:rsidP="00275200">
      <w:pPr>
        <w:spacing w:after="0" w:line="240" w:lineRule="auto"/>
        <w:ind w:firstLine="567"/>
        <w:rPr>
          <w:rFonts w:ascii="Goudy Old Style" w:hAnsi="Goudy Old Style"/>
          <w:color w:val="000000"/>
          <w:sz w:val="24"/>
          <w:szCs w:val="24"/>
          <w:lang w:val="id-ID"/>
        </w:rPr>
      </w:pPr>
      <w:r w:rsidRPr="00956542">
        <w:rPr>
          <w:rFonts w:ascii="Goudy Old Style" w:hAnsi="Goudy Old Style"/>
          <w:color w:val="000000"/>
          <w:sz w:val="24"/>
          <w:szCs w:val="24"/>
          <w:lang w:val="id-ID"/>
        </w:rPr>
        <w:t>According to the definition above, the state has numerous benefits because it plays an instrumental role in regulating people’s lives.TIMRA asserts that the existence of a state is absolute in the Qur’an and that the head of state has multiple titles, including caliph, amirul mukminin, president, sultan, or king (Ministry of Religious Affairs of the Republic of Indonesia, 2011: 1). The term “state” in the Qur’an can be identified in several terms, namely mulk, khal</w:t>
      </w:r>
      <w:r w:rsidRPr="00956542">
        <w:rPr>
          <w:rFonts w:ascii="Calibri" w:hAnsi="Calibri" w:cs="Calibri"/>
          <w:color w:val="000000"/>
          <w:sz w:val="24"/>
          <w:szCs w:val="24"/>
          <w:lang w:val="id-ID"/>
        </w:rPr>
        <w:t>ī</w:t>
      </w:r>
      <w:r w:rsidRPr="00956542">
        <w:rPr>
          <w:rFonts w:ascii="Goudy Old Style" w:hAnsi="Goudy Old Style"/>
          <w:color w:val="000000"/>
          <w:sz w:val="24"/>
          <w:szCs w:val="24"/>
          <w:lang w:val="id-ID"/>
        </w:rPr>
        <w:t>fah, ulul-amr, im</w:t>
      </w:r>
      <w:r w:rsidRPr="00956542">
        <w:rPr>
          <w:rFonts w:ascii="Calibri" w:hAnsi="Calibri" w:cs="Calibri"/>
          <w:color w:val="000000"/>
          <w:sz w:val="24"/>
          <w:szCs w:val="24"/>
          <w:lang w:val="id-ID"/>
        </w:rPr>
        <w:t>ā</w:t>
      </w:r>
      <w:r w:rsidRPr="00956542">
        <w:rPr>
          <w:rFonts w:ascii="Goudy Old Style" w:hAnsi="Goudy Old Style"/>
          <w:color w:val="000000"/>
          <w:sz w:val="24"/>
          <w:szCs w:val="24"/>
          <w:lang w:val="id-ID"/>
        </w:rPr>
        <w:t>m, sult</w:t>
      </w:r>
      <w:r w:rsidRPr="00956542">
        <w:rPr>
          <w:rFonts w:ascii="Calibri" w:hAnsi="Calibri" w:cs="Calibri"/>
          <w:color w:val="000000"/>
          <w:sz w:val="24"/>
          <w:szCs w:val="24"/>
          <w:lang w:val="id-ID"/>
        </w:rPr>
        <w:t>ā</w:t>
      </w:r>
      <w:r w:rsidRPr="00956542">
        <w:rPr>
          <w:rFonts w:ascii="Goudy Old Style" w:hAnsi="Goudy Old Style"/>
          <w:color w:val="000000"/>
          <w:sz w:val="24"/>
          <w:szCs w:val="24"/>
          <w:lang w:val="id-ID"/>
        </w:rPr>
        <w:t>n, and sy</w:t>
      </w:r>
      <w:r w:rsidRPr="00956542">
        <w:rPr>
          <w:rFonts w:ascii="Calibri" w:hAnsi="Calibri" w:cs="Calibri"/>
          <w:color w:val="000000"/>
          <w:sz w:val="24"/>
          <w:szCs w:val="24"/>
          <w:lang w:val="id-ID"/>
        </w:rPr>
        <w:t>ū</w:t>
      </w:r>
      <w:r w:rsidRPr="00956542">
        <w:rPr>
          <w:rFonts w:ascii="Goudy Old Style" w:hAnsi="Goudy Old Style"/>
          <w:color w:val="000000"/>
          <w:sz w:val="24"/>
          <w:szCs w:val="24"/>
          <w:lang w:val="id-ID"/>
        </w:rPr>
        <w:t>r</w:t>
      </w:r>
      <w:r w:rsidRPr="00956542">
        <w:rPr>
          <w:rFonts w:ascii="Calibri" w:hAnsi="Calibri" w:cs="Calibri"/>
          <w:color w:val="000000"/>
          <w:sz w:val="24"/>
          <w:szCs w:val="24"/>
          <w:lang w:val="id-ID"/>
        </w:rPr>
        <w:t>ā</w:t>
      </w:r>
      <w:r w:rsidRPr="00956542">
        <w:rPr>
          <w:rFonts w:ascii="Goudy Old Style" w:hAnsi="Goudy Old Style"/>
          <w:color w:val="000000"/>
          <w:sz w:val="24"/>
          <w:szCs w:val="24"/>
          <w:lang w:val="id-ID"/>
        </w:rPr>
        <w:t xml:space="preserve"> (Ministry of Religious Affairs, 2011: 3).</w:t>
      </w:r>
    </w:p>
    <w:p w14:paraId="50C4A555" w14:textId="77777777" w:rsidR="00E005C2" w:rsidRPr="00956542" w:rsidRDefault="00E005C2" w:rsidP="00275200">
      <w:pPr>
        <w:spacing w:after="0" w:line="240" w:lineRule="auto"/>
        <w:ind w:firstLine="567"/>
        <w:rPr>
          <w:rFonts w:ascii="Goudy Old Style" w:hAnsi="Goudy Old Style"/>
          <w:color w:val="000000"/>
          <w:sz w:val="24"/>
          <w:szCs w:val="24"/>
          <w:lang w:val="id-ID"/>
        </w:rPr>
      </w:pPr>
      <w:r w:rsidRPr="00956542">
        <w:rPr>
          <w:rFonts w:ascii="Goudy Old Style" w:hAnsi="Goudy Old Style"/>
          <w:color w:val="000000"/>
          <w:sz w:val="24"/>
          <w:szCs w:val="24"/>
          <w:lang w:val="id-ID"/>
        </w:rPr>
        <w:t>In Islam, Muslim thinkers are divided into three opinions on the form of the state. The first group, which includes prominent figures such as Abu’ Ala al-Mawdudi, Hasan al-Banna, and Sayyid Qutub, advocates for the establishment of a government based on Islamic sharia, as exemplified during the Prophet Muhammad’s era in Mecca and Medina. They contend that the state must be founded on the principles outlined in the Qur’an and Hadith. In the contemporary Indonesian context, Hizbut Tahrir Indonesia (HTI) is among the groups that advocate for this perspective.</w:t>
      </w:r>
    </w:p>
    <w:p w14:paraId="23077C8E" w14:textId="77777777" w:rsidR="00E005C2" w:rsidRPr="00956542" w:rsidRDefault="00E005C2" w:rsidP="00275200">
      <w:pPr>
        <w:spacing w:after="0" w:line="240" w:lineRule="auto"/>
        <w:ind w:firstLine="567"/>
        <w:rPr>
          <w:rFonts w:ascii="Goudy Old Style" w:hAnsi="Goudy Old Style"/>
          <w:color w:val="000000"/>
          <w:sz w:val="24"/>
          <w:szCs w:val="24"/>
          <w:lang w:val="id-ID"/>
        </w:rPr>
      </w:pPr>
      <w:r w:rsidRPr="00956542">
        <w:rPr>
          <w:rFonts w:ascii="Goudy Old Style" w:hAnsi="Goudy Old Style"/>
          <w:color w:val="000000"/>
          <w:sz w:val="24"/>
          <w:szCs w:val="24"/>
          <w:lang w:val="id-ID"/>
        </w:rPr>
        <w:t>The second school of thought posits that religion (Islam) ought to be disentangled from the state. This secular perspective positions religion as a private matter, akin to its practice in Turkey during the era of Mustafa Kemal Attaturk or in communist China. The third viewpoint asserts that Islam does not possess a distinct constitutional framework; instead, it is characterized by a set of ethical values for state life (Ministry of Religious Affairs of the Republic of Indonesia, 2011: 7). This third form of state is exemplified by modern countries that substantively incorporate ethical values based on the Qur’an, such as Indonesia and other Islamic countries (Ministry of Religious Affairs, 2011, 1).</w:t>
      </w:r>
    </w:p>
    <w:p w14:paraId="714222C8" w14:textId="77777777" w:rsidR="00E005C2" w:rsidRPr="00956542" w:rsidRDefault="00E005C2" w:rsidP="00275200">
      <w:pPr>
        <w:spacing w:after="0" w:line="240" w:lineRule="auto"/>
        <w:ind w:firstLine="567"/>
        <w:rPr>
          <w:rFonts w:ascii="Goudy Old Style" w:hAnsi="Goudy Old Style"/>
          <w:color w:val="000000"/>
          <w:sz w:val="24"/>
          <w:szCs w:val="24"/>
          <w:lang w:val="id-ID"/>
        </w:rPr>
      </w:pPr>
      <w:r w:rsidRPr="00956542">
        <w:rPr>
          <w:rFonts w:ascii="Goudy Old Style" w:hAnsi="Goudy Old Style"/>
          <w:color w:val="000000"/>
          <w:sz w:val="24"/>
          <w:szCs w:val="24"/>
          <w:lang w:val="id-ID"/>
        </w:rPr>
        <w:t>According to the TIMRA, Islam does not strictly regulate the form and system of statehood. Muslims can develop their form concerning the values taught in the Qur’an. This is exemplified by the appointment of the four Khulafa’ al-Rashidin, who were selected through diverse systems according to society’s prevailing circumstances and conditions during their tenure (Ministry of Religious Affairs, 2011, 1). The third caliph, Abu Bakar al-Siddiq, was chosen through ijma’ (consensus) of the companions after deliberation and consensus. The second caliph, Umar bin Khatab, was selected through a will from his predecessor. Following this, he was enthroned at the Prophet’s Mosque (Ministry of Religious Affairs, 2011: 8-9).</w:t>
      </w:r>
    </w:p>
    <w:p w14:paraId="113D52A3" w14:textId="77777777" w:rsidR="00E005C2" w:rsidRPr="00956542" w:rsidRDefault="00E005C2" w:rsidP="00275200">
      <w:pPr>
        <w:spacing w:after="0" w:line="240" w:lineRule="auto"/>
        <w:ind w:firstLine="567"/>
        <w:rPr>
          <w:rFonts w:ascii="Goudy Old Style" w:hAnsi="Goudy Old Style"/>
          <w:color w:val="000000"/>
          <w:sz w:val="24"/>
          <w:szCs w:val="24"/>
          <w:lang w:val="id-ID"/>
        </w:rPr>
      </w:pPr>
      <w:r w:rsidRPr="00956542">
        <w:rPr>
          <w:rFonts w:ascii="Goudy Old Style" w:hAnsi="Goudy Old Style"/>
          <w:color w:val="000000"/>
          <w:sz w:val="24"/>
          <w:szCs w:val="24"/>
          <w:lang w:val="id-ID"/>
        </w:rPr>
        <w:t>The third caliph, Uthman bin’ Affan, was selected by the senior Companions and appointed by the preceding caliph. Meanwhile, Ali bin Abi Talib was elected as the fourth caliph with the endorsement of the senior Companions through an electoral process. The several electoral systems employed for each caliph indicate that Islam did not establish a specific method for selecting a head of state. How the head of state is elected may vary, but it must still be consistent with Islamic values (Ministry of Religious Affairs of the Republic of Indonesia, 2011: 9).</w:t>
      </w:r>
    </w:p>
    <w:p w14:paraId="7897F3FB" w14:textId="77777777" w:rsidR="00E005C2" w:rsidRPr="00956542" w:rsidRDefault="00E005C2" w:rsidP="00275200">
      <w:pPr>
        <w:spacing w:after="0" w:line="240" w:lineRule="auto"/>
        <w:ind w:firstLine="567"/>
        <w:rPr>
          <w:rFonts w:ascii="Goudy Old Style" w:hAnsi="Goudy Old Style"/>
          <w:color w:val="000000"/>
          <w:sz w:val="24"/>
          <w:szCs w:val="24"/>
          <w:lang w:val="id-ID"/>
        </w:rPr>
      </w:pPr>
      <w:r w:rsidRPr="00956542">
        <w:rPr>
          <w:rFonts w:ascii="Goudy Old Style" w:hAnsi="Goudy Old Style"/>
          <w:color w:val="000000"/>
          <w:sz w:val="24"/>
          <w:szCs w:val="24"/>
          <w:lang w:val="id-ID"/>
        </w:rPr>
        <w:t xml:space="preserve">The TIMRA’s position is that the Qur’an merely provides the fundamental principles of governance without offering a detailed framework for establishing a state. </w:t>
      </w:r>
      <w:r w:rsidRPr="00956542">
        <w:rPr>
          <w:rFonts w:ascii="Goudy Old Style" w:hAnsi="Goudy Old Style"/>
          <w:color w:val="000000"/>
          <w:sz w:val="24"/>
          <w:szCs w:val="24"/>
          <w:lang w:val="id-ID"/>
        </w:rPr>
        <w:lastRenderedPageBreak/>
        <w:t xml:space="preserve">This, the TIMRA contends, enables state officials to select their preferred system of governance while still adhering to Islamic principles to the evolving needs and circumstances of the era (Ministry of Religious Affairs, 2011: 185). The TIMRA further asserts that numerous principles govern the state, including trustworthiness, justice, and deliberation, among others (Ministry of Religious Affairs, 2011: 98). According to the TIMRA, state-related issues can be resolved through a multifaceted approach, encompassing the Qur’an, Sunnah, and ijtihad / ra’yu (Ministry of Religious Affairs, 2011: 148). </w:t>
      </w:r>
    </w:p>
    <w:p w14:paraId="7877C9EF" w14:textId="77777777" w:rsidR="00E005C2" w:rsidRPr="00956542" w:rsidRDefault="00E005C2" w:rsidP="00275200">
      <w:pPr>
        <w:spacing w:after="0" w:line="240" w:lineRule="auto"/>
        <w:ind w:firstLine="567"/>
        <w:rPr>
          <w:rFonts w:ascii="Goudy Old Style" w:eastAsia="Arial" w:hAnsi="Goudy Old Style"/>
          <w:color w:val="252525"/>
          <w:sz w:val="24"/>
          <w:szCs w:val="24"/>
          <w:lang w:val="id-ID"/>
        </w:rPr>
      </w:pPr>
      <w:r w:rsidRPr="00956542">
        <w:rPr>
          <w:rFonts w:ascii="Goudy Old Style" w:eastAsia="Arial" w:hAnsi="Goudy Old Style"/>
          <w:color w:val="252525"/>
          <w:sz w:val="24"/>
          <w:szCs w:val="24"/>
          <w:lang w:val="id-ID"/>
        </w:rPr>
        <w:t>The TIMRA’s perspective challenges the positions of those who advocate for establishing an Islamic state or the Khilafah Islamiyyah, asserting that the Khilafah represents the authentic Islamic system. Additionally, it challenges the perspectives of groups such as ‘leftist Islam’ organizations, exemplified by Sayyid Qutb’s accusations that the majority of Muslim nations are jahiliyyah states. It also counters the viewpoint of Abu’ Ala al-Mawdudi, who advocates for establishing an Islamic state governed by shari’a law (Qutb: 123; Mawdudi: 195). Consequently, this perspective can serve as a substantial foundation for asserting that the Indonesian state does not contradict Islamic principles, as outlined in the Qur’an and Sunnah.</w:t>
      </w:r>
    </w:p>
    <w:p w14:paraId="268AC971" w14:textId="77777777" w:rsidR="00E005C2" w:rsidRPr="00956542" w:rsidRDefault="00E005C2" w:rsidP="00275200">
      <w:pPr>
        <w:spacing w:after="0" w:line="240" w:lineRule="auto"/>
        <w:ind w:firstLine="567"/>
        <w:rPr>
          <w:rFonts w:ascii="Goudy Old Style" w:eastAsia="Arial" w:hAnsi="Goudy Old Style"/>
          <w:color w:val="252525"/>
          <w:sz w:val="24"/>
          <w:szCs w:val="24"/>
          <w:lang w:val="id-ID"/>
        </w:rPr>
      </w:pPr>
      <w:r w:rsidRPr="00956542">
        <w:rPr>
          <w:rFonts w:ascii="Goudy Old Style" w:eastAsia="Arial" w:hAnsi="Goudy Old Style"/>
          <w:color w:val="252525"/>
          <w:sz w:val="24"/>
          <w:szCs w:val="24"/>
          <w:lang w:val="id-ID"/>
        </w:rPr>
        <w:t>In light of these considerations, TIMRA does not offer a definitive endorsement of any specific form of state, whether it be the Khilafah Islamiyyah advocated by the HTI group or a secular state espoused by the communists. Instead, TIMRA asserts that the form of state can vary, provided it aligns with the tenets of Islamic teachings. The notion of freedom in the selection of the state form is further substantiated by the historical precedent of the appointment of caliphs, which has manifested in diverse forms, including the election of Caliph Abu Bakar al-Shiddiq and Caliph Ali bin Abi Talib.</w:t>
      </w:r>
    </w:p>
    <w:p w14:paraId="355EB204" w14:textId="77777777" w:rsidR="00E005C2" w:rsidRPr="00956542" w:rsidRDefault="00E005C2" w:rsidP="00275200">
      <w:pPr>
        <w:spacing w:after="0" w:line="240" w:lineRule="auto"/>
        <w:ind w:firstLine="567"/>
        <w:rPr>
          <w:rFonts w:ascii="Goudy Old Style" w:eastAsia="Arial" w:hAnsi="Goudy Old Style"/>
          <w:color w:val="252525"/>
          <w:sz w:val="24"/>
          <w:szCs w:val="24"/>
          <w:lang w:val="id-ID"/>
        </w:rPr>
      </w:pPr>
    </w:p>
    <w:p w14:paraId="0CE0259D" w14:textId="77777777" w:rsidR="00E005C2" w:rsidRPr="00956542" w:rsidRDefault="00E005C2" w:rsidP="00275200">
      <w:pPr>
        <w:spacing w:after="0" w:line="240" w:lineRule="auto"/>
        <w:rPr>
          <w:rFonts w:ascii="Goudy Old Style" w:hAnsi="Goudy Old Style"/>
          <w:b/>
          <w:bCs/>
          <w:sz w:val="24"/>
          <w:szCs w:val="24"/>
          <w:lang w:val="id-ID"/>
        </w:rPr>
      </w:pPr>
      <w:r w:rsidRPr="00956542">
        <w:rPr>
          <w:rFonts w:ascii="Goudy Old Style" w:hAnsi="Goudy Old Style"/>
          <w:b/>
          <w:bCs/>
          <w:sz w:val="24"/>
          <w:szCs w:val="24"/>
        </w:rPr>
        <w:t>TIMRA</w:t>
      </w:r>
      <w:r w:rsidRPr="00956542">
        <w:rPr>
          <w:rFonts w:ascii="Goudy Old Style" w:hAnsi="Goudy Old Style"/>
          <w:b/>
          <w:bCs/>
          <w:sz w:val="24"/>
          <w:szCs w:val="24"/>
          <w:lang w:val="id-ID"/>
        </w:rPr>
        <w:t xml:space="preserve"> Readers’ Response: Degradation of Authority and Ideological Bias</w:t>
      </w:r>
    </w:p>
    <w:p w14:paraId="0E0FA991" w14:textId="77777777" w:rsidR="00E005C2" w:rsidRPr="00956542" w:rsidRDefault="00E005C2" w:rsidP="00275200">
      <w:pPr>
        <w:spacing w:after="0" w:line="240" w:lineRule="auto"/>
        <w:ind w:firstLine="720"/>
        <w:rPr>
          <w:rFonts w:ascii="Goudy Old Style" w:hAnsi="Goudy Old Style"/>
          <w:sz w:val="24"/>
          <w:szCs w:val="24"/>
          <w:lang w:val="id-ID"/>
        </w:rPr>
      </w:pPr>
      <w:r w:rsidRPr="00956542">
        <w:rPr>
          <w:rFonts w:ascii="Goudy Old Style" w:hAnsi="Goudy Old Style"/>
          <w:sz w:val="24"/>
          <w:szCs w:val="24"/>
          <w:lang w:val="id-ID"/>
        </w:rPr>
        <w:t>The writing of the TIMRA, which was produced by scholars at the behest and under the direction of the government, has led to a degradation of the religious authority of the mufasir. This, in turn, has resulted in an ineffective counter-narrative process within the TIMRA. Readers no longer regard the TIMRA’s writing as the result of the ulama’s interpretation. Instead, the mufasirs are seen as being influenced by ideological interests and the pressure of state power. This ideological influence, perceived by readers as a potential threat to the integrity of mufasir scholarship, has led to a decline in the religious authority of the mufasir. This decline can be observed in the reluctance of readers to refer to or even reject the works of the TIMRA, perceiving them as influenced by the state’s ideological bias.</w:t>
      </w:r>
    </w:p>
    <w:p w14:paraId="09E8D5A1" w14:textId="77777777" w:rsidR="00E005C2" w:rsidRPr="00956542" w:rsidRDefault="00E005C2" w:rsidP="00275200">
      <w:pPr>
        <w:spacing w:after="0" w:line="240" w:lineRule="auto"/>
        <w:ind w:firstLine="720"/>
        <w:rPr>
          <w:rFonts w:ascii="Goudy Old Style" w:hAnsi="Goudy Old Style"/>
          <w:sz w:val="24"/>
          <w:szCs w:val="24"/>
          <w:lang w:val="id-ID"/>
        </w:rPr>
      </w:pPr>
      <w:r w:rsidRPr="00956542">
        <w:rPr>
          <w:rFonts w:ascii="Goudy Old Style" w:hAnsi="Goudy Old Style"/>
          <w:sz w:val="24"/>
          <w:szCs w:val="24"/>
          <w:lang w:val="id-ID"/>
        </w:rPr>
        <w:t>The practice of composing TIMRA in a group setting has diminished scholars’ esteem for the mufasir. This decline is discernible in the responses of scholars who have authored articles on TIMRA and in the reactions of teachers, students, and activists of Qur’anic tafsir studies in Indonesia. Many factors have contributed to this phenomenon, leading to a decline in the status of TIMRA’s mufasir.</w:t>
      </w:r>
    </w:p>
    <w:p w14:paraId="44582C92" w14:textId="77777777" w:rsidR="00E005C2" w:rsidRPr="00956542" w:rsidRDefault="00E005C2" w:rsidP="00275200">
      <w:pPr>
        <w:spacing w:after="0" w:line="240" w:lineRule="auto"/>
        <w:ind w:firstLine="720"/>
        <w:rPr>
          <w:rFonts w:ascii="Goudy Old Style" w:hAnsi="Goudy Old Style"/>
          <w:sz w:val="24"/>
          <w:szCs w:val="24"/>
          <w:lang w:val="id-ID"/>
        </w:rPr>
      </w:pPr>
      <w:r w:rsidRPr="00956542">
        <w:rPr>
          <w:rFonts w:ascii="Goudy Old Style" w:hAnsi="Goudy Old Style"/>
          <w:sz w:val="24"/>
          <w:szCs w:val="24"/>
          <w:lang w:val="id-ID"/>
        </w:rPr>
        <w:t xml:space="preserve">The readers claim that TIMRA is a Quranic interpretation written at the initiative of a government agent, in this case, the LPMQ, which is under the institution of the Ministry of Religious Affairs. Tafsir al-Qur’an, initiated by government officials, restricts the mufasir’s freedom to express his thoughts and interpretations. This restriction can be seen when mufasirs cannot freely express their opinions on issues that are considered sensitive and controversial, especially on gender issues. In fact, on </w:t>
      </w:r>
      <w:r w:rsidRPr="00956542">
        <w:rPr>
          <w:rFonts w:ascii="Goudy Old Style" w:hAnsi="Goudy Old Style"/>
          <w:sz w:val="24"/>
          <w:szCs w:val="24"/>
          <w:lang w:val="id-ID"/>
        </w:rPr>
        <w:lastRenderedPageBreak/>
        <w:t>some contentious issues, the views of some TIMRA mufasirs who are somewhat different tend to be marginalized and even not presented. Even if given, they tend to be criticized and set aside.</w:t>
      </w:r>
    </w:p>
    <w:p w14:paraId="05B2C7E4" w14:textId="77777777" w:rsidR="00E005C2" w:rsidRPr="00956542" w:rsidRDefault="00E005C2" w:rsidP="00275200">
      <w:pPr>
        <w:spacing w:after="0" w:line="240" w:lineRule="auto"/>
        <w:ind w:firstLine="720"/>
        <w:rPr>
          <w:rFonts w:ascii="Goudy Old Style" w:hAnsi="Goudy Old Style"/>
          <w:sz w:val="24"/>
          <w:szCs w:val="24"/>
          <w:lang w:val="id-ID"/>
        </w:rPr>
      </w:pPr>
      <w:r w:rsidRPr="00956542">
        <w:rPr>
          <w:rFonts w:ascii="Goudy Old Style" w:hAnsi="Goudy Old Style"/>
          <w:sz w:val="24"/>
          <w:szCs w:val="24"/>
          <w:lang w:val="id-ID"/>
        </w:rPr>
        <w:t xml:space="preserve">The erosion of authority by TIMRA readers is also predicated on using hermeneutic or power relations theory. According to the latter, the TIMRA content is significantly influenced by governmental pressure and power. This assertion is further substantiated by the observation that, from the initial funding stage to the selection of the mufasir team, the choice of themes, the editorial process, the publication stage, and the dissemination of TIMRA, the organization is heavily influenced by agents in collaboration with government institutions. Despite the TIMRA’s efforts to assemble a group of mufasirs perceived to be autonomous, it is challenging for the TIMRA to completely disassociate itself from the influence and objectives of state power. </w:t>
      </w:r>
    </w:p>
    <w:p w14:paraId="36AB2A0E" w14:textId="77777777" w:rsidR="00E005C2" w:rsidRPr="00956542" w:rsidRDefault="00E005C2" w:rsidP="00275200">
      <w:pPr>
        <w:spacing w:after="0" w:line="240" w:lineRule="auto"/>
        <w:ind w:firstLine="720"/>
        <w:rPr>
          <w:rFonts w:ascii="Goudy Old Style" w:hAnsi="Goudy Old Style"/>
          <w:sz w:val="24"/>
          <w:szCs w:val="24"/>
          <w:lang w:val="id-ID"/>
        </w:rPr>
      </w:pPr>
      <w:r w:rsidRPr="00956542">
        <w:rPr>
          <w:rFonts w:ascii="Goudy Old Style" w:hAnsi="Goudy Old Style"/>
          <w:sz w:val="24"/>
          <w:szCs w:val="24"/>
          <w:lang w:val="id-ID"/>
        </w:rPr>
        <w:t>The content of TIMRA frequently opposes the interpretations put forth by individual mufasirs. About feminist issues, TIMRA asserts that women should not assume leadership roles in the state or government, nor should they occupy positions that demand physical strength or arduous labor. TIMRA asserts that women’s leadership is more effectively suited to roles and professions that align with their bodily nature, such as leading educational institutions, healthcare, and other institutions congruent with women’s physical form. In response to these misogynistic and patriarchal interpretations, TIMRA readers contend that TIMRA’s mufasirs have compromised their independence.</w:t>
      </w:r>
    </w:p>
    <w:p w14:paraId="5F7925B7" w14:textId="77777777" w:rsidR="00E005C2" w:rsidRPr="00956542" w:rsidRDefault="00E005C2" w:rsidP="00275200">
      <w:pPr>
        <w:spacing w:after="0" w:line="240" w:lineRule="auto"/>
        <w:ind w:firstLine="720"/>
        <w:rPr>
          <w:rFonts w:ascii="Goudy Old Style" w:hAnsi="Goudy Old Style"/>
          <w:sz w:val="24"/>
          <w:szCs w:val="24"/>
          <w:lang w:val="id-ID"/>
        </w:rPr>
      </w:pPr>
      <w:r w:rsidRPr="00956542">
        <w:rPr>
          <w:rFonts w:ascii="Goudy Old Style" w:hAnsi="Goudy Old Style"/>
          <w:sz w:val="24"/>
          <w:szCs w:val="24"/>
          <w:lang w:val="id-ID"/>
        </w:rPr>
        <w:t>According to Shihab, Umar, Khuzaimah, and Rofi’ah, the aforementioned mufasirs and other scholars within the TIMRA espouse progressive ideologies and advocate for gender justice. Consequently, it is improbable that their interpretations of the Qur’an will contradict the principles of gender justice. However, their stance on women’s leadership contradicts the views of feminists. In Tafsir al-Misbah, Shihab’s interpretation of Surah al-Nisa [4]: 1 and 34 asserts that men and women possess equal opportunities to compete for the role of head of state, disregarding the notion that physical differences preclude women from assuming such positions (M. Quraish Shihab, 2002; Shihab, 2004).</w:t>
      </w:r>
    </w:p>
    <w:p w14:paraId="45A8B406" w14:textId="77777777" w:rsidR="00E005C2" w:rsidRPr="00956542" w:rsidRDefault="00E005C2" w:rsidP="00275200">
      <w:pPr>
        <w:spacing w:after="0" w:line="240" w:lineRule="auto"/>
        <w:ind w:firstLine="720"/>
        <w:rPr>
          <w:rFonts w:ascii="Goudy Old Style" w:hAnsi="Goudy Old Style"/>
          <w:sz w:val="24"/>
          <w:szCs w:val="24"/>
          <w:lang w:val="id-ID"/>
        </w:rPr>
      </w:pPr>
      <w:r w:rsidRPr="00956542">
        <w:rPr>
          <w:rFonts w:ascii="Goudy Old Style" w:hAnsi="Goudy Old Style"/>
          <w:sz w:val="24"/>
          <w:szCs w:val="24"/>
          <w:lang w:val="id-ID"/>
        </w:rPr>
        <w:t>Two Qur’anic scholars, Huzaimah and Rofi’ah, who have produced several gender-progressive ideas, are regarded as unlikely to issue misogynistic Qur’anic interpretations and subjugate women. Similarly, Umar, a scholar who strongly criticizes gender bias in the understanding of the Qur’an, is regarded as impossible to issue misogynistic religious views that demean women. In light of these contradictory facts, TIMRA readers believe that the spiritual authority of tafsir writers has been diminished due to the influence of state control and public opinion.</w:t>
      </w:r>
    </w:p>
    <w:p w14:paraId="740F1C26" w14:textId="77777777" w:rsidR="00E005C2" w:rsidRPr="00956542" w:rsidRDefault="00E005C2" w:rsidP="00275200">
      <w:pPr>
        <w:spacing w:after="0" w:line="240" w:lineRule="auto"/>
        <w:ind w:firstLine="720"/>
        <w:rPr>
          <w:rFonts w:ascii="Goudy Old Style" w:hAnsi="Goudy Old Style"/>
          <w:sz w:val="24"/>
          <w:szCs w:val="24"/>
          <w:lang w:val="id-ID"/>
        </w:rPr>
      </w:pPr>
      <w:r w:rsidRPr="00956542">
        <w:rPr>
          <w:rFonts w:ascii="Goudy Old Style" w:hAnsi="Goudy Old Style"/>
          <w:sz w:val="24"/>
          <w:szCs w:val="24"/>
          <w:lang w:val="id-ID"/>
        </w:rPr>
        <w:t>In addressing the concept of aurat, TIMRA asserts that the entire female body, except the face and palms, is considered aurat. Consequently, both regions must be covered, and the law of wearing the jilbab is obligatory for Muslim women. However, the interpretation of the jilbab varies among TIMRA authors, with M. Quraish Shihab holding a distinct view. In several of his written works, Shihab conceptualizes the jilbab as a garment bestowed upon women as a symbol of honor. Consequently, the jilbab’s design does not necessitate comprehensive body coverage, excluding the face and palms. This discrepancy in opinion among mufasir, or Islamic scholars, on the same issue, as evidenced by the varied interpretations of the jilbab in different literary works, gives rise to the notion among readers that the mufassir’s capacity to express interpretative creativity may be constrained.</w:t>
      </w:r>
    </w:p>
    <w:p w14:paraId="02B7D312" w14:textId="77777777" w:rsidR="00E005C2" w:rsidRPr="00956542" w:rsidRDefault="00E005C2" w:rsidP="00275200">
      <w:pPr>
        <w:spacing w:after="0" w:line="240" w:lineRule="auto"/>
        <w:ind w:firstLine="720"/>
        <w:rPr>
          <w:rFonts w:ascii="Goudy Old Style" w:hAnsi="Goudy Old Style"/>
          <w:sz w:val="24"/>
          <w:szCs w:val="24"/>
          <w:lang w:val="id-ID"/>
        </w:rPr>
      </w:pPr>
      <w:r w:rsidRPr="00956542">
        <w:rPr>
          <w:rFonts w:ascii="Goudy Old Style" w:hAnsi="Goudy Old Style"/>
          <w:sz w:val="24"/>
          <w:szCs w:val="24"/>
          <w:lang w:val="id-ID"/>
        </w:rPr>
        <w:lastRenderedPageBreak/>
        <w:t>The same can be said of the theme of the state system. For readers of TIMRA, the Islamic Khilafah system is a proven system that the Companions of the Prophet have practiced. Indeed, several texts command us to follow the Salaf al-Salih, including the Companions, one of the references in Islam. While the Qur’an does not explicitly address the establishment of the Islamic Caliphate system, the period of Islamic history during the time of the Prophet, who himself practiced the Caliphate system, provides compelling evidence that the system was a viable solution to the several challenges faced by the people.</w:t>
      </w:r>
    </w:p>
    <w:p w14:paraId="6129175A" w14:textId="77777777" w:rsidR="00E005C2" w:rsidRPr="00956542" w:rsidRDefault="00E005C2" w:rsidP="00275200">
      <w:pPr>
        <w:spacing w:after="0" w:line="240" w:lineRule="auto"/>
        <w:ind w:firstLine="720"/>
        <w:rPr>
          <w:rFonts w:ascii="Goudy Old Style" w:hAnsi="Goudy Old Style"/>
          <w:sz w:val="24"/>
          <w:szCs w:val="24"/>
          <w:lang w:val="id-ID"/>
        </w:rPr>
      </w:pPr>
      <w:r w:rsidRPr="00956542">
        <w:rPr>
          <w:rFonts w:ascii="Goudy Old Style" w:hAnsi="Goudy Old Style"/>
          <w:sz w:val="24"/>
          <w:szCs w:val="24"/>
          <w:lang w:val="id-ID"/>
        </w:rPr>
        <w:t>Concerning the composition of the mufasirs, the TIMRA is regarded as an ideological interpretation of the government due to its failure to accommodate the perspectives of alternative religious groups. Notably, the mufasirs involved in the composition of the TIMRA are exclusively affiliated with the Ministry of Religious Affairs and mainstream religious groups. This suspicion of ideological interpretation is further compounded by the fact that the TIMRA refers to this interpretation as an RPJMN project. Additionally, the absence of accommodation for dissenting opinions from minority groups within the TIMRA contributes to this suspicion. Furthermore, the diminution of the music’s authority in the TIMRA is attributable to the substantial dissemination of classical tafsir in Indonesia, encompassing both the original electronic version and its translated iterations. These commentaries are widely accessible, significantly influencing the evolution of Islamic studies in Indonesia. Furthermore, individual classical commentaries from the Middle East are often regarded as more authoritative than Qur’anic commentaries produced by Indonesian scholars.</w:t>
      </w:r>
    </w:p>
    <w:p w14:paraId="0071D249" w14:textId="77777777" w:rsidR="00E005C2" w:rsidRPr="00956542" w:rsidRDefault="00E005C2" w:rsidP="00275200">
      <w:pPr>
        <w:tabs>
          <w:tab w:val="left" w:pos="567"/>
        </w:tabs>
        <w:spacing w:after="0" w:line="240" w:lineRule="auto"/>
        <w:rPr>
          <w:rFonts w:ascii="Goudy Old Style" w:hAnsi="Goudy Old Style"/>
          <w:sz w:val="24"/>
          <w:szCs w:val="24"/>
          <w:lang w:val="id-ID"/>
        </w:rPr>
      </w:pPr>
      <w:r w:rsidRPr="00956542">
        <w:rPr>
          <w:rFonts w:ascii="Goudy Old Style" w:hAnsi="Goudy Old Style"/>
          <w:sz w:val="24"/>
          <w:szCs w:val="24"/>
          <w:lang w:val="id-ID"/>
        </w:rPr>
        <w:tab/>
        <w:t>In addition to the aforementioned internal factors, the socialization factor of TIMRA is suboptimal, thereby contributing to the degradation of this tafsir. Surveys and interviews with respondents from several backgrounds, including academics, community members, students, and activists specializing in al-Qur’anic studies, revealed a lack of familiarity with and recognition of TIMRA among the surveyed population. Despite its publication from 2008 to 2012, the discourse of al-Qur’anic studies in Indonesia remains predominantly influenced by other publications. A survey of the extant literature reveals no more than 30 writings in articles and theses/dissertations about TIMRA, either in Indonesian or foreign languages. This figure is particularly noteworthy because TIMRA has been published and circulated since 2008. Furthermore, studies on TIMRA have been undertaken with a certain degree of superficiality, with the majority being conducted by researchers with limited expertise in the field. Notably, prominent Indonesianists such as Riddel, Pink, Feener, and Saeed have not referenced TIMRA in their extant writings (Feener, 2007; Johns et al., 2004; Riddell, 2014).</w:t>
      </w:r>
    </w:p>
    <w:p w14:paraId="299CE4EE" w14:textId="77777777" w:rsidR="00E005C2" w:rsidRPr="00956542" w:rsidRDefault="00E005C2" w:rsidP="00275200">
      <w:pPr>
        <w:tabs>
          <w:tab w:val="left" w:pos="567"/>
        </w:tabs>
        <w:spacing w:after="0" w:line="240" w:lineRule="auto"/>
        <w:rPr>
          <w:rFonts w:ascii="Goudy Old Style" w:hAnsi="Goudy Old Style"/>
          <w:sz w:val="24"/>
          <w:szCs w:val="24"/>
          <w:lang w:val="id-ID"/>
        </w:rPr>
      </w:pPr>
      <w:r w:rsidRPr="00956542">
        <w:rPr>
          <w:rFonts w:ascii="Goudy Old Style" w:hAnsi="Goudy Old Style"/>
          <w:sz w:val="24"/>
          <w:szCs w:val="24"/>
          <w:lang w:val="id-ID"/>
        </w:rPr>
        <w:tab/>
        <w:t xml:space="preserve">Furthermore, the Ministry of Religious Affairs/LPMQ has mainstreamed counter-narratives in TIMRA through conventional media outlets, with minimal utilization of digital media platforms. The dissemination of TIMRA tafsir books via traditional media channels encompasses government agencies, STAIN/IAIN/UIN campuses, foundations, boarding schools, and other religious institutions. In contrast, the digital space has been addressed through social media platforms such as Facebook and YouTube, albeit with limited effectiveness (Tapsell, 2014). The Ministry of Religious Affairs’ approach demonstrates a preference for conventional media over digital media, contributing to the lower popularity of TIMRA compared to other interpretation products. The unpopularity of TIMRA can also be attributed to limited </w:t>
      </w:r>
      <w:r w:rsidRPr="00956542">
        <w:rPr>
          <w:rFonts w:ascii="Goudy Old Style" w:hAnsi="Goudy Old Style"/>
          <w:sz w:val="24"/>
          <w:szCs w:val="24"/>
          <w:lang w:val="id-ID"/>
        </w:rPr>
        <w:lastRenderedPageBreak/>
        <w:t>socialization funds, which have hindered its widespread reach and contributed to its relative unpopularity within Indonesian society (Rakhmani, 2013).</w:t>
      </w:r>
    </w:p>
    <w:p w14:paraId="030750F6" w14:textId="77777777" w:rsidR="00E005C2" w:rsidRPr="00956542" w:rsidRDefault="00E005C2" w:rsidP="00275200">
      <w:pPr>
        <w:tabs>
          <w:tab w:val="left" w:pos="567"/>
        </w:tabs>
        <w:spacing w:after="0" w:line="240" w:lineRule="auto"/>
        <w:rPr>
          <w:rFonts w:ascii="Goudy Old Style" w:hAnsi="Goudy Old Style"/>
          <w:sz w:val="24"/>
          <w:szCs w:val="24"/>
          <w:lang w:val="id-ID"/>
        </w:rPr>
      </w:pPr>
    </w:p>
    <w:p w14:paraId="4AB9ABD2" w14:textId="77777777" w:rsidR="00E005C2" w:rsidRPr="00956542" w:rsidRDefault="00E005C2" w:rsidP="00275200">
      <w:pPr>
        <w:spacing w:after="0" w:line="240" w:lineRule="auto"/>
        <w:rPr>
          <w:rFonts w:ascii="Goudy Old Style" w:hAnsi="Goudy Old Style"/>
          <w:sz w:val="24"/>
          <w:szCs w:val="24"/>
          <w:lang w:val="id-ID"/>
        </w:rPr>
      </w:pPr>
      <w:r w:rsidRPr="00956542">
        <w:rPr>
          <w:rFonts w:ascii="Goudy Old Style" w:eastAsia="Arial" w:hAnsi="Goudy Old Style"/>
          <w:b/>
          <w:bCs/>
          <w:color w:val="252525"/>
          <w:sz w:val="24"/>
          <w:szCs w:val="24"/>
          <w:lang w:val="id-ID"/>
        </w:rPr>
        <w:t xml:space="preserve">Conclusion </w:t>
      </w:r>
    </w:p>
    <w:p w14:paraId="50016D32" w14:textId="77777777" w:rsidR="00E005C2" w:rsidRPr="00956542" w:rsidRDefault="00E005C2" w:rsidP="00275200">
      <w:pPr>
        <w:tabs>
          <w:tab w:val="left" w:pos="567"/>
        </w:tabs>
        <w:spacing w:after="0" w:line="240" w:lineRule="auto"/>
        <w:rPr>
          <w:rFonts w:ascii="Goudy Old Style" w:hAnsi="Goudy Old Style"/>
          <w:sz w:val="24"/>
          <w:szCs w:val="24"/>
          <w:lang w:val="id-ID"/>
        </w:rPr>
      </w:pPr>
      <w:r w:rsidRPr="00956542">
        <w:rPr>
          <w:rFonts w:ascii="Goudy Old Style" w:hAnsi="Goudy Old Style"/>
          <w:sz w:val="24"/>
          <w:szCs w:val="24"/>
          <w:lang w:val="id-ID"/>
        </w:rPr>
        <w:tab/>
        <w:t>This article concludes that the TIMRA, a text produced by groups initiated by the Ministry of Religious Affairs, can potentially diminish the religious authority of the mufasir. The process of making the TIMRA, from the initial funding stage through the selection of the mufasir team, the determination of the theme, the editing, the publishing, and the dissemination, lends itself to the perception of the TIMRA as the government’s rendition of ideological interpretation. Consequently, the content of the TIMRA is no longer regarded as solely the product of individual scholars’ interpretations but rather as being influenced by ideological interests</w:t>
      </w:r>
      <w:r w:rsidRPr="00956542">
        <w:rPr>
          <w:rFonts w:ascii="Goudy Old Style" w:hAnsi="Goudy Old Style"/>
          <w:sz w:val="24"/>
          <w:szCs w:val="24"/>
        </w:rPr>
        <w:t xml:space="preserve">, </w:t>
      </w:r>
      <w:r w:rsidRPr="00956542">
        <w:rPr>
          <w:rFonts w:ascii="Goudy Old Style" w:hAnsi="Goudy Old Style"/>
          <w:sz w:val="24"/>
          <w:szCs w:val="24"/>
          <w:lang w:val="id-ID"/>
        </w:rPr>
        <w:t>state power</w:t>
      </w:r>
      <w:r w:rsidRPr="00956542">
        <w:rPr>
          <w:rFonts w:ascii="Goudy Old Style" w:hAnsi="Goudy Old Style"/>
          <w:sz w:val="24"/>
          <w:szCs w:val="24"/>
        </w:rPr>
        <w:t>, and the will of majority interpreters</w:t>
      </w:r>
      <w:r w:rsidRPr="00956542">
        <w:rPr>
          <w:rFonts w:ascii="Goudy Old Style" w:hAnsi="Goudy Old Style"/>
          <w:sz w:val="24"/>
          <w:szCs w:val="24"/>
          <w:lang w:val="id-ID"/>
        </w:rPr>
        <w:t>. This viewpoint has led to the perception that the TIMRA functions as a counter-narrative instrument of the Ministry of Religious Affairs, hindering its effectiveness. Scholars’ responses to its content can gauge the effectiveness of the TIMRA. These scholars have been known to disparage the authority of the mufasir, citing the Ministry’s utilization of the TIMRA as a governmental interpretation of the Qur’an. The validity of this assertion is substantiated by the observation that, in numerous instances, the mufasir within the TIMRA framework cannot articulate divergent viewpoints independently. Furthermore, these perspectives often contradict the mufasir’s articulated positions in separate writings. Additionally, the rejection of the Ministry’s interpretation is also based on minimal socialization, so readers are not familiar with the content of TIMRA.</w:t>
      </w:r>
    </w:p>
    <w:p w14:paraId="152C42C7" w14:textId="4B5C6C8E" w:rsidR="009573DF" w:rsidRPr="00956542" w:rsidRDefault="009573DF" w:rsidP="00275200">
      <w:pPr>
        <w:tabs>
          <w:tab w:val="left" w:pos="567"/>
        </w:tabs>
        <w:spacing w:after="0" w:line="240" w:lineRule="auto"/>
        <w:rPr>
          <w:rFonts w:ascii="Goudy Old Style" w:hAnsi="Goudy Old Style"/>
          <w:sz w:val="24"/>
          <w:szCs w:val="24"/>
          <w:lang w:val="id-ID"/>
        </w:rPr>
      </w:pPr>
    </w:p>
    <w:p w14:paraId="72A58248" w14:textId="67ED098C" w:rsidR="002E1332" w:rsidRPr="00956542" w:rsidRDefault="002E1332" w:rsidP="00275200">
      <w:pPr>
        <w:tabs>
          <w:tab w:val="left" w:pos="567"/>
        </w:tabs>
        <w:spacing w:after="0" w:line="240" w:lineRule="auto"/>
        <w:rPr>
          <w:rFonts w:ascii="Goudy Old Style" w:eastAsia="Arial" w:hAnsi="Goudy Old Style"/>
          <w:b/>
          <w:bCs/>
          <w:color w:val="252525"/>
          <w:sz w:val="24"/>
          <w:szCs w:val="24"/>
          <w:lang w:val="id-ID"/>
        </w:rPr>
      </w:pPr>
      <w:r w:rsidRPr="00956542">
        <w:rPr>
          <w:rFonts w:ascii="Goudy Old Style" w:eastAsia="Arial" w:hAnsi="Goudy Old Style"/>
          <w:b/>
          <w:bCs/>
          <w:color w:val="252525"/>
          <w:sz w:val="24"/>
          <w:szCs w:val="24"/>
          <w:lang w:val="id-ID"/>
        </w:rPr>
        <w:t>REFERENCES</w:t>
      </w:r>
    </w:p>
    <w:p w14:paraId="799C98D3" w14:textId="6BA8DBB9" w:rsidR="008F121C" w:rsidRPr="00956542" w:rsidRDefault="00893F9C" w:rsidP="00275200">
      <w:pPr>
        <w:widowControl w:val="0"/>
        <w:autoSpaceDE w:val="0"/>
        <w:autoSpaceDN w:val="0"/>
        <w:adjustRightInd w:val="0"/>
        <w:spacing w:after="0" w:line="240" w:lineRule="auto"/>
        <w:ind w:left="480" w:hanging="480"/>
        <w:rPr>
          <w:rFonts w:ascii="Goudy Old Style" w:hAnsi="Goudy Old Style"/>
          <w:noProof/>
          <w:sz w:val="24"/>
          <w:szCs w:val="24"/>
        </w:rPr>
      </w:pPr>
      <w:r w:rsidRPr="00956542">
        <w:rPr>
          <w:rFonts w:ascii="Goudy Old Style" w:eastAsia="Arial" w:hAnsi="Goudy Old Style"/>
          <w:b/>
          <w:bCs/>
          <w:color w:val="252525"/>
          <w:sz w:val="24"/>
          <w:szCs w:val="24"/>
          <w:lang w:val="id-ID"/>
        </w:rPr>
        <w:fldChar w:fldCharType="begin" w:fldLock="1"/>
      </w:r>
      <w:r w:rsidRPr="00956542">
        <w:rPr>
          <w:rFonts w:ascii="Goudy Old Style" w:eastAsia="Arial" w:hAnsi="Goudy Old Style"/>
          <w:b/>
          <w:bCs/>
          <w:color w:val="252525"/>
          <w:sz w:val="24"/>
          <w:szCs w:val="24"/>
          <w:lang w:val="id-ID"/>
        </w:rPr>
        <w:instrText xml:space="preserve">ADDIN Mendeley Bibliography CSL_BIBLIOGRAPHY </w:instrText>
      </w:r>
      <w:r w:rsidRPr="00956542">
        <w:rPr>
          <w:rFonts w:ascii="Goudy Old Style" w:eastAsia="Arial" w:hAnsi="Goudy Old Style"/>
          <w:b/>
          <w:bCs/>
          <w:color w:val="252525"/>
          <w:sz w:val="24"/>
          <w:szCs w:val="24"/>
          <w:lang w:val="id-ID"/>
        </w:rPr>
        <w:fldChar w:fldCharType="separate"/>
      </w:r>
      <w:r w:rsidR="008F121C" w:rsidRPr="00956542">
        <w:rPr>
          <w:rFonts w:ascii="Goudy Old Style" w:hAnsi="Goudy Old Style"/>
          <w:noProof/>
          <w:sz w:val="24"/>
          <w:szCs w:val="24"/>
        </w:rPr>
        <w:t xml:space="preserve">Al-Shalabi, J. (2011). The Amman Message: Arab Diplomacy in the Dialogue of Civilizations. </w:t>
      </w:r>
      <w:r w:rsidR="008F121C" w:rsidRPr="00956542">
        <w:rPr>
          <w:rFonts w:ascii="Goudy Old Style" w:hAnsi="Goudy Old Style"/>
          <w:i/>
          <w:iCs/>
          <w:noProof/>
          <w:sz w:val="24"/>
          <w:szCs w:val="24"/>
        </w:rPr>
        <w:t>Journal of US-China Public Administration</w:t>
      </w:r>
      <w:r w:rsidR="008F121C" w:rsidRPr="00956542">
        <w:rPr>
          <w:rFonts w:ascii="Goudy Old Style" w:hAnsi="Goudy Old Style"/>
          <w:noProof/>
          <w:sz w:val="24"/>
          <w:szCs w:val="24"/>
        </w:rPr>
        <w:t xml:space="preserve">, </w:t>
      </w:r>
      <w:r w:rsidR="008F121C" w:rsidRPr="00956542">
        <w:rPr>
          <w:rFonts w:ascii="Goudy Old Style" w:hAnsi="Goudy Old Style"/>
          <w:i/>
          <w:iCs/>
          <w:noProof/>
          <w:sz w:val="24"/>
          <w:szCs w:val="24"/>
        </w:rPr>
        <w:t>8</w:t>
      </w:r>
      <w:r w:rsidR="008F121C" w:rsidRPr="00956542">
        <w:rPr>
          <w:rFonts w:ascii="Goudy Old Style" w:hAnsi="Goudy Old Style"/>
          <w:noProof/>
          <w:sz w:val="24"/>
          <w:szCs w:val="24"/>
        </w:rPr>
        <w:t>(12), 1375–1392.</w:t>
      </w:r>
    </w:p>
    <w:p w14:paraId="079FC733"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rPr>
      </w:pPr>
      <w:r w:rsidRPr="00956542">
        <w:rPr>
          <w:rFonts w:ascii="Goudy Old Style" w:hAnsi="Goudy Old Style"/>
          <w:noProof/>
          <w:sz w:val="24"/>
          <w:szCs w:val="24"/>
        </w:rPr>
        <w:t xml:space="preserve">Fealy, G. (2004). Islamic Radicalism in Indonesia: The Faltering Revival? </w:t>
      </w:r>
      <w:r w:rsidRPr="00956542">
        <w:rPr>
          <w:rFonts w:ascii="Goudy Old Style" w:hAnsi="Goudy Old Style"/>
          <w:i/>
          <w:iCs/>
          <w:noProof/>
          <w:sz w:val="24"/>
          <w:szCs w:val="24"/>
        </w:rPr>
        <w:t>Southeast Asian Affairs 2004</w:t>
      </w:r>
      <w:r w:rsidRPr="00956542">
        <w:rPr>
          <w:rFonts w:ascii="Goudy Old Style" w:hAnsi="Goudy Old Style"/>
          <w:noProof/>
          <w:sz w:val="24"/>
          <w:szCs w:val="24"/>
        </w:rPr>
        <w:t xml:space="preserve">, </w:t>
      </w:r>
      <w:r w:rsidRPr="00956542">
        <w:rPr>
          <w:rFonts w:ascii="Goudy Old Style" w:hAnsi="Goudy Old Style"/>
          <w:i/>
          <w:iCs/>
          <w:noProof/>
          <w:sz w:val="24"/>
          <w:szCs w:val="24"/>
        </w:rPr>
        <w:t>2004</w:t>
      </w:r>
      <w:r w:rsidRPr="00956542">
        <w:rPr>
          <w:rFonts w:ascii="Goudy Old Style" w:hAnsi="Goudy Old Style"/>
          <w:noProof/>
          <w:sz w:val="24"/>
          <w:szCs w:val="24"/>
        </w:rPr>
        <w:t>(1), 104–121. https://doi.org/10.1355/seaa04h</w:t>
      </w:r>
    </w:p>
    <w:p w14:paraId="17A99C6A"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rPr>
      </w:pPr>
      <w:r w:rsidRPr="00956542">
        <w:rPr>
          <w:rFonts w:ascii="Goudy Old Style" w:hAnsi="Goudy Old Style"/>
          <w:noProof/>
          <w:sz w:val="24"/>
          <w:szCs w:val="24"/>
        </w:rPr>
        <w:t xml:space="preserve">Feener, R. M. (2007). Muslim legal thought in modern Indonesia. </w:t>
      </w:r>
      <w:r w:rsidRPr="00956542">
        <w:rPr>
          <w:rFonts w:ascii="Goudy Old Style" w:hAnsi="Goudy Old Style"/>
          <w:i/>
          <w:iCs/>
          <w:noProof/>
          <w:sz w:val="24"/>
          <w:szCs w:val="24"/>
        </w:rPr>
        <w:t>Muslim Legal Thought in Modern Indonesia</w:t>
      </w:r>
      <w:r w:rsidRPr="00956542">
        <w:rPr>
          <w:rFonts w:ascii="Goudy Old Style" w:hAnsi="Goudy Old Style"/>
          <w:noProof/>
          <w:sz w:val="24"/>
          <w:szCs w:val="24"/>
        </w:rPr>
        <w:t xml:space="preserve">, </w:t>
      </w:r>
      <w:r w:rsidRPr="00956542">
        <w:rPr>
          <w:rFonts w:ascii="Goudy Old Style" w:hAnsi="Goudy Old Style"/>
          <w:i/>
          <w:iCs/>
          <w:noProof/>
          <w:sz w:val="24"/>
          <w:szCs w:val="24"/>
        </w:rPr>
        <w:t>December</w:t>
      </w:r>
      <w:r w:rsidRPr="00956542">
        <w:rPr>
          <w:rFonts w:ascii="Goudy Old Style" w:hAnsi="Goudy Old Style"/>
          <w:noProof/>
          <w:sz w:val="24"/>
          <w:szCs w:val="24"/>
        </w:rPr>
        <w:t>, 1–270. https://doi.org/10.1017/CBO9780511495540</w:t>
      </w:r>
    </w:p>
    <w:p w14:paraId="60E23A6A"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lang w:val="pt-BR"/>
        </w:rPr>
      </w:pPr>
      <w:r w:rsidRPr="00956542">
        <w:rPr>
          <w:rFonts w:ascii="Goudy Old Style" w:hAnsi="Goudy Old Style"/>
          <w:noProof/>
          <w:sz w:val="24"/>
          <w:szCs w:val="24"/>
          <w:lang w:val="pt-BR"/>
        </w:rPr>
        <w:t xml:space="preserve">Hawwa, S. (1985). </w:t>
      </w:r>
      <w:r w:rsidRPr="00956542">
        <w:rPr>
          <w:rFonts w:ascii="Goudy Old Style" w:hAnsi="Goudy Old Style"/>
          <w:i/>
          <w:iCs/>
          <w:noProof/>
          <w:sz w:val="24"/>
          <w:szCs w:val="24"/>
          <w:lang w:val="pt-BR"/>
        </w:rPr>
        <w:t>Al-Asas fi al-Tafsir</w:t>
      </w:r>
      <w:r w:rsidRPr="00956542">
        <w:rPr>
          <w:rFonts w:ascii="Goudy Old Style" w:hAnsi="Goudy Old Style"/>
          <w:noProof/>
          <w:sz w:val="24"/>
          <w:szCs w:val="24"/>
          <w:lang w:val="pt-BR"/>
        </w:rPr>
        <w:t>. Dar al-Salam.</w:t>
      </w:r>
    </w:p>
    <w:p w14:paraId="61E7DF47"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lang w:val="pt-BR"/>
        </w:rPr>
      </w:pPr>
      <w:r w:rsidRPr="00956542">
        <w:rPr>
          <w:rFonts w:ascii="Goudy Old Style" w:hAnsi="Goudy Old Style"/>
          <w:noProof/>
          <w:sz w:val="24"/>
          <w:szCs w:val="24"/>
          <w:lang w:val="pt-BR"/>
        </w:rPr>
        <w:t xml:space="preserve">Jahroni, J. (2015). </w:t>
      </w:r>
      <w:r w:rsidRPr="00956542">
        <w:rPr>
          <w:rFonts w:ascii="Goudy Old Style" w:hAnsi="Goudy Old Style"/>
          <w:noProof/>
          <w:sz w:val="24"/>
          <w:szCs w:val="24"/>
        </w:rPr>
        <w:t xml:space="preserve">The Political Economy of Knowledge: Salafism in Post-Soeharto Urban Indonesia. </w:t>
      </w:r>
      <w:r w:rsidRPr="00956542">
        <w:rPr>
          <w:rFonts w:ascii="Goudy Old Style" w:hAnsi="Goudy Old Style"/>
          <w:i/>
          <w:iCs/>
          <w:noProof/>
          <w:sz w:val="24"/>
          <w:szCs w:val="24"/>
          <w:lang w:val="pt-BR"/>
        </w:rPr>
        <w:t>Boston University</w:t>
      </w:r>
      <w:r w:rsidRPr="00956542">
        <w:rPr>
          <w:rFonts w:ascii="Goudy Old Style" w:hAnsi="Goudy Old Style"/>
          <w:noProof/>
          <w:sz w:val="24"/>
          <w:szCs w:val="24"/>
          <w:lang w:val="pt-BR"/>
        </w:rPr>
        <w:t xml:space="preserve">, </w:t>
      </w:r>
      <w:r w:rsidRPr="00956542">
        <w:rPr>
          <w:rFonts w:ascii="Goudy Old Style" w:hAnsi="Goudy Old Style"/>
          <w:i/>
          <w:iCs/>
          <w:noProof/>
          <w:sz w:val="24"/>
          <w:szCs w:val="24"/>
          <w:lang w:val="pt-BR"/>
        </w:rPr>
        <w:t>53</w:t>
      </w:r>
      <w:r w:rsidRPr="00956542">
        <w:rPr>
          <w:rFonts w:ascii="Goudy Old Style" w:hAnsi="Goudy Old Style"/>
          <w:noProof/>
          <w:sz w:val="24"/>
          <w:szCs w:val="24"/>
          <w:lang w:val="pt-BR"/>
        </w:rPr>
        <w:t>(9), 1689–1699. https://www.scoutsecuador.org/site/sites/default/files/%5Bbiblioteca%5D/5.1 Conservacion de alimentos y Recetas sencillas.pdf%0Ahttp://publications.lib.chalmers.se/records/fulltext/245180/245180.pdf%0Ahttps://hdl.handle.net/20.500.12380/245180%0Ahttp://dx</w:t>
      </w:r>
    </w:p>
    <w:p w14:paraId="176DA0C7" w14:textId="24302E5B"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rPr>
      </w:pPr>
      <w:r w:rsidRPr="00956542">
        <w:rPr>
          <w:rFonts w:ascii="Goudy Old Style" w:hAnsi="Goudy Old Style"/>
          <w:noProof/>
          <w:sz w:val="24"/>
          <w:szCs w:val="24"/>
        </w:rPr>
        <w:t xml:space="preserve">Jahroni, J. (2020). Saudi Arabia charity and the institutionalization of Indonesian </w:t>
      </w:r>
      <w:r w:rsidR="004F369B" w:rsidRPr="00956542">
        <w:rPr>
          <w:rFonts w:ascii="Goudy Old Style" w:hAnsi="Goudy Old Style"/>
          <w:noProof/>
          <w:sz w:val="24"/>
          <w:szCs w:val="24"/>
        </w:rPr>
        <w:t>Salafism</w:t>
      </w:r>
      <w:r w:rsidRPr="00956542">
        <w:rPr>
          <w:rFonts w:ascii="Goudy Old Style" w:hAnsi="Goudy Old Style"/>
          <w:noProof/>
          <w:sz w:val="24"/>
          <w:szCs w:val="24"/>
        </w:rPr>
        <w:t xml:space="preserve">. </w:t>
      </w:r>
      <w:r w:rsidRPr="00956542">
        <w:rPr>
          <w:rFonts w:ascii="Goudy Old Style" w:hAnsi="Goudy Old Style"/>
          <w:i/>
          <w:iCs/>
          <w:noProof/>
          <w:sz w:val="24"/>
          <w:szCs w:val="24"/>
        </w:rPr>
        <w:t>Al-Jami’ah</w:t>
      </w:r>
      <w:r w:rsidRPr="00956542">
        <w:rPr>
          <w:rFonts w:ascii="Goudy Old Style" w:hAnsi="Goudy Old Style"/>
          <w:noProof/>
          <w:sz w:val="24"/>
          <w:szCs w:val="24"/>
        </w:rPr>
        <w:t xml:space="preserve">, </w:t>
      </w:r>
      <w:r w:rsidRPr="00956542">
        <w:rPr>
          <w:rFonts w:ascii="Goudy Old Style" w:hAnsi="Goudy Old Style"/>
          <w:i/>
          <w:iCs/>
          <w:noProof/>
          <w:sz w:val="24"/>
          <w:szCs w:val="24"/>
        </w:rPr>
        <w:t>58</w:t>
      </w:r>
      <w:r w:rsidRPr="00956542">
        <w:rPr>
          <w:rFonts w:ascii="Goudy Old Style" w:hAnsi="Goudy Old Style"/>
          <w:noProof/>
          <w:sz w:val="24"/>
          <w:szCs w:val="24"/>
        </w:rPr>
        <w:t>(1), 35–62. https://doi.org/10.14421/ajis.2020.581.35-62</w:t>
      </w:r>
    </w:p>
    <w:p w14:paraId="63BDC10A"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lang w:val="fi-FI"/>
        </w:rPr>
      </w:pPr>
      <w:r w:rsidRPr="00956542">
        <w:rPr>
          <w:rFonts w:ascii="Goudy Old Style" w:hAnsi="Goudy Old Style"/>
          <w:noProof/>
          <w:sz w:val="24"/>
          <w:szCs w:val="24"/>
        </w:rPr>
        <w:t xml:space="preserve">Johns, A. H., Saeed, A., &amp; Madjid, N. (2004). Nurcholish Madjid and the interpretation of the Qur’an: religious pluralism and tolerance. </w:t>
      </w:r>
      <w:r w:rsidRPr="00956542">
        <w:rPr>
          <w:rFonts w:ascii="Goudy Old Style" w:hAnsi="Goudy Old Style"/>
          <w:i/>
          <w:iCs/>
          <w:noProof/>
          <w:sz w:val="24"/>
          <w:szCs w:val="24"/>
        </w:rPr>
        <w:t xml:space="preserve">Modern Muslim Intellectuals and the Qur’an. Ed. Suha Taji-Farouki BT  - Modern Muslim Intellectuals and the Qur’an. </w:t>
      </w:r>
      <w:r w:rsidRPr="00956542">
        <w:rPr>
          <w:rFonts w:ascii="Goudy Old Style" w:hAnsi="Goudy Old Style"/>
          <w:i/>
          <w:iCs/>
          <w:noProof/>
          <w:sz w:val="24"/>
          <w:szCs w:val="24"/>
          <w:lang w:val="fi-FI"/>
        </w:rPr>
        <w:t>Ed. Suha Taji-Farouki</w:t>
      </w:r>
      <w:r w:rsidRPr="00956542">
        <w:rPr>
          <w:rFonts w:ascii="Goudy Old Style" w:hAnsi="Goudy Old Style"/>
          <w:noProof/>
          <w:sz w:val="24"/>
          <w:szCs w:val="24"/>
          <w:lang w:val="fi-FI"/>
        </w:rPr>
        <w:t>, 67–96. https://search.proquest.com/docview/43592555?accountid=27870%0Ahttp://hm4ze3yc3c.search.serialssolutions.com/directLink?&amp;atitle=Modern+Muslim+intellectuals+and+the+Qur%27an.+Ed.+Suha+Taji-</w:t>
      </w:r>
      <w:r w:rsidRPr="00956542">
        <w:rPr>
          <w:rFonts w:ascii="Goudy Old Style" w:hAnsi="Goudy Old Style"/>
          <w:noProof/>
          <w:sz w:val="24"/>
          <w:szCs w:val="24"/>
          <w:lang w:val="fi-FI"/>
        </w:rPr>
        <w:lastRenderedPageBreak/>
        <w:t>Farouki&amp;author=Johns%2C+Anthony+H.%3BSaeed%2C+Abdullah%3BMadjid%2C+</w:t>
      </w:r>
    </w:p>
    <w:p w14:paraId="01A3992B"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lang w:val="fi-FI"/>
        </w:rPr>
      </w:pPr>
      <w:r w:rsidRPr="00956542">
        <w:rPr>
          <w:rFonts w:ascii="Goudy Old Style" w:hAnsi="Goudy Old Style"/>
          <w:noProof/>
          <w:sz w:val="24"/>
          <w:szCs w:val="24"/>
          <w:lang w:val="fi-FI"/>
        </w:rPr>
        <w:t xml:space="preserve">Kementerian Agama RI. (2009). </w:t>
      </w:r>
      <w:r w:rsidRPr="00956542">
        <w:rPr>
          <w:rFonts w:ascii="Goudy Old Style" w:hAnsi="Goudy Old Style"/>
          <w:i/>
          <w:iCs/>
          <w:noProof/>
          <w:sz w:val="24"/>
          <w:szCs w:val="24"/>
          <w:lang w:val="fi-FI"/>
        </w:rPr>
        <w:t>Kedudukan dan Peran Perempuan: Tafsir al-Qur’an Tematik</w:t>
      </w:r>
      <w:r w:rsidRPr="00956542">
        <w:rPr>
          <w:rFonts w:ascii="Goudy Old Style" w:hAnsi="Goudy Old Style"/>
          <w:noProof/>
          <w:sz w:val="24"/>
          <w:szCs w:val="24"/>
          <w:lang w:val="fi-FI"/>
        </w:rPr>
        <w:t>. Lajnah Pentashihan Mushaf Al-Qur’an.</w:t>
      </w:r>
    </w:p>
    <w:p w14:paraId="7C37B5BF"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lang w:val="fi-FI"/>
        </w:rPr>
      </w:pPr>
      <w:r w:rsidRPr="00956542">
        <w:rPr>
          <w:rFonts w:ascii="Goudy Old Style" w:hAnsi="Goudy Old Style"/>
          <w:noProof/>
          <w:sz w:val="24"/>
          <w:szCs w:val="24"/>
          <w:lang w:val="fi-FI"/>
        </w:rPr>
        <w:t xml:space="preserve">Kementerian Agama RI. (2011). </w:t>
      </w:r>
      <w:r w:rsidRPr="00956542">
        <w:rPr>
          <w:rFonts w:ascii="Goudy Old Style" w:hAnsi="Goudy Old Style"/>
          <w:i/>
          <w:iCs/>
          <w:noProof/>
          <w:sz w:val="24"/>
          <w:szCs w:val="24"/>
          <w:lang w:val="fi-FI"/>
        </w:rPr>
        <w:t>Al-Qur’an dan Kenegaraan: Tafsir al-Qur’an Tematik</w:t>
      </w:r>
      <w:r w:rsidRPr="00956542">
        <w:rPr>
          <w:rFonts w:ascii="Goudy Old Style" w:hAnsi="Goudy Old Style"/>
          <w:noProof/>
          <w:sz w:val="24"/>
          <w:szCs w:val="24"/>
          <w:lang w:val="fi-FI"/>
        </w:rPr>
        <w:t>. Lajnah Pentashihan Mushaf Al-Qur’an.</w:t>
      </w:r>
    </w:p>
    <w:p w14:paraId="00446A43"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rPr>
      </w:pPr>
      <w:r w:rsidRPr="00956542">
        <w:rPr>
          <w:rFonts w:ascii="Goudy Old Style" w:hAnsi="Goudy Old Style"/>
          <w:noProof/>
          <w:sz w:val="24"/>
          <w:szCs w:val="24"/>
          <w:lang w:val="fi-FI"/>
        </w:rPr>
        <w:t xml:space="preserve">Kementerian Agama RI. (2012). </w:t>
      </w:r>
      <w:r w:rsidRPr="00956542">
        <w:rPr>
          <w:rFonts w:ascii="Goudy Old Style" w:hAnsi="Goudy Old Style"/>
          <w:i/>
          <w:iCs/>
          <w:noProof/>
          <w:sz w:val="24"/>
          <w:szCs w:val="24"/>
          <w:lang w:val="fi-FI"/>
        </w:rPr>
        <w:t>Jihad; Makna dan Implementasinya: Tafsir al-Qur’an Tematik</w:t>
      </w:r>
      <w:r w:rsidRPr="00956542">
        <w:rPr>
          <w:rFonts w:ascii="Goudy Old Style" w:hAnsi="Goudy Old Style"/>
          <w:noProof/>
          <w:sz w:val="24"/>
          <w:szCs w:val="24"/>
          <w:lang w:val="fi-FI"/>
        </w:rPr>
        <w:t xml:space="preserve">. </w:t>
      </w:r>
      <w:r w:rsidRPr="00956542">
        <w:rPr>
          <w:rFonts w:ascii="Goudy Old Style" w:hAnsi="Goudy Old Style"/>
          <w:noProof/>
          <w:sz w:val="24"/>
          <w:szCs w:val="24"/>
        </w:rPr>
        <w:t>Lajnah Pentashihan Mushaf Al-Qur’an.</w:t>
      </w:r>
    </w:p>
    <w:p w14:paraId="5BAD2D62"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rPr>
      </w:pPr>
      <w:r w:rsidRPr="00956542">
        <w:rPr>
          <w:rFonts w:ascii="Goudy Old Style" w:hAnsi="Goudy Old Style"/>
          <w:noProof/>
          <w:sz w:val="24"/>
          <w:szCs w:val="24"/>
        </w:rPr>
        <w:t xml:space="preserve">Kumar Ramakrishna. (2017). The Growth of ISIS Extremism in Southeast Asia: Its Ideological and Cognitive Features—and Possible Policy Responses. </w:t>
      </w:r>
      <w:r w:rsidRPr="00956542">
        <w:rPr>
          <w:rFonts w:ascii="Goudy Old Style" w:hAnsi="Goudy Old Style"/>
          <w:i/>
          <w:iCs/>
          <w:noProof/>
          <w:sz w:val="24"/>
          <w:szCs w:val="24"/>
        </w:rPr>
        <w:t>New England Journal of Public Policy</w:t>
      </w:r>
      <w:r w:rsidRPr="00956542">
        <w:rPr>
          <w:rFonts w:ascii="Goudy Old Style" w:hAnsi="Goudy Old Style"/>
          <w:noProof/>
          <w:sz w:val="24"/>
          <w:szCs w:val="24"/>
        </w:rPr>
        <w:t xml:space="preserve">, </w:t>
      </w:r>
      <w:r w:rsidRPr="00956542">
        <w:rPr>
          <w:rFonts w:ascii="Goudy Old Style" w:hAnsi="Goudy Old Style"/>
          <w:i/>
          <w:iCs/>
          <w:noProof/>
          <w:sz w:val="24"/>
          <w:szCs w:val="24"/>
        </w:rPr>
        <w:t>29</w:t>
      </w:r>
      <w:r w:rsidRPr="00956542">
        <w:rPr>
          <w:rFonts w:ascii="Goudy Old Style" w:hAnsi="Goudy Old Style"/>
          <w:noProof/>
          <w:sz w:val="24"/>
          <w:szCs w:val="24"/>
        </w:rPr>
        <w:t>(1). https://www.academia.edu/36215384/The_Growth_of_ISIS_Extremism_in_Southeast_Asia_Its_Ideological_and_Cognitive_Features_and_Possible_Policy_Responses?auto=download&amp;email_work_card=download-paper</w:t>
      </w:r>
    </w:p>
    <w:p w14:paraId="1DB2E66A"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rPr>
      </w:pPr>
      <w:r w:rsidRPr="00956542">
        <w:rPr>
          <w:rFonts w:ascii="Goudy Old Style" w:hAnsi="Goudy Old Style"/>
          <w:noProof/>
          <w:sz w:val="24"/>
          <w:szCs w:val="24"/>
        </w:rPr>
        <w:t xml:space="preserve">M. Quraish Shihab. (2002). </w:t>
      </w:r>
      <w:r w:rsidRPr="00956542">
        <w:rPr>
          <w:rFonts w:ascii="Goudy Old Style" w:hAnsi="Goudy Old Style"/>
          <w:i/>
          <w:iCs/>
          <w:noProof/>
          <w:sz w:val="24"/>
          <w:szCs w:val="24"/>
        </w:rPr>
        <w:t>Tafsir al-Misbah: Pesan, Kesan, dan Keserasian al-Qur’an</w:t>
      </w:r>
      <w:r w:rsidRPr="00956542">
        <w:rPr>
          <w:rFonts w:ascii="Goudy Old Style" w:hAnsi="Goudy Old Style"/>
          <w:noProof/>
          <w:sz w:val="24"/>
          <w:szCs w:val="24"/>
        </w:rPr>
        <w:t>. Lentera Hati.</w:t>
      </w:r>
    </w:p>
    <w:p w14:paraId="733E4240" w14:textId="2E85044D"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rPr>
      </w:pPr>
      <w:r w:rsidRPr="00956542">
        <w:rPr>
          <w:rFonts w:ascii="Goudy Old Style" w:hAnsi="Goudy Old Style"/>
          <w:noProof/>
          <w:sz w:val="24"/>
          <w:szCs w:val="24"/>
        </w:rPr>
        <w:t xml:space="preserve">Nabers, D. dan R. G. P. (2010). </w:t>
      </w:r>
      <w:r w:rsidRPr="00956542">
        <w:rPr>
          <w:rFonts w:ascii="Goudy Old Style" w:hAnsi="Goudy Old Style"/>
          <w:i/>
          <w:iCs/>
          <w:noProof/>
          <w:sz w:val="24"/>
          <w:szCs w:val="24"/>
        </w:rPr>
        <w:t xml:space="preserve">“Bush’s Political Fundamentalism and the War Against </w:t>
      </w:r>
      <w:r w:rsidR="004F369B" w:rsidRPr="00956542">
        <w:rPr>
          <w:rFonts w:ascii="Goudy Old Style" w:hAnsi="Goudy Old Style"/>
          <w:i/>
          <w:iCs/>
          <w:noProof/>
          <w:sz w:val="24"/>
          <w:szCs w:val="24"/>
        </w:rPr>
        <w:t>Militant</w:t>
      </w:r>
      <w:r w:rsidRPr="00956542">
        <w:rPr>
          <w:rFonts w:ascii="Goudy Old Style" w:hAnsi="Goudy Old Style"/>
          <w:i/>
          <w:iCs/>
          <w:noProof/>
          <w:sz w:val="24"/>
          <w:szCs w:val="24"/>
        </w:rPr>
        <w:t xml:space="preserve"> Islam: the US-European Divide” dalam Muslims in the West after 9/11: Religions, Politics and Law</w:t>
      </w:r>
      <w:r w:rsidRPr="00956542">
        <w:rPr>
          <w:rFonts w:ascii="Goudy Old Style" w:hAnsi="Goudy Old Style"/>
          <w:noProof/>
          <w:sz w:val="24"/>
          <w:szCs w:val="24"/>
        </w:rPr>
        <w:t xml:space="preserve"> (Jocelyne Cesari (ed.)). Routledge.</w:t>
      </w:r>
    </w:p>
    <w:p w14:paraId="368097F9"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rPr>
      </w:pPr>
      <w:r w:rsidRPr="00956542">
        <w:rPr>
          <w:rFonts w:ascii="Goudy Old Style" w:hAnsi="Goudy Old Style"/>
          <w:noProof/>
          <w:sz w:val="24"/>
          <w:szCs w:val="24"/>
        </w:rPr>
        <w:t xml:space="preserve">Nurdin, A. (2022). </w:t>
      </w:r>
      <w:r w:rsidRPr="00956542">
        <w:rPr>
          <w:rFonts w:ascii="Goudy Old Style" w:hAnsi="Goudy Old Style"/>
          <w:i/>
          <w:iCs/>
          <w:noProof/>
          <w:sz w:val="24"/>
          <w:szCs w:val="24"/>
        </w:rPr>
        <w:t>Wawancara pribadi</w:t>
      </w:r>
      <w:r w:rsidRPr="00956542">
        <w:rPr>
          <w:rFonts w:ascii="Goudy Old Style" w:hAnsi="Goudy Old Style"/>
          <w:noProof/>
          <w:sz w:val="24"/>
          <w:szCs w:val="24"/>
        </w:rPr>
        <w:t>.</w:t>
      </w:r>
    </w:p>
    <w:p w14:paraId="7E52F5B5" w14:textId="43558F54"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rPr>
      </w:pPr>
      <w:r w:rsidRPr="00956542">
        <w:rPr>
          <w:rFonts w:ascii="Goudy Old Style" w:hAnsi="Goudy Old Style"/>
          <w:noProof/>
          <w:sz w:val="24"/>
          <w:szCs w:val="24"/>
        </w:rPr>
        <w:t xml:space="preserve">Powell, K. A. (2011). Framing </w:t>
      </w:r>
      <w:r w:rsidR="004F369B" w:rsidRPr="00956542">
        <w:rPr>
          <w:rFonts w:ascii="Goudy Old Style" w:hAnsi="Goudy Old Style"/>
          <w:noProof/>
          <w:sz w:val="24"/>
          <w:szCs w:val="24"/>
        </w:rPr>
        <w:t>Islam</w:t>
      </w:r>
      <w:r w:rsidRPr="00956542">
        <w:rPr>
          <w:rFonts w:ascii="Goudy Old Style" w:hAnsi="Goudy Old Style"/>
          <w:noProof/>
          <w:sz w:val="24"/>
          <w:szCs w:val="24"/>
        </w:rPr>
        <w:t xml:space="preserve">: An analysis of U.S. media coverage of terrorism since 9/11. </w:t>
      </w:r>
      <w:r w:rsidRPr="00956542">
        <w:rPr>
          <w:rFonts w:ascii="Goudy Old Style" w:hAnsi="Goudy Old Style"/>
          <w:i/>
          <w:iCs/>
          <w:noProof/>
          <w:sz w:val="24"/>
          <w:szCs w:val="24"/>
        </w:rPr>
        <w:t>Communication Studies</w:t>
      </w:r>
      <w:r w:rsidRPr="00956542">
        <w:rPr>
          <w:rFonts w:ascii="Goudy Old Style" w:hAnsi="Goudy Old Style"/>
          <w:noProof/>
          <w:sz w:val="24"/>
          <w:szCs w:val="24"/>
        </w:rPr>
        <w:t xml:space="preserve">, </w:t>
      </w:r>
      <w:r w:rsidRPr="00956542">
        <w:rPr>
          <w:rFonts w:ascii="Goudy Old Style" w:hAnsi="Goudy Old Style"/>
          <w:i/>
          <w:iCs/>
          <w:noProof/>
          <w:sz w:val="24"/>
          <w:szCs w:val="24"/>
        </w:rPr>
        <w:t>62</w:t>
      </w:r>
      <w:r w:rsidRPr="00956542">
        <w:rPr>
          <w:rFonts w:ascii="Goudy Old Style" w:hAnsi="Goudy Old Style"/>
          <w:noProof/>
          <w:sz w:val="24"/>
          <w:szCs w:val="24"/>
        </w:rPr>
        <w:t>(1), 90–112. https://doi.org/10.1080/10510974.2011.533599</w:t>
      </w:r>
    </w:p>
    <w:p w14:paraId="4FA9212E"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lang w:val="pt-BR"/>
        </w:rPr>
      </w:pPr>
      <w:r w:rsidRPr="00956542">
        <w:rPr>
          <w:rFonts w:ascii="Goudy Old Style" w:hAnsi="Goudy Old Style"/>
          <w:noProof/>
          <w:sz w:val="24"/>
          <w:szCs w:val="24"/>
        </w:rPr>
        <w:t xml:space="preserve">Qutb, S. (1993). </w:t>
      </w:r>
      <w:r w:rsidRPr="00956542">
        <w:rPr>
          <w:rFonts w:ascii="Goudy Old Style" w:hAnsi="Goudy Old Style"/>
          <w:i/>
          <w:iCs/>
          <w:noProof/>
          <w:sz w:val="24"/>
          <w:szCs w:val="24"/>
        </w:rPr>
        <w:t xml:space="preserve">Ma’alim fi al-Tariq. </w:t>
      </w:r>
      <w:r w:rsidRPr="00956542">
        <w:rPr>
          <w:rFonts w:ascii="Goudy Old Style" w:hAnsi="Goudy Old Style"/>
          <w:i/>
          <w:iCs/>
          <w:noProof/>
          <w:sz w:val="24"/>
          <w:szCs w:val="24"/>
          <w:lang w:val="pt-BR"/>
        </w:rPr>
        <w:t>Kairo</w:t>
      </w:r>
      <w:r w:rsidRPr="00956542">
        <w:rPr>
          <w:rFonts w:ascii="Goudy Old Style" w:hAnsi="Goudy Old Style"/>
          <w:noProof/>
          <w:sz w:val="24"/>
          <w:szCs w:val="24"/>
          <w:lang w:val="pt-BR"/>
        </w:rPr>
        <w:t>. Dar al-Shuruq.</w:t>
      </w:r>
    </w:p>
    <w:p w14:paraId="266AC871"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rPr>
      </w:pPr>
      <w:r w:rsidRPr="00956542">
        <w:rPr>
          <w:rFonts w:ascii="Goudy Old Style" w:hAnsi="Goudy Old Style"/>
          <w:noProof/>
          <w:sz w:val="24"/>
          <w:szCs w:val="24"/>
          <w:lang w:val="pt-BR"/>
        </w:rPr>
        <w:t xml:space="preserve">Rakhmani, I. (2013). </w:t>
      </w:r>
      <w:r w:rsidRPr="00956542">
        <w:rPr>
          <w:rFonts w:ascii="Goudy Old Style" w:hAnsi="Goudy Old Style"/>
          <w:noProof/>
          <w:sz w:val="24"/>
          <w:szCs w:val="24"/>
        </w:rPr>
        <w:t xml:space="preserve">Regime and representation: Islam in Indonesian television. </w:t>
      </w:r>
      <w:r w:rsidRPr="00956542">
        <w:rPr>
          <w:rFonts w:ascii="Goudy Old Style" w:hAnsi="Goudy Old Style"/>
          <w:i/>
          <w:iCs/>
          <w:noProof/>
          <w:sz w:val="24"/>
          <w:szCs w:val="24"/>
        </w:rPr>
        <w:t>RIMA: Review of Indonesian and Malaysian Affairs</w:t>
      </w:r>
      <w:r w:rsidRPr="00956542">
        <w:rPr>
          <w:rFonts w:ascii="Goudy Old Style" w:hAnsi="Goudy Old Style"/>
          <w:noProof/>
          <w:sz w:val="24"/>
          <w:szCs w:val="24"/>
        </w:rPr>
        <w:t xml:space="preserve">, </w:t>
      </w:r>
      <w:r w:rsidRPr="00956542">
        <w:rPr>
          <w:rFonts w:ascii="Goudy Old Style" w:hAnsi="Goudy Old Style"/>
          <w:i/>
          <w:iCs/>
          <w:noProof/>
          <w:sz w:val="24"/>
          <w:szCs w:val="24"/>
        </w:rPr>
        <w:t>47</w:t>
      </w:r>
      <w:r w:rsidRPr="00956542">
        <w:rPr>
          <w:rFonts w:ascii="Goudy Old Style" w:hAnsi="Goudy Old Style"/>
          <w:noProof/>
          <w:sz w:val="24"/>
          <w:szCs w:val="24"/>
        </w:rPr>
        <w:t>(1), 61–88.</w:t>
      </w:r>
    </w:p>
    <w:p w14:paraId="69984BA6" w14:textId="72487C48"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rPr>
      </w:pPr>
      <w:r w:rsidRPr="00956542">
        <w:rPr>
          <w:rFonts w:ascii="Goudy Old Style" w:hAnsi="Goudy Old Style"/>
          <w:noProof/>
          <w:sz w:val="24"/>
          <w:szCs w:val="24"/>
        </w:rPr>
        <w:t xml:space="preserve">Riddell, P. G. (2014). Translating the </w:t>
      </w:r>
      <w:r w:rsidR="004F369B" w:rsidRPr="00956542">
        <w:rPr>
          <w:rFonts w:ascii="Goudy Old Style" w:hAnsi="Goudy Old Style"/>
          <w:noProof/>
          <w:sz w:val="24"/>
          <w:szCs w:val="24"/>
        </w:rPr>
        <w:t>Qur’an</w:t>
      </w:r>
      <w:r w:rsidRPr="00956542">
        <w:rPr>
          <w:rFonts w:ascii="Goudy Old Style" w:hAnsi="Goudy Old Style"/>
          <w:noProof/>
          <w:sz w:val="24"/>
          <w:szCs w:val="24"/>
        </w:rPr>
        <w:t xml:space="preserve"> into Indonesian Languages. </w:t>
      </w:r>
      <w:r w:rsidRPr="00956542">
        <w:rPr>
          <w:rFonts w:ascii="Goudy Old Style" w:hAnsi="Goudy Old Style"/>
          <w:i/>
          <w:iCs/>
          <w:noProof/>
          <w:sz w:val="24"/>
          <w:szCs w:val="24"/>
        </w:rPr>
        <w:t>AlBayan</w:t>
      </w:r>
      <w:r w:rsidRPr="00956542">
        <w:rPr>
          <w:rFonts w:ascii="Goudy Old Style" w:hAnsi="Goudy Old Style"/>
          <w:noProof/>
          <w:sz w:val="24"/>
          <w:szCs w:val="24"/>
        </w:rPr>
        <w:t xml:space="preserve">, </w:t>
      </w:r>
      <w:r w:rsidRPr="00956542">
        <w:rPr>
          <w:rFonts w:ascii="Goudy Old Style" w:hAnsi="Goudy Old Style"/>
          <w:i/>
          <w:iCs/>
          <w:noProof/>
          <w:sz w:val="24"/>
          <w:szCs w:val="24"/>
        </w:rPr>
        <w:t>12</w:t>
      </w:r>
      <w:r w:rsidRPr="00956542">
        <w:rPr>
          <w:rFonts w:ascii="Goudy Old Style" w:hAnsi="Goudy Old Style"/>
          <w:noProof/>
          <w:sz w:val="24"/>
          <w:szCs w:val="24"/>
        </w:rPr>
        <w:t>(1), 1–27. https://doi.org/10.1163/22321969-12340001</w:t>
      </w:r>
    </w:p>
    <w:p w14:paraId="129B0CC7"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rPr>
      </w:pPr>
      <w:r w:rsidRPr="00956542">
        <w:rPr>
          <w:rFonts w:ascii="Goudy Old Style" w:hAnsi="Goudy Old Style"/>
          <w:noProof/>
          <w:sz w:val="24"/>
          <w:szCs w:val="24"/>
        </w:rPr>
        <w:t xml:space="preserve">Shihab, M. Q. (2004). </w:t>
      </w:r>
      <w:r w:rsidRPr="00956542">
        <w:rPr>
          <w:rFonts w:ascii="Goudy Old Style" w:hAnsi="Goudy Old Style"/>
          <w:i/>
          <w:iCs/>
          <w:noProof/>
          <w:sz w:val="24"/>
          <w:szCs w:val="24"/>
        </w:rPr>
        <w:t>Jilbab, Pakaian Wanita Muslimah: Pandangan Ulama Masa Lalu dan Cendikiawan Kontemporer</w:t>
      </w:r>
      <w:r w:rsidRPr="00956542">
        <w:rPr>
          <w:rFonts w:ascii="Goudy Old Style" w:hAnsi="Goudy Old Style"/>
          <w:noProof/>
          <w:sz w:val="24"/>
          <w:szCs w:val="24"/>
        </w:rPr>
        <w:t>. Lentera Hati.</w:t>
      </w:r>
    </w:p>
    <w:p w14:paraId="6145F03A"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rPr>
      </w:pPr>
      <w:r w:rsidRPr="00956542">
        <w:rPr>
          <w:rFonts w:ascii="Goudy Old Style" w:hAnsi="Goudy Old Style"/>
          <w:noProof/>
          <w:sz w:val="24"/>
          <w:szCs w:val="24"/>
        </w:rPr>
        <w:t xml:space="preserve">Smith, B. K., Stohl, M., &amp; al-Gharbi, M. (2019). Discourses on countering violent extremism: the strategic interplay between fear and security after 9/11. </w:t>
      </w:r>
      <w:r w:rsidRPr="00956542">
        <w:rPr>
          <w:rFonts w:ascii="Goudy Old Style" w:hAnsi="Goudy Old Style"/>
          <w:i/>
          <w:iCs/>
          <w:noProof/>
          <w:sz w:val="24"/>
          <w:szCs w:val="24"/>
        </w:rPr>
        <w:t>Critical Studies on Terrorism</w:t>
      </w:r>
      <w:r w:rsidRPr="00956542">
        <w:rPr>
          <w:rFonts w:ascii="Goudy Old Style" w:hAnsi="Goudy Old Style"/>
          <w:noProof/>
          <w:sz w:val="24"/>
          <w:szCs w:val="24"/>
        </w:rPr>
        <w:t xml:space="preserve">, </w:t>
      </w:r>
      <w:r w:rsidRPr="00956542">
        <w:rPr>
          <w:rFonts w:ascii="Goudy Old Style" w:hAnsi="Goudy Old Style"/>
          <w:i/>
          <w:iCs/>
          <w:noProof/>
          <w:sz w:val="24"/>
          <w:szCs w:val="24"/>
        </w:rPr>
        <w:t>12</w:t>
      </w:r>
      <w:r w:rsidRPr="00956542">
        <w:rPr>
          <w:rFonts w:ascii="Goudy Old Style" w:hAnsi="Goudy Old Style"/>
          <w:noProof/>
          <w:sz w:val="24"/>
          <w:szCs w:val="24"/>
        </w:rPr>
        <w:t>(1), 151–168. https://doi.org/10.1080/17539153.2018.1494793</w:t>
      </w:r>
    </w:p>
    <w:p w14:paraId="531DDB47"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rPr>
      </w:pPr>
      <w:r w:rsidRPr="00956542">
        <w:rPr>
          <w:rFonts w:ascii="Goudy Old Style" w:hAnsi="Goudy Old Style"/>
          <w:noProof/>
          <w:sz w:val="24"/>
          <w:szCs w:val="24"/>
        </w:rPr>
        <w:t xml:space="preserve">Styszynski, M. (2014). ISIS and Al Qaeda: Expanding the Jihadist Discourse. </w:t>
      </w:r>
      <w:r w:rsidRPr="00956542">
        <w:rPr>
          <w:rFonts w:ascii="Goudy Old Style" w:hAnsi="Goudy Old Style"/>
          <w:i/>
          <w:iCs/>
          <w:noProof/>
          <w:sz w:val="24"/>
          <w:szCs w:val="24"/>
        </w:rPr>
        <w:t>Counter Terrorist Trends and Analyses</w:t>
      </w:r>
      <w:r w:rsidRPr="00956542">
        <w:rPr>
          <w:rFonts w:ascii="Goudy Old Style" w:hAnsi="Goudy Old Style"/>
          <w:noProof/>
          <w:sz w:val="24"/>
          <w:szCs w:val="24"/>
        </w:rPr>
        <w:t xml:space="preserve">, </w:t>
      </w:r>
      <w:r w:rsidRPr="00956542">
        <w:rPr>
          <w:rFonts w:ascii="Goudy Old Style" w:hAnsi="Goudy Old Style"/>
          <w:i/>
          <w:iCs/>
          <w:noProof/>
          <w:sz w:val="24"/>
          <w:szCs w:val="24"/>
        </w:rPr>
        <w:t>6</w:t>
      </w:r>
      <w:r w:rsidRPr="00956542">
        <w:rPr>
          <w:rFonts w:ascii="Goudy Old Style" w:hAnsi="Goudy Old Style"/>
          <w:noProof/>
          <w:sz w:val="24"/>
          <w:szCs w:val="24"/>
        </w:rPr>
        <w:t>(8), 9–14.</w:t>
      </w:r>
    </w:p>
    <w:p w14:paraId="3B721673"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lang w:val="pt-BR"/>
        </w:rPr>
      </w:pPr>
      <w:r w:rsidRPr="00956542">
        <w:rPr>
          <w:rFonts w:ascii="Goudy Old Style" w:hAnsi="Goudy Old Style"/>
          <w:noProof/>
          <w:sz w:val="24"/>
          <w:szCs w:val="24"/>
        </w:rPr>
        <w:t xml:space="preserve">Tapsell, R. (2014). Digital Media in Indonesia and Malaysia: Convergence and Conglomeration. </w:t>
      </w:r>
      <w:r w:rsidRPr="00956542">
        <w:rPr>
          <w:rFonts w:ascii="Goudy Old Style" w:hAnsi="Goudy Old Style"/>
          <w:i/>
          <w:iCs/>
          <w:noProof/>
          <w:sz w:val="24"/>
          <w:szCs w:val="24"/>
          <w:lang w:val="pt-BR"/>
        </w:rPr>
        <w:t>Asiascape: Digital Asia</w:t>
      </w:r>
      <w:r w:rsidRPr="00956542">
        <w:rPr>
          <w:rFonts w:ascii="Goudy Old Style" w:hAnsi="Goudy Old Style"/>
          <w:noProof/>
          <w:sz w:val="24"/>
          <w:szCs w:val="24"/>
          <w:lang w:val="pt-BR"/>
        </w:rPr>
        <w:t xml:space="preserve">, </w:t>
      </w:r>
      <w:r w:rsidRPr="00956542">
        <w:rPr>
          <w:rFonts w:ascii="Goudy Old Style" w:hAnsi="Goudy Old Style"/>
          <w:i/>
          <w:iCs/>
          <w:noProof/>
          <w:sz w:val="24"/>
          <w:szCs w:val="24"/>
          <w:lang w:val="pt-BR"/>
        </w:rPr>
        <w:t>1</w:t>
      </w:r>
      <w:r w:rsidRPr="00956542">
        <w:rPr>
          <w:rFonts w:ascii="Goudy Old Style" w:hAnsi="Goudy Old Style"/>
          <w:noProof/>
          <w:sz w:val="24"/>
          <w:szCs w:val="24"/>
          <w:lang w:val="pt-BR"/>
        </w:rPr>
        <w:t>(3), 201–222. https://doi.org/10.1163/22142312-12340012</w:t>
      </w:r>
    </w:p>
    <w:p w14:paraId="22D40395"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szCs w:val="24"/>
          <w:lang w:val="pt-BR"/>
        </w:rPr>
      </w:pPr>
      <w:r w:rsidRPr="00956542">
        <w:rPr>
          <w:rFonts w:ascii="Goudy Old Style" w:hAnsi="Goudy Old Style"/>
          <w:noProof/>
          <w:sz w:val="24"/>
          <w:szCs w:val="24"/>
          <w:lang w:val="pt-BR"/>
        </w:rPr>
        <w:t xml:space="preserve">Umar, N. (2001). </w:t>
      </w:r>
      <w:r w:rsidRPr="00956542">
        <w:rPr>
          <w:rFonts w:ascii="Goudy Old Style" w:hAnsi="Goudy Old Style"/>
          <w:i/>
          <w:iCs/>
          <w:noProof/>
          <w:sz w:val="24"/>
          <w:szCs w:val="24"/>
          <w:lang w:val="pt-BR"/>
        </w:rPr>
        <w:t>Argumen Kesetaraan Gender: Perspektif al-Qur’an</w:t>
      </w:r>
      <w:r w:rsidRPr="00956542">
        <w:rPr>
          <w:rFonts w:ascii="Goudy Old Style" w:hAnsi="Goudy Old Style"/>
          <w:noProof/>
          <w:sz w:val="24"/>
          <w:szCs w:val="24"/>
          <w:lang w:val="pt-BR"/>
        </w:rPr>
        <w:t>. Paramadina.</w:t>
      </w:r>
    </w:p>
    <w:p w14:paraId="3A9A41BF" w14:textId="77777777" w:rsidR="008F121C" w:rsidRPr="00956542" w:rsidRDefault="008F121C" w:rsidP="00275200">
      <w:pPr>
        <w:widowControl w:val="0"/>
        <w:autoSpaceDE w:val="0"/>
        <w:autoSpaceDN w:val="0"/>
        <w:adjustRightInd w:val="0"/>
        <w:spacing w:after="0" w:line="240" w:lineRule="auto"/>
        <w:ind w:left="480" w:hanging="480"/>
        <w:rPr>
          <w:rFonts w:ascii="Goudy Old Style" w:hAnsi="Goudy Old Style"/>
          <w:noProof/>
          <w:sz w:val="24"/>
        </w:rPr>
      </w:pPr>
      <w:r w:rsidRPr="00956542">
        <w:rPr>
          <w:rFonts w:ascii="Goudy Old Style" w:hAnsi="Goudy Old Style"/>
          <w:noProof/>
          <w:sz w:val="24"/>
          <w:szCs w:val="24"/>
        </w:rPr>
        <w:t xml:space="preserve">van Bruinessen, M. (2002). Genealogies of Islamic radicalism in post-Suharto Indonesia. </w:t>
      </w:r>
      <w:r w:rsidRPr="00956542">
        <w:rPr>
          <w:rFonts w:ascii="Goudy Old Style" w:hAnsi="Goudy Old Style"/>
          <w:i/>
          <w:iCs/>
          <w:noProof/>
          <w:sz w:val="24"/>
          <w:szCs w:val="24"/>
        </w:rPr>
        <w:t>South East Asia Research</w:t>
      </w:r>
      <w:r w:rsidRPr="00956542">
        <w:rPr>
          <w:rFonts w:ascii="Goudy Old Style" w:hAnsi="Goudy Old Style"/>
          <w:noProof/>
          <w:sz w:val="24"/>
          <w:szCs w:val="24"/>
        </w:rPr>
        <w:t xml:space="preserve">, </w:t>
      </w:r>
      <w:r w:rsidRPr="00956542">
        <w:rPr>
          <w:rFonts w:ascii="Goudy Old Style" w:hAnsi="Goudy Old Style"/>
          <w:i/>
          <w:iCs/>
          <w:noProof/>
          <w:sz w:val="24"/>
          <w:szCs w:val="24"/>
        </w:rPr>
        <w:t>10</w:t>
      </w:r>
      <w:r w:rsidRPr="00956542">
        <w:rPr>
          <w:rFonts w:ascii="Goudy Old Style" w:hAnsi="Goudy Old Style"/>
          <w:noProof/>
          <w:sz w:val="24"/>
          <w:szCs w:val="24"/>
        </w:rPr>
        <w:t>(2), 117–154. https://doi.org/10.5367/000000002101297035</w:t>
      </w:r>
    </w:p>
    <w:p w14:paraId="4CFD19E7" w14:textId="0803ABC2" w:rsidR="00893F9C" w:rsidRPr="00956542" w:rsidRDefault="00893F9C" w:rsidP="00275200">
      <w:pPr>
        <w:widowControl w:val="0"/>
        <w:autoSpaceDE w:val="0"/>
        <w:autoSpaceDN w:val="0"/>
        <w:adjustRightInd w:val="0"/>
        <w:spacing w:after="0" w:line="240" w:lineRule="auto"/>
        <w:ind w:left="480" w:hanging="480"/>
        <w:rPr>
          <w:rFonts w:ascii="Goudy Old Style" w:eastAsia="Arial" w:hAnsi="Goudy Old Style"/>
          <w:b/>
          <w:bCs/>
          <w:color w:val="252525"/>
          <w:sz w:val="24"/>
          <w:szCs w:val="24"/>
        </w:rPr>
      </w:pPr>
      <w:r w:rsidRPr="00956542">
        <w:rPr>
          <w:rFonts w:ascii="Goudy Old Style" w:eastAsia="Arial" w:hAnsi="Goudy Old Style"/>
          <w:b/>
          <w:bCs/>
          <w:color w:val="252525"/>
          <w:sz w:val="24"/>
          <w:szCs w:val="24"/>
          <w:lang w:val="id-ID"/>
        </w:rPr>
        <w:fldChar w:fldCharType="end"/>
      </w:r>
      <w:r w:rsidRPr="00956542">
        <w:rPr>
          <w:rFonts w:ascii="Goudy Old Style" w:eastAsia="Arial" w:hAnsi="Goudy Old Style"/>
          <w:b/>
          <w:bCs/>
          <w:color w:val="252525"/>
          <w:sz w:val="24"/>
          <w:szCs w:val="24"/>
        </w:rPr>
        <w:t xml:space="preserve"> </w:t>
      </w:r>
    </w:p>
    <w:p w14:paraId="43EE6565" w14:textId="35601A63" w:rsidR="002165CE" w:rsidRPr="00956542" w:rsidRDefault="002165CE" w:rsidP="00275200">
      <w:pPr>
        <w:tabs>
          <w:tab w:val="left" w:pos="6452"/>
        </w:tabs>
        <w:spacing w:line="240" w:lineRule="auto"/>
        <w:rPr>
          <w:rFonts w:ascii="Goudy Old Style" w:eastAsia="Arial" w:hAnsi="Goudy Old Style"/>
          <w:sz w:val="24"/>
          <w:szCs w:val="24"/>
        </w:rPr>
      </w:pPr>
    </w:p>
    <w:sectPr w:rsidR="002165CE" w:rsidRPr="00956542" w:rsidSect="00E75BC4">
      <w:headerReference w:type="default" r:id="rId9"/>
      <w:footerReference w:type="default" r:id="rId10"/>
      <w:pgSz w:w="11906" w:h="16838" w:code="9"/>
      <w:pgMar w:top="1440" w:right="1800" w:bottom="1440" w:left="18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5FA8C" w14:textId="77777777" w:rsidR="00147B3F" w:rsidRDefault="00147B3F" w:rsidP="00DC40E9">
      <w:pPr>
        <w:spacing w:after="0" w:line="240" w:lineRule="auto"/>
      </w:pPr>
      <w:r>
        <w:separator/>
      </w:r>
    </w:p>
  </w:endnote>
  <w:endnote w:type="continuationSeparator" w:id="0">
    <w:p w14:paraId="4835A71E" w14:textId="77777777" w:rsidR="00147B3F" w:rsidRDefault="00147B3F" w:rsidP="00DC4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BookAntiqua-Bold">
    <w:altName w:val="Cambria"/>
    <w:panose1 w:val="00000000000000000000"/>
    <w:charset w:val="00"/>
    <w:family w:val="roman"/>
    <w:notTrueType/>
    <w:pitch w:val="default"/>
  </w:font>
  <w:font w:name="Corbel">
    <w:panose1 w:val="020B0503020204020204"/>
    <w:charset w:val="00"/>
    <w:family w:val="swiss"/>
    <w:pitch w:val="variable"/>
    <w:sig w:usb0="A00002EF" w:usb1="4000A44B" w:usb2="00000000" w:usb3="00000000" w:csb0="0000019F" w:csb1="00000000"/>
  </w:font>
  <w:font w:name="Jura">
    <w:altName w:val="Cambria"/>
    <w:panose1 w:val="00000000000000000000"/>
    <w:charset w:val="00"/>
    <w:family w:val="roman"/>
    <w:notTrueType/>
    <w:pitch w:val="default"/>
  </w:font>
  <w:font w:name="Garamond Transliterasi Tajwid">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aramond-Transliterasi-Tajwi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752280"/>
      <w:docPartObj>
        <w:docPartGallery w:val="Page Numbers (Bottom of Page)"/>
        <w:docPartUnique/>
      </w:docPartObj>
    </w:sdtPr>
    <w:sdtEndPr>
      <w:rPr>
        <w:noProof/>
      </w:rPr>
    </w:sdtEndPr>
    <w:sdtContent>
      <w:p w14:paraId="24FB88A4" w14:textId="393C8D64" w:rsidR="008825DA" w:rsidRDefault="008825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22DF97" w14:textId="77777777" w:rsidR="008825DA" w:rsidRDefault="008825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AFE60" w14:textId="77777777" w:rsidR="00147B3F" w:rsidRDefault="00147B3F" w:rsidP="00DC40E9">
      <w:pPr>
        <w:spacing w:after="0" w:line="240" w:lineRule="auto"/>
      </w:pPr>
      <w:r>
        <w:separator/>
      </w:r>
    </w:p>
  </w:footnote>
  <w:footnote w:type="continuationSeparator" w:id="0">
    <w:p w14:paraId="19834589" w14:textId="77777777" w:rsidR="00147B3F" w:rsidRDefault="00147B3F" w:rsidP="00DC4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CF240" w14:textId="5FC0004B" w:rsidR="008825DA" w:rsidRPr="00B2122E" w:rsidRDefault="008825DA">
    <w:pPr>
      <w:pStyle w:val="Header"/>
      <w:rPr>
        <w:rFonts w:asciiTheme="majorBidi" w:hAnsiTheme="majorBidi" w:cstheme="majorBidi"/>
        <w:b/>
        <w:bCs/>
        <w:sz w:val="24"/>
        <w:szCs w:val="24"/>
        <w:lang w:val="id-ID"/>
      </w:rPr>
    </w:pPr>
    <w:r w:rsidRPr="00B2122E">
      <w:rPr>
        <w:rFonts w:asciiTheme="majorBidi" w:hAnsiTheme="majorBidi" w:cstheme="majorBidi"/>
        <w:b/>
        <w:bCs/>
        <w:sz w:val="24"/>
        <w:szCs w:val="24"/>
        <w:lang w:val="id-ID"/>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C1354"/>
    <w:multiLevelType w:val="hybridMultilevel"/>
    <w:tmpl w:val="7E38C26C"/>
    <w:lvl w:ilvl="0" w:tplc="64347E8A">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C81DC8"/>
    <w:multiLevelType w:val="hybridMultilevel"/>
    <w:tmpl w:val="AC48F07A"/>
    <w:lvl w:ilvl="0" w:tplc="4352376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F5261D"/>
    <w:multiLevelType w:val="hybridMultilevel"/>
    <w:tmpl w:val="3882399A"/>
    <w:lvl w:ilvl="0" w:tplc="06AE9156">
      <w:start w:val="1"/>
      <w:numFmt w:val="decimal"/>
      <w:lvlText w:val="%1."/>
      <w:lvlJc w:val="left"/>
      <w:pPr>
        <w:ind w:left="360" w:hanging="360"/>
      </w:pPr>
      <w:rPr>
        <w:rFonts w:eastAsia="Arial" w:hint="default"/>
        <w:color w:val="2525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B67221E"/>
    <w:multiLevelType w:val="hybridMultilevel"/>
    <w:tmpl w:val="A2ECDA3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5EAA61BA"/>
    <w:multiLevelType w:val="hybridMultilevel"/>
    <w:tmpl w:val="E1F86C2C"/>
    <w:lvl w:ilvl="0" w:tplc="33B6307C">
      <w:start w:val="1"/>
      <w:numFmt w:val="lowerLetter"/>
      <w:lvlText w:val="%1."/>
      <w:lvlJc w:val="left"/>
      <w:pPr>
        <w:ind w:left="360" w:hanging="360"/>
      </w:pPr>
      <w:rPr>
        <w:rFonts w:eastAsia="Arial" w:hint="default"/>
        <w:color w:val="252525"/>
        <w:lang w:val="en-U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CDC14C5"/>
    <w:multiLevelType w:val="hybridMultilevel"/>
    <w:tmpl w:val="00726B2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ED77F2"/>
    <w:multiLevelType w:val="hybridMultilevel"/>
    <w:tmpl w:val="D6DE9B30"/>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abstractNumId w:val="0"/>
  </w:num>
  <w:num w:numId="2">
    <w:abstractNumId w:val="2"/>
  </w:num>
  <w:num w:numId="3">
    <w:abstractNumId w:val="4"/>
  </w:num>
  <w:num w:numId="4">
    <w:abstractNumId w:val="5"/>
  </w:num>
  <w:num w:numId="5">
    <w:abstractNumId w:val="1"/>
  </w:num>
  <w:num w:numId="6">
    <w:abstractNumId w:val="6"/>
  </w:num>
  <w:num w:numId="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A16"/>
    <w:rsid w:val="0000151C"/>
    <w:rsid w:val="00004401"/>
    <w:rsid w:val="00004AB6"/>
    <w:rsid w:val="00004C33"/>
    <w:rsid w:val="00010FED"/>
    <w:rsid w:val="0001278B"/>
    <w:rsid w:val="00017512"/>
    <w:rsid w:val="00020674"/>
    <w:rsid w:val="00025716"/>
    <w:rsid w:val="00025A16"/>
    <w:rsid w:val="00026F25"/>
    <w:rsid w:val="00027CFE"/>
    <w:rsid w:val="00032337"/>
    <w:rsid w:val="0003583F"/>
    <w:rsid w:val="00037180"/>
    <w:rsid w:val="000371E6"/>
    <w:rsid w:val="00037210"/>
    <w:rsid w:val="00037C31"/>
    <w:rsid w:val="0004086A"/>
    <w:rsid w:val="000434AA"/>
    <w:rsid w:val="000465DF"/>
    <w:rsid w:val="00046C32"/>
    <w:rsid w:val="000508C1"/>
    <w:rsid w:val="0005199E"/>
    <w:rsid w:val="000520FD"/>
    <w:rsid w:val="00053363"/>
    <w:rsid w:val="000534CA"/>
    <w:rsid w:val="0005479F"/>
    <w:rsid w:val="000566F3"/>
    <w:rsid w:val="00057924"/>
    <w:rsid w:val="00061179"/>
    <w:rsid w:val="00064FEA"/>
    <w:rsid w:val="00065CA0"/>
    <w:rsid w:val="0006614A"/>
    <w:rsid w:val="00066E7C"/>
    <w:rsid w:val="00067384"/>
    <w:rsid w:val="000707A5"/>
    <w:rsid w:val="00071DAA"/>
    <w:rsid w:val="00071F45"/>
    <w:rsid w:val="0007552E"/>
    <w:rsid w:val="0007596A"/>
    <w:rsid w:val="00076EAE"/>
    <w:rsid w:val="000776FE"/>
    <w:rsid w:val="00077F23"/>
    <w:rsid w:val="00080357"/>
    <w:rsid w:val="000817BC"/>
    <w:rsid w:val="00081F8F"/>
    <w:rsid w:val="00090203"/>
    <w:rsid w:val="000922FA"/>
    <w:rsid w:val="0009255D"/>
    <w:rsid w:val="00095BBC"/>
    <w:rsid w:val="000A19DA"/>
    <w:rsid w:val="000A376A"/>
    <w:rsid w:val="000A4A38"/>
    <w:rsid w:val="000A5802"/>
    <w:rsid w:val="000A6B19"/>
    <w:rsid w:val="000B174B"/>
    <w:rsid w:val="000B1A65"/>
    <w:rsid w:val="000B29BB"/>
    <w:rsid w:val="000B2AB3"/>
    <w:rsid w:val="000B4863"/>
    <w:rsid w:val="000B5A5C"/>
    <w:rsid w:val="000B6A9B"/>
    <w:rsid w:val="000C03EC"/>
    <w:rsid w:val="000C131E"/>
    <w:rsid w:val="000D0657"/>
    <w:rsid w:val="000D130F"/>
    <w:rsid w:val="000D31C2"/>
    <w:rsid w:val="000D35EF"/>
    <w:rsid w:val="000D5082"/>
    <w:rsid w:val="000D5233"/>
    <w:rsid w:val="000D789E"/>
    <w:rsid w:val="000E22CE"/>
    <w:rsid w:val="000E39A3"/>
    <w:rsid w:val="000E4863"/>
    <w:rsid w:val="000E73FB"/>
    <w:rsid w:val="000F2333"/>
    <w:rsid w:val="000F48F7"/>
    <w:rsid w:val="000F5260"/>
    <w:rsid w:val="000F62ED"/>
    <w:rsid w:val="00100AF4"/>
    <w:rsid w:val="0010143E"/>
    <w:rsid w:val="001029FF"/>
    <w:rsid w:val="00102F77"/>
    <w:rsid w:val="00105B15"/>
    <w:rsid w:val="00106003"/>
    <w:rsid w:val="00110C20"/>
    <w:rsid w:val="00111F85"/>
    <w:rsid w:val="00114BB0"/>
    <w:rsid w:val="00116192"/>
    <w:rsid w:val="00117128"/>
    <w:rsid w:val="00120D83"/>
    <w:rsid w:val="00121177"/>
    <w:rsid w:val="001236EF"/>
    <w:rsid w:val="00131DA2"/>
    <w:rsid w:val="001346ED"/>
    <w:rsid w:val="00137B56"/>
    <w:rsid w:val="00141442"/>
    <w:rsid w:val="00141551"/>
    <w:rsid w:val="00142D25"/>
    <w:rsid w:val="00144324"/>
    <w:rsid w:val="001443DB"/>
    <w:rsid w:val="00144AFA"/>
    <w:rsid w:val="00146F6C"/>
    <w:rsid w:val="00147B3F"/>
    <w:rsid w:val="00150854"/>
    <w:rsid w:val="001517BB"/>
    <w:rsid w:val="001523D4"/>
    <w:rsid w:val="001543E5"/>
    <w:rsid w:val="00160088"/>
    <w:rsid w:val="0016153E"/>
    <w:rsid w:val="00162AF0"/>
    <w:rsid w:val="00162D5B"/>
    <w:rsid w:val="001646CD"/>
    <w:rsid w:val="001659FD"/>
    <w:rsid w:val="00170D65"/>
    <w:rsid w:val="00173707"/>
    <w:rsid w:val="00174828"/>
    <w:rsid w:val="0017562E"/>
    <w:rsid w:val="00175C9A"/>
    <w:rsid w:val="00180912"/>
    <w:rsid w:val="00180D89"/>
    <w:rsid w:val="0018161F"/>
    <w:rsid w:val="00181E40"/>
    <w:rsid w:val="00183CF7"/>
    <w:rsid w:val="00184034"/>
    <w:rsid w:val="00190505"/>
    <w:rsid w:val="001929FC"/>
    <w:rsid w:val="0019427A"/>
    <w:rsid w:val="001951EE"/>
    <w:rsid w:val="001A0699"/>
    <w:rsid w:val="001A5394"/>
    <w:rsid w:val="001A69B4"/>
    <w:rsid w:val="001A7BFD"/>
    <w:rsid w:val="001B22B9"/>
    <w:rsid w:val="001B4536"/>
    <w:rsid w:val="001C383B"/>
    <w:rsid w:val="001C428F"/>
    <w:rsid w:val="001C5210"/>
    <w:rsid w:val="001C5D5B"/>
    <w:rsid w:val="001C6330"/>
    <w:rsid w:val="001C7C8A"/>
    <w:rsid w:val="001D00A9"/>
    <w:rsid w:val="001D5CF7"/>
    <w:rsid w:val="001D6869"/>
    <w:rsid w:val="001D7898"/>
    <w:rsid w:val="001D7DAF"/>
    <w:rsid w:val="001E0004"/>
    <w:rsid w:val="001E07DA"/>
    <w:rsid w:val="001E2022"/>
    <w:rsid w:val="001F0BE7"/>
    <w:rsid w:val="001F1C6F"/>
    <w:rsid w:val="001F23EB"/>
    <w:rsid w:val="001F59F9"/>
    <w:rsid w:val="001F7248"/>
    <w:rsid w:val="001F7913"/>
    <w:rsid w:val="001F7F98"/>
    <w:rsid w:val="00201995"/>
    <w:rsid w:val="00201FCD"/>
    <w:rsid w:val="002048FB"/>
    <w:rsid w:val="00204FE7"/>
    <w:rsid w:val="002065AE"/>
    <w:rsid w:val="00206636"/>
    <w:rsid w:val="00207F7E"/>
    <w:rsid w:val="00210B8E"/>
    <w:rsid w:val="00210E03"/>
    <w:rsid w:val="0021359B"/>
    <w:rsid w:val="00214CA9"/>
    <w:rsid w:val="002165CE"/>
    <w:rsid w:val="00222DF3"/>
    <w:rsid w:val="00222FC3"/>
    <w:rsid w:val="0022451E"/>
    <w:rsid w:val="00224A9C"/>
    <w:rsid w:val="00225D6C"/>
    <w:rsid w:val="00226AA1"/>
    <w:rsid w:val="00227073"/>
    <w:rsid w:val="00231D3F"/>
    <w:rsid w:val="0023269E"/>
    <w:rsid w:val="00234504"/>
    <w:rsid w:val="00235DBD"/>
    <w:rsid w:val="00236AE6"/>
    <w:rsid w:val="00236FFF"/>
    <w:rsid w:val="002377F0"/>
    <w:rsid w:val="00242227"/>
    <w:rsid w:val="00242E30"/>
    <w:rsid w:val="00243D4A"/>
    <w:rsid w:val="00244B7E"/>
    <w:rsid w:val="00251C34"/>
    <w:rsid w:val="00251DE6"/>
    <w:rsid w:val="00254176"/>
    <w:rsid w:val="00261153"/>
    <w:rsid w:val="00262CCF"/>
    <w:rsid w:val="0026398D"/>
    <w:rsid w:val="00263D91"/>
    <w:rsid w:val="0026444E"/>
    <w:rsid w:val="002649C6"/>
    <w:rsid w:val="00264AE0"/>
    <w:rsid w:val="00270279"/>
    <w:rsid w:val="002709A8"/>
    <w:rsid w:val="00273CCB"/>
    <w:rsid w:val="00275200"/>
    <w:rsid w:val="00275778"/>
    <w:rsid w:val="00276F6D"/>
    <w:rsid w:val="00281ACB"/>
    <w:rsid w:val="0028256E"/>
    <w:rsid w:val="00287380"/>
    <w:rsid w:val="00287987"/>
    <w:rsid w:val="00290C9A"/>
    <w:rsid w:val="00290EA6"/>
    <w:rsid w:val="00291290"/>
    <w:rsid w:val="00296B44"/>
    <w:rsid w:val="00297551"/>
    <w:rsid w:val="00297B6E"/>
    <w:rsid w:val="002A0AEA"/>
    <w:rsid w:val="002A24E6"/>
    <w:rsid w:val="002A4AF0"/>
    <w:rsid w:val="002A5489"/>
    <w:rsid w:val="002A7188"/>
    <w:rsid w:val="002A7F98"/>
    <w:rsid w:val="002B0545"/>
    <w:rsid w:val="002B240F"/>
    <w:rsid w:val="002B25EB"/>
    <w:rsid w:val="002B54F0"/>
    <w:rsid w:val="002C1564"/>
    <w:rsid w:val="002C2286"/>
    <w:rsid w:val="002C319F"/>
    <w:rsid w:val="002C401E"/>
    <w:rsid w:val="002C46E0"/>
    <w:rsid w:val="002C46E6"/>
    <w:rsid w:val="002C5BB2"/>
    <w:rsid w:val="002C6810"/>
    <w:rsid w:val="002D14FB"/>
    <w:rsid w:val="002D188B"/>
    <w:rsid w:val="002D59C3"/>
    <w:rsid w:val="002D6B26"/>
    <w:rsid w:val="002D747F"/>
    <w:rsid w:val="002D7BC2"/>
    <w:rsid w:val="002E1332"/>
    <w:rsid w:val="002E1740"/>
    <w:rsid w:val="002E1884"/>
    <w:rsid w:val="002E2D34"/>
    <w:rsid w:val="002E331C"/>
    <w:rsid w:val="002E49C1"/>
    <w:rsid w:val="002E5101"/>
    <w:rsid w:val="002F0C8F"/>
    <w:rsid w:val="002F6152"/>
    <w:rsid w:val="002F77C2"/>
    <w:rsid w:val="003006EF"/>
    <w:rsid w:val="0030115C"/>
    <w:rsid w:val="00302373"/>
    <w:rsid w:val="00303795"/>
    <w:rsid w:val="00303E9C"/>
    <w:rsid w:val="00303FFB"/>
    <w:rsid w:val="00304DF2"/>
    <w:rsid w:val="0030571D"/>
    <w:rsid w:val="00305DCE"/>
    <w:rsid w:val="00307FE7"/>
    <w:rsid w:val="0031018D"/>
    <w:rsid w:val="003101A7"/>
    <w:rsid w:val="00310680"/>
    <w:rsid w:val="00312C64"/>
    <w:rsid w:val="003152B1"/>
    <w:rsid w:val="00315711"/>
    <w:rsid w:val="00316892"/>
    <w:rsid w:val="0032106B"/>
    <w:rsid w:val="0032203F"/>
    <w:rsid w:val="00322FD2"/>
    <w:rsid w:val="0032633B"/>
    <w:rsid w:val="00331764"/>
    <w:rsid w:val="003326A7"/>
    <w:rsid w:val="00336B17"/>
    <w:rsid w:val="00340651"/>
    <w:rsid w:val="00341A52"/>
    <w:rsid w:val="00341C34"/>
    <w:rsid w:val="0034519A"/>
    <w:rsid w:val="0034668B"/>
    <w:rsid w:val="00347303"/>
    <w:rsid w:val="00351054"/>
    <w:rsid w:val="00352931"/>
    <w:rsid w:val="0035491A"/>
    <w:rsid w:val="00355E8D"/>
    <w:rsid w:val="00362563"/>
    <w:rsid w:val="00366C39"/>
    <w:rsid w:val="00366FAF"/>
    <w:rsid w:val="00370A3C"/>
    <w:rsid w:val="003720B4"/>
    <w:rsid w:val="00372454"/>
    <w:rsid w:val="00376250"/>
    <w:rsid w:val="00377255"/>
    <w:rsid w:val="003812F9"/>
    <w:rsid w:val="003819FB"/>
    <w:rsid w:val="00382C7D"/>
    <w:rsid w:val="003838A5"/>
    <w:rsid w:val="003845BF"/>
    <w:rsid w:val="003862CA"/>
    <w:rsid w:val="00386C38"/>
    <w:rsid w:val="00390377"/>
    <w:rsid w:val="00390574"/>
    <w:rsid w:val="00390805"/>
    <w:rsid w:val="00392C72"/>
    <w:rsid w:val="00392EBB"/>
    <w:rsid w:val="003A3A1E"/>
    <w:rsid w:val="003A5410"/>
    <w:rsid w:val="003B1509"/>
    <w:rsid w:val="003B2900"/>
    <w:rsid w:val="003B2E7F"/>
    <w:rsid w:val="003B3539"/>
    <w:rsid w:val="003B422F"/>
    <w:rsid w:val="003B6F91"/>
    <w:rsid w:val="003B7643"/>
    <w:rsid w:val="003B7705"/>
    <w:rsid w:val="003B7FC4"/>
    <w:rsid w:val="003C212B"/>
    <w:rsid w:val="003C234B"/>
    <w:rsid w:val="003C3AA4"/>
    <w:rsid w:val="003C401F"/>
    <w:rsid w:val="003C42B2"/>
    <w:rsid w:val="003C541B"/>
    <w:rsid w:val="003C5F86"/>
    <w:rsid w:val="003C7B7E"/>
    <w:rsid w:val="003D23B6"/>
    <w:rsid w:val="003D40E5"/>
    <w:rsid w:val="003D4326"/>
    <w:rsid w:val="003D52E6"/>
    <w:rsid w:val="003D6A90"/>
    <w:rsid w:val="003E1392"/>
    <w:rsid w:val="003E147F"/>
    <w:rsid w:val="003E2AE5"/>
    <w:rsid w:val="003E65B1"/>
    <w:rsid w:val="003E6686"/>
    <w:rsid w:val="003F198B"/>
    <w:rsid w:val="003F28DF"/>
    <w:rsid w:val="003F3829"/>
    <w:rsid w:val="00400D7C"/>
    <w:rsid w:val="00402164"/>
    <w:rsid w:val="0040287B"/>
    <w:rsid w:val="00402995"/>
    <w:rsid w:val="00404F22"/>
    <w:rsid w:val="00405035"/>
    <w:rsid w:val="00405084"/>
    <w:rsid w:val="00406205"/>
    <w:rsid w:val="00410FB8"/>
    <w:rsid w:val="00410FC2"/>
    <w:rsid w:val="00411206"/>
    <w:rsid w:val="00411E2F"/>
    <w:rsid w:val="00412641"/>
    <w:rsid w:val="00422964"/>
    <w:rsid w:val="00423C92"/>
    <w:rsid w:val="00424083"/>
    <w:rsid w:val="0043271F"/>
    <w:rsid w:val="00434A1C"/>
    <w:rsid w:val="00434C8C"/>
    <w:rsid w:val="00435DC3"/>
    <w:rsid w:val="00435EF0"/>
    <w:rsid w:val="0044192B"/>
    <w:rsid w:val="00443BCE"/>
    <w:rsid w:val="004443BD"/>
    <w:rsid w:val="004515F6"/>
    <w:rsid w:val="00453FF1"/>
    <w:rsid w:val="004544BF"/>
    <w:rsid w:val="004614CC"/>
    <w:rsid w:val="00462BA2"/>
    <w:rsid w:val="00463FA6"/>
    <w:rsid w:val="00464628"/>
    <w:rsid w:val="00464CD0"/>
    <w:rsid w:val="00465E8D"/>
    <w:rsid w:val="00466E75"/>
    <w:rsid w:val="004674D9"/>
    <w:rsid w:val="00470B3F"/>
    <w:rsid w:val="00472F10"/>
    <w:rsid w:val="00472F43"/>
    <w:rsid w:val="0047388A"/>
    <w:rsid w:val="00473A44"/>
    <w:rsid w:val="00473E20"/>
    <w:rsid w:val="0047436D"/>
    <w:rsid w:val="00476075"/>
    <w:rsid w:val="0047695A"/>
    <w:rsid w:val="004824DF"/>
    <w:rsid w:val="004835C8"/>
    <w:rsid w:val="00484483"/>
    <w:rsid w:val="00484F9B"/>
    <w:rsid w:val="00485555"/>
    <w:rsid w:val="00486D38"/>
    <w:rsid w:val="0049073F"/>
    <w:rsid w:val="00490974"/>
    <w:rsid w:val="004946AA"/>
    <w:rsid w:val="00494C2A"/>
    <w:rsid w:val="00495CD7"/>
    <w:rsid w:val="004975C0"/>
    <w:rsid w:val="004A0330"/>
    <w:rsid w:val="004A0377"/>
    <w:rsid w:val="004A1137"/>
    <w:rsid w:val="004A512B"/>
    <w:rsid w:val="004A5E34"/>
    <w:rsid w:val="004A613C"/>
    <w:rsid w:val="004B000B"/>
    <w:rsid w:val="004B08CA"/>
    <w:rsid w:val="004B3E8D"/>
    <w:rsid w:val="004B55E3"/>
    <w:rsid w:val="004B5B7B"/>
    <w:rsid w:val="004C1B27"/>
    <w:rsid w:val="004C1D77"/>
    <w:rsid w:val="004C254D"/>
    <w:rsid w:val="004C35BC"/>
    <w:rsid w:val="004C6BF7"/>
    <w:rsid w:val="004D3498"/>
    <w:rsid w:val="004D3925"/>
    <w:rsid w:val="004D55E3"/>
    <w:rsid w:val="004D5FA9"/>
    <w:rsid w:val="004E0C5C"/>
    <w:rsid w:val="004E20B0"/>
    <w:rsid w:val="004E3E92"/>
    <w:rsid w:val="004E42C8"/>
    <w:rsid w:val="004E54EF"/>
    <w:rsid w:val="004E6FED"/>
    <w:rsid w:val="004E7881"/>
    <w:rsid w:val="004E7950"/>
    <w:rsid w:val="004F185D"/>
    <w:rsid w:val="004F369B"/>
    <w:rsid w:val="004F3735"/>
    <w:rsid w:val="004F4EDF"/>
    <w:rsid w:val="004F55F0"/>
    <w:rsid w:val="004F6FA1"/>
    <w:rsid w:val="005004DE"/>
    <w:rsid w:val="00502E1F"/>
    <w:rsid w:val="0051092B"/>
    <w:rsid w:val="00515BFE"/>
    <w:rsid w:val="00520DC2"/>
    <w:rsid w:val="00521A74"/>
    <w:rsid w:val="00521DB5"/>
    <w:rsid w:val="0052450B"/>
    <w:rsid w:val="005258E6"/>
    <w:rsid w:val="00527246"/>
    <w:rsid w:val="00532589"/>
    <w:rsid w:val="005329AF"/>
    <w:rsid w:val="00533BF2"/>
    <w:rsid w:val="00534123"/>
    <w:rsid w:val="00534234"/>
    <w:rsid w:val="0053544E"/>
    <w:rsid w:val="005354F1"/>
    <w:rsid w:val="00537375"/>
    <w:rsid w:val="0054063A"/>
    <w:rsid w:val="00541B3D"/>
    <w:rsid w:val="00542B1E"/>
    <w:rsid w:val="0054424D"/>
    <w:rsid w:val="00544A48"/>
    <w:rsid w:val="00545078"/>
    <w:rsid w:val="0054585B"/>
    <w:rsid w:val="00545B77"/>
    <w:rsid w:val="00545BE2"/>
    <w:rsid w:val="005462DE"/>
    <w:rsid w:val="00547EA5"/>
    <w:rsid w:val="005553E0"/>
    <w:rsid w:val="005569C7"/>
    <w:rsid w:val="00556E31"/>
    <w:rsid w:val="005577C6"/>
    <w:rsid w:val="0056372D"/>
    <w:rsid w:val="005654C8"/>
    <w:rsid w:val="00570771"/>
    <w:rsid w:val="005738F8"/>
    <w:rsid w:val="00574305"/>
    <w:rsid w:val="00574970"/>
    <w:rsid w:val="00576910"/>
    <w:rsid w:val="00584071"/>
    <w:rsid w:val="0058543D"/>
    <w:rsid w:val="00587799"/>
    <w:rsid w:val="00587C2C"/>
    <w:rsid w:val="00590022"/>
    <w:rsid w:val="005917AC"/>
    <w:rsid w:val="005955EF"/>
    <w:rsid w:val="00596ED0"/>
    <w:rsid w:val="005975D1"/>
    <w:rsid w:val="005A11B3"/>
    <w:rsid w:val="005A18EB"/>
    <w:rsid w:val="005A282A"/>
    <w:rsid w:val="005A6873"/>
    <w:rsid w:val="005A7F40"/>
    <w:rsid w:val="005B2FAD"/>
    <w:rsid w:val="005B6B42"/>
    <w:rsid w:val="005B6DB0"/>
    <w:rsid w:val="005C0A34"/>
    <w:rsid w:val="005C266A"/>
    <w:rsid w:val="005C33C5"/>
    <w:rsid w:val="005C42B9"/>
    <w:rsid w:val="005C4750"/>
    <w:rsid w:val="005C533F"/>
    <w:rsid w:val="005C5833"/>
    <w:rsid w:val="005C5CFC"/>
    <w:rsid w:val="005D024C"/>
    <w:rsid w:val="005D0A47"/>
    <w:rsid w:val="005D16DE"/>
    <w:rsid w:val="005D2666"/>
    <w:rsid w:val="005D3F56"/>
    <w:rsid w:val="005D5516"/>
    <w:rsid w:val="005D685D"/>
    <w:rsid w:val="005D73FF"/>
    <w:rsid w:val="005D7C8C"/>
    <w:rsid w:val="005E05D8"/>
    <w:rsid w:val="005E3A24"/>
    <w:rsid w:val="005E4C59"/>
    <w:rsid w:val="005E5154"/>
    <w:rsid w:val="005E69D1"/>
    <w:rsid w:val="005F1B1C"/>
    <w:rsid w:val="005F44B8"/>
    <w:rsid w:val="005F5F96"/>
    <w:rsid w:val="006006E5"/>
    <w:rsid w:val="00600A53"/>
    <w:rsid w:val="00601479"/>
    <w:rsid w:val="006019AD"/>
    <w:rsid w:val="006022A6"/>
    <w:rsid w:val="00603AA6"/>
    <w:rsid w:val="00605298"/>
    <w:rsid w:val="00612C17"/>
    <w:rsid w:val="00614096"/>
    <w:rsid w:val="00614A8F"/>
    <w:rsid w:val="006150C8"/>
    <w:rsid w:val="00616F06"/>
    <w:rsid w:val="00622104"/>
    <w:rsid w:val="00625C90"/>
    <w:rsid w:val="00626B25"/>
    <w:rsid w:val="00627168"/>
    <w:rsid w:val="00631130"/>
    <w:rsid w:val="00633425"/>
    <w:rsid w:val="0063447D"/>
    <w:rsid w:val="00634634"/>
    <w:rsid w:val="0063465A"/>
    <w:rsid w:val="00634E23"/>
    <w:rsid w:val="006362C7"/>
    <w:rsid w:val="00637404"/>
    <w:rsid w:val="006403F5"/>
    <w:rsid w:val="00640511"/>
    <w:rsid w:val="00640BB4"/>
    <w:rsid w:val="00641DC1"/>
    <w:rsid w:val="006420CD"/>
    <w:rsid w:val="00642552"/>
    <w:rsid w:val="006428A5"/>
    <w:rsid w:val="0064437E"/>
    <w:rsid w:val="00646CA8"/>
    <w:rsid w:val="0064781E"/>
    <w:rsid w:val="00653B85"/>
    <w:rsid w:val="00657F2E"/>
    <w:rsid w:val="0066457B"/>
    <w:rsid w:val="00665A2F"/>
    <w:rsid w:val="00666BF3"/>
    <w:rsid w:val="00667BB6"/>
    <w:rsid w:val="00667BDC"/>
    <w:rsid w:val="00673EE3"/>
    <w:rsid w:val="006805B1"/>
    <w:rsid w:val="00680638"/>
    <w:rsid w:val="00682FD2"/>
    <w:rsid w:val="006836BE"/>
    <w:rsid w:val="00683B5A"/>
    <w:rsid w:val="00684739"/>
    <w:rsid w:val="00684A01"/>
    <w:rsid w:val="0068591A"/>
    <w:rsid w:val="00687C62"/>
    <w:rsid w:val="00694838"/>
    <w:rsid w:val="00696F6F"/>
    <w:rsid w:val="006A0483"/>
    <w:rsid w:val="006A5FAC"/>
    <w:rsid w:val="006A79FA"/>
    <w:rsid w:val="006B1399"/>
    <w:rsid w:val="006B1AFD"/>
    <w:rsid w:val="006B2239"/>
    <w:rsid w:val="006B4058"/>
    <w:rsid w:val="006B45D0"/>
    <w:rsid w:val="006B4B44"/>
    <w:rsid w:val="006B54E7"/>
    <w:rsid w:val="006B668F"/>
    <w:rsid w:val="006C049A"/>
    <w:rsid w:val="006C14DE"/>
    <w:rsid w:val="006C257A"/>
    <w:rsid w:val="006C2631"/>
    <w:rsid w:val="006C324F"/>
    <w:rsid w:val="006D0DC9"/>
    <w:rsid w:val="006D18C5"/>
    <w:rsid w:val="006D194F"/>
    <w:rsid w:val="006D1C9C"/>
    <w:rsid w:val="006D4A05"/>
    <w:rsid w:val="006D6E45"/>
    <w:rsid w:val="006D7156"/>
    <w:rsid w:val="006D7C84"/>
    <w:rsid w:val="006E0DE0"/>
    <w:rsid w:val="006E29CC"/>
    <w:rsid w:val="006E474E"/>
    <w:rsid w:val="006F067A"/>
    <w:rsid w:val="006F20A3"/>
    <w:rsid w:val="006F4FCF"/>
    <w:rsid w:val="006F5F03"/>
    <w:rsid w:val="006F6535"/>
    <w:rsid w:val="006F670B"/>
    <w:rsid w:val="0070046A"/>
    <w:rsid w:val="00700F68"/>
    <w:rsid w:val="007034E8"/>
    <w:rsid w:val="0070489E"/>
    <w:rsid w:val="0070592A"/>
    <w:rsid w:val="0070672E"/>
    <w:rsid w:val="007134F6"/>
    <w:rsid w:val="00713655"/>
    <w:rsid w:val="007215B8"/>
    <w:rsid w:val="00721C70"/>
    <w:rsid w:val="00722203"/>
    <w:rsid w:val="0072244B"/>
    <w:rsid w:val="00722CD2"/>
    <w:rsid w:val="00724393"/>
    <w:rsid w:val="00724831"/>
    <w:rsid w:val="00724A1F"/>
    <w:rsid w:val="0073057E"/>
    <w:rsid w:val="0073405B"/>
    <w:rsid w:val="00734844"/>
    <w:rsid w:val="00735ABF"/>
    <w:rsid w:val="00735FD1"/>
    <w:rsid w:val="00740017"/>
    <w:rsid w:val="007412C5"/>
    <w:rsid w:val="0074308D"/>
    <w:rsid w:val="00744ED1"/>
    <w:rsid w:val="00747221"/>
    <w:rsid w:val="00747C17"/>
    <w:rsid w:val="00747D08"/>
    <w:rsid w:val="00752172"/>
    <w:rsid w:val="007531D9"/>
    <w:rsid w:val="00755C29"/>
    <w:rsid w:val="00760546"/>
    <w:rsid w:val="00763604"/>
    <w:rsid w:val="00763C04"/>
    <w:rsid w:val="0076410C"/>
    <w:rsid w:val="0076612D"/>
    <w:rsid w:val="00767726"/>
    <w:rsid w:val="00767D91"/>
    <w:rsid w:val="00771A35"/>
    <w:rsid w:val="00771C29"/>
    <w:rsid w:val="00772189"/>
    <w:rsid w:val="007755F5"/>
    <w:rsid w:val="00780A54"/>
    <w:rsid w:val="00782B76"/>
    <w:rsid w:val="007872D6"/>
    <w:rsid w:val="007903EC"/>
    <w:rsid w:val="00790E90"/>
    <w:rsid w:val="0079119F"/>
    <w:rsid w:val="0079134B"/>
    <w:rsid w:val="007913DE"/>
    <w:rsid w:val="00791A95"/>
    <w:rsid w:val="007926D2"/>
    <w:rsid w:val="0079336A"/>
    <w:rsid w:val="00793CFE"/>
    <w:rsid w:val="00795FFA"/>
    <w:rsid w:val="007A6C6F"/>
    <w:rsid w:val="007A70A7"/>
    <w:rsid w:val="007A7AC1"/>
    <w:rsid w:val="007B0D3B"/>
    <w:rsid w:val="007B155E"/>
    <w:rsid w:val="007B2116"/>
    <w:rsid w:val="007B407D"/>
    <w:rsid w:val="007B68DA"/>
    <w:rsid w:val="007B6F87"/>
    <w:rsid w:val="007C05BE"/>
    <w:rsid w:val="007C309A"/>
    <w:rsid w:val="007C3BB8"/>
    <w:rsid w:val="007C5ABF"/>
    <w:rsid w:val="007C7089"/>
    <w:rsid w:val="007C7E32"/>
    <w:rsid w:val="007D1387"/>
    <w:rsid w:val="007D1A60"/>
    <w:rsid w:val="007D224B"/>
    <w:rsid w:val="007D2D53"/>
    <w:rsid w:val="007D41DD"/>
    <w:rsid w:val="007D5819"/>
    <w:rsid w:val="007E0E08"/>
    <w:rsid w:val="007E11F2"/>
    <w:rsid w:val="007E1981"/>
    <w:rsid w:val="007F229A"/>
    <w:rsid w:val="007F29BD"/>
    <w:rsid w:val="007F5429"/>
    <w:rsid w:val="008006EB"/>
    <w:rsid w:val="0080111B"/>
    <w:rsid w:val="008013FA"/>
    <w:rsid w:val="00801492"/>
    <w:rsid w:val="008025BE"/>
    <w:rsid w:val="008041B5"/>
    <w:rsid w:val="008051A2"/>
    <w:rsid w:val="00807213"/>
    <w:rsid w:val="00807C0C"/>
    <w:rsid w:val="00811529"/>
    <w:rsid w:val="008115A5"/>
    <w:rsid w:val="00812A7D"/>
    <w:rsid w:val="0081392D"/>
    <w:rsid w:val="00814282"/>
    <w:rsid w:val="00814E1E"/>
    <w:rsid w:val="0081649A"/>
    <w:rsid w:val="00817088"/>
    <w:rsid w:val="008175A8"/>
    <w:rsid w:val="00820747"/>
    <w:rsid w:val="00821762"/>
    <w:rsid w:val="00821922"/>
    <w:rsid w:val="008230F5"/>
    <w:rsid w:val="00826AD6"/>
    <w:rsid w:val="0083384C"/>
    <w:rsid w:val="008341A8"/>
    <w:rsid w:val="008345F9"/>
    <w:rsid w:val="0083723D"/>
    <w:rsid w:val="00837791"/>
    <w:rsid w:val="00840CF6"/>
    <w:rsid w:val="00843638"/>
    <w:rsid w:val="0084431E"/>
    <w:rsid w:val="00846041"/>
    <w:rsid w:val="008525C4"/>
    <w:rsid w:val="00854CFB"/>
    <w:rsid w:val="00855E01"/>
    <w:rsid w:val="00856B5F"/>
    <w:rsid w:val="008578E7"/>
    <w:rsid w:val="00857D87"/>
    <w:rsid w:val="00860F98"/>
    <w:rsid w:val="008619B2"/>
    <w:rsid w:val="00862DB0"/>
    <w:rsid w:val="008712CB"/>
    <w:rsid w:val="00874610"/>
    <w:rsid w:val="008748D2"/>
    <w:rsid w:val="008825DA"/>
    <w:rsid w:val="008826F3"/>
    <w:rsid w:val="00883D0E"/>
    <w:rsid w:val="00883E22"/>
    <w:rsid w:val="008849F6"/>
    <w:rsid w:val="00885087"/>
    <w:rsid w:val="00887AAA"/>
    <w:rsid w:val="0089162E"/>
    <w:rsid w:val="00891BAF"/>
    <w:rsid w:val="008931A2"/>
    <w:rsid w:val="0089389A"/>
    <w:rsid w:val="00893F9C"/>
    <w:rsid w:val="008956D2"/>
    <w:rsid w:val="00896CD9"/>
    <w:rsid w:val="008A2311"/>
    <w:rsid w:val="008A4A06"/>
    <w:rsid w:val="008A53C1"/>
    <w:rsid w:val="008A6067"/>
    <w:rsid w:val="008A7850"/>
    <w:rsid w:val="008B079D"/>
    <w:rsid w:val="008B0CBC"/>
    <w:rsid w:val="008B2654"/>
    <w:rsid w:val="008B2D92"/>
    <w:rsid w:val="008B3352"/>
    <w:rsid w:val="008B4629"/>
    <w:rsid w:val="008B54C5"/>
    <w:rsid w:val="008B66D1"/>
    <w:rsid w:val="008B7460"/>
    <w:rsid w:val="008C1A5D"/>
    <w:rsid w:val="008C56AF"/>
    <w:rsid w:val="008C59F2"/>
    <w:rsid w:val="008C7348"/>
    <w:rsid w:val="008C7C69"/>
    <w:rsid w:val="008D19A8"/>
    <w:rsid w:val="008D383B"/>
    <w:rsid w:val="008D43E1"/>
    <w:rsid w:val="008D4509"/>
    <w:rsid w:val="008D4D08"/>
    <w:rsid w:val="008D55A2"/>
    <w:rsid w:val="008D6E0C"/>
    <w:rsid w:val="008E0308"/>
    <w:rsid w:val="008E24DC"/>
    <w:rsid w:val="008E2F1E"/>
    <w:rsid w:val="008E4CB6"/>
    <w:rsid w:val="008E63BD"/>
    <w:rsid w:val="008E7C31"/>
    <w:rsid w:val="008E7D03"/>
    <w:rsid w:val="008F121C"/>
    <w:rsid w:val="008F1A7B"/>
    <w:rsid w:val="008F569D"/>
    <w:rsid w:val="00903E10"/>
    <w:rsid w:val="009051A9"/>
    <w:rsid w:val="00907118"/>
    <w:rsid w:val="00911E8A"/>
    <w:rsid w:val="00911EAE"/>
    <w:rsid w:val="00913E8E"/>
    <w:rsid w:val="00914070"/>
    <w:rsid w:val="009166A8"/>
    <w:rsid w:val="0091707C"/>
    <w:rsid w:val="00917C5A"/>
    <w:rsid w:val="009205FF"/>
    <w:rsid w:val="00920741"/>
    <w:rsid w:val="00921154"/>
    <w:rsid w:val="00922C89"/>
    <w:rsid w:val="00926B7E"/>
    <w:rsid w:val="00930243"/>
    <w:rsid w:val="009310A4"/>
    <w:rsid w:val="0093329B"/>
    <w:rsid w:val="009333D0"/>
    <w:rsid w:val="00933723"/>
    <w:rsid w:val="00933E14"/>
    <w:rsid w:val="00935252"/>
    <w:rsid w:val="009422D4"/>
    <w:rsid w:val="00942757"/>
    <w:rsid w:val="009428D6"/>
    <w:rsid w:val="00945526"/>
    <w:rsid w:val="00946CAA"/>
    <w:rsid w:val="00947DE6"/>
    <w:rsid w:val="00950AE5"/>
    <w:rsid w:val="0095192B"/>
    <w:rsid w:val="00952EC4"/>
    <w:rsid w:val="00953905"/>
    <w:rsid w:val="009548DC"/>
    <w:rsid w:val="00954D31"/>
    <w:rsid w:val="00956542"/>
    <w:rsid w:val="009573DF"/>
    <w:rsid w:val="00957BA8"/>
    <w:rsid w:val="00960E0C"/>
    <w:rsid w:val="00960F77"/>
    <w:rsid w:val="00962F86"/>
    <w:rsid w:val="00963F08"/>
    <w:rsid w:val="009717EA"/>
    <w:rsid w:val="00972B64"/>
    <w:rsid w:val="009760F5"/>
    <w:rsid w:val="009800AE"/>
    <w:rsid w:val="009827CA"/>
    <w:rsid w:val="00983013"/>
    <w:rsid w:val="00984950"/>
    <w:rsid w:val="009864F7"/>
    <w:rsid w:val="00991404"/>
    <w:rsid w:val="00992453"/>
    <w:rsid w:val="0099363A"/>
    <w:rsid w:val="00996551"/>
    <w:rsid w:val="009A1165"/>
    <w:rsid w:val="009A1F79"/>
    <w:rsid w:val="009A4000"/>
    <w:rsid w:val="009A4E93"/>
    <w:rsid w:val="009B145B"/>
    <w:rsid w:val="009B16F6"/>
    <w:rsid w:val="009B1F90"/>
    <w:rsid w:val="009B5197"/>
    <w:rsid w:val="009C3222"/>
    <w:rsid w:val="009C4D18"/>
    <w:rsid w:val="009C5379"/>
    <w:rsid w:val="009C5894"/>
    <w:rsid w:val="009C61DC"/>
    <w:rsid w:val="009C6E33"/>
    <w:rsid w:val="009D71DE"/>
    <w:rsid w:val="009D7E56"/>
    <w:rsid w:val="009E31C6"/>
    <w:rsid w:val="009E37A2"/>
    <w:rsid w:val="009E511C"/>
    <w:rsid w:val="009E57FF"/>
    <w:rsid w:val="009E66AE"/>
    <w:rsid w:val="009E6C11"/>
    <w:rsid w:val="009F1F76"/>
    <w:rsid w:val="009F5005"/>
    <w:rsid w:val="00A00A93"/>
    <w:rsid w:val="00A04CCB"/>
    <w:rsid w:val="00A065F7"/>
    <w:rsid w:val="00A1625D"/>
    <w:rsid w:val="00A16FD0"/>
    <w:rsid w:val="00A20740"/>
    <w:rsid w:val="00A24D61"/>
    <w:rsid w:val="00A24E16"/>
    <w:rsid w:val="00A30A68"/>
    <w:rsid w:val="00A30A9D"/>
    <w:rsid w:val="00A324CE"/>
    <w:rsid w:val="00A3323E"/>
    <w:rsid w:val="00A351F8"/>
    <w:rsid w:val="00A37CFD"/>
    <w:rsid w:val="00A40F96"/>
    <w:rsid w:val="00A41339"/>
    <w:rsid w:val="00A41681"/>
    <w:rsid w:val="00A42EAB"/>
    <w:rsid w:val="00A438B8"/>
    <w:rsid w:val="00A51950"/>
    <w:rsid w:val="00A524B7"/>
    <w:rsid w:val="00A5286B"/>
    <w:rsid w:val="00A52C16"/>
    <w:rsid w:val="00A53A5A"/>
    <w:rsid w:val="00A53A7E"/>
    <w:rsid w:val="00A5588D"/>
    <w:rsid w:val="00A55C29"/>
    <w:rsid w:val="00A560F6"/>
    <w:rsid w:val="00A5612E"/>
    <w:rsid w:val="00A56146"/>
    <w:rsid w:val="00A56CAB"/>
    <w:rsid w:val="00A6000A"/>
    <w:rsid w:val="00A62367"/>
    <w:rsid w:val="00A62DA9"/>
    <w:rsid w:val="00A63F6B"/>
    <w:rsid w:val="00A64642"/>
    <w:rsid w:val="00A64B5A"/>
    <w:rsid w:val="00A65289"/>
    <w:rsid w:val="00A66AE4"/>
    <w:rsid w:val="00A674F8"/>
    <w:rsid w:val="00A67F94"/>
    <w:rsid w:val="00A7192B"/>
    <w:rsid w:val="00A733BB"/>
    <w:rsid w:val="00A734BE"/>
    <w:rsid w:val="00A740F0"/>
    <w:rsid w:val="00A81542"/>
    <w:rsid w:val="00A8154A"/>
    <w:rsid w:val="00A83E8B"/>
    <w:rsid w:val="00A85AFF"/>
    <w:rsid w:val="00A92505"/>
    <w:rsid w:val="00A95961"/>
    <w:rsid w:val="00A95EE9"/>
    <w:rsid w:val="00A96B84"/>
    <w:rsid w:val="00AA1F23"/>
    <w:rsid w:val="00AA2E45"/>
    <w:rsid w:val="00AA33A8"/>
    <w:rsid w:val="00AA6057"/>
    <w:rsid w:val="00AA70BA"/>
    <w:rsid w:val="00AB19D2"/>
    <w:rsid w:val="00AB1BA0"/>
    <w:rsid w:val="00AB2554"/>
    <w:rsid w:val="00AB4517"/>
    <w:rsid w:val="00AB46DC"/>
    <w:rsid w:val="00AB569C"/>
    <w:rsid w:val="00AB6C2D"/>
    <w:rsid w:val="00AB71F7"/>
    <w:rsid w:val="00AC36ED"/>
    <w:rsid w:val="00AC61E9"/>
    <w:rsid w:val="00AC79F2"/>
    <w:rsid w:val="00AD1196"/>
    <w:rsid w:val="00AD3D07"/>
    <w:rsid w:val="00AD6B12"/>
    <w:rsid w:val="00AE02C0"/>
    <w:rsid w:val="00AE1F61"/>
    <w:rsid w:val="00AE2359"/>
    <w:rsid w:val="00AE4823"/>
    <w:rsid w:val="00AE6B64"/>
    <w:rsid w:val="00AF555C"/>
    <w:rsid w:val="00AF5A19"/>
    <w:rsid w:val="00AF6FE5"/>
    <w:rsid w:val="00AF73F4"/>
    <w:rsid w:val="00AF7CDC"/>
    <w:rsid w:val="00B0095B"/>
    <w:rsid w:val="00B01888"/>
    <w:rsid w:val="00B10EE3"/>
    <w:rsid w:val="00B13148"/>
    <w:rsid w:val="00B1490C"/>
    <w:rsid w:val="00B14982"/>
    <w:rsid w:val="00B1504C"/>
    <w:rsid w:val="00B16703"/>
    <w:rsid w:val="00B16A89"/>
    <w:rsid w:val="00B20369"/>
    <w:rsid w:val="00B2122E"/>
    <w:rsid w:val="00B23500"/>
    <w:rsid w:val="00B25236"/>
    <w:rsid w:val="00B311D8"/>
    <w:rsid w:val="00B317C7"/>
    <w:rsid w:val="00B34162"/>
    <w:rsid w:val="00B34729"/>
    <w:rsid w:val="00B372BF"/>
    <w:rsid w:val="00B379D6"/>
    <w:rsid w:val="00B40DD0"/>
    <w:rsid w:val="00B41C71"/>
    <w:rsid w:val="00B4212B"/>
    <w:rsid w:val="00B46929"/>
    <w:rsid w:val="00B46DCC"/>
    <w:rsid w:val="00B47C04"/>
    <w:rsid w:val="00B554E5"/>
    <w:rsid w:val="00B5625F"/>
    <w:rsid w:val="00B618AB"/>
    <w:rsid w:val="00B625BA"/>
    <w:rsid w:val="00B63038"/>
    <w:rsid w:val="00B64EE0"/>
    <w:rsid w:val="00B6605B"/>
    <w:rsid w:val="00B718B9"/>
    <w:rsid w:val="00B76C91"/>
    <w:rsid w:val="00B77C00"/>
    <w:rsid w:val="00B80FE4"/>
    <w:rsid w:val="00B82C38"/>
    <w:rsid w:val="00B82D59"/>
    <w:rsid w:val="00B82E1B"/>
    <w:rsid w:val="00B911D9"/>
    <w:rsid w:val="00B9206E"/>
    <w:rsid w:val="00B94362"/>
    <w:rsid w:val="00B94A07"/>
    <w:rsid w:val="00B957A5"/>
    <w:rsid w:val="00B96427"/>
    <w:rsid w:val="00B9661C"/>
    <w:rsid w:val="00B9773C"/>
    <w:rsid w:val="00BA023B"/>
    <w:rsid w:val="00BA696D"/>
    <w:rsid w:val="00BA796D"/>
    <w:rsid w:val="00BB016D"/>
    <w:rsid w:val="00BB265A"/>
    <w:rsid w:val="00BB4468"/>
    <w:rsid w:val="00BB6866"/>
    <w:rsid w:val="00BB728E"/>
    <w:rsid w:val="00BB748B"/>
    <w:rsid w:val="00BC1592"/>
    <w:rsid w:val="00BC24AE"/>
    <w:rsid w:val="00BC2995"/>
    <w:rsid w:val="00BC4B2C"/>
    <w:rsid w:val="00BC654F"/>
    <w:rsid w:val="00BC733C"/>
    <w:rsid w:val="00BD0AE1"/>
    <w:rsid w:val="00BD3FF1"/>
    <w:rsid w:val="00BD566C"/>
    <w:rsid w:val="00BE0946"/>
    <w:rsid w:val="00BE12CB"/>
    <w:rsid w:val="00BE1D43"/>
    <w:rsid w:val="00BE2329"/>
    <w:rsid w:val="00BE2EA1"/>
    <w:rsid w:val="00BE4481"/>
    <w:rsid w:val="00BE4C0B"/>
    <w:rsid w:val="00BE5754"/>
    <w:rsid w:val="00BE6DB5"/>
    <w:rsid w:val="00BF1141"/>
    <w:rsid w:val="00BF4CC7"/>
    <w:rsid w:val="00BF4DA8"/>
    <w:rsid w:val="00BF5D1F"/>
    <w:rsid w:val="00BF7DC6"/>
    <w:rsid w:val="00C0073D"/>
    <w:rsid w:val="00C05F36"/>
    <w:rsid w:val="00C064C6"/>
    <w:rsid w:val="00C06509"/>
    <w:rsid w:val="00C06DBF"/>
    <w:rsid w:val="00C07C57"/>
    <w:rsid w:val="00C11509"/>
    <w:rsid w:val="00C13D4D"/>
    <w:rsid w:val="00C1403D"/>
    <w:rsid w:val="00C15174"/>
    <w:rsid w:val="00C16D0F"/>
    <w:rsid w:val="00C170FF"/>
    <w:rsid w:val="00C2082D"/>
    <w:rsid w:val="00C21027"/>
    <w:rsid w:val="00C21BA2"/>
    <w:rsid w:val="00C2385A"/>
    <w:rsid w:val="00C24CAB"/>
    <w:rsid w:val="00C256BC"/>
    <w:rsid w:val="00C257F7"/>
    <w:rsid w:val="00C258D8"/>
    <w:rsid w:val="00C26986"/>
    <w:rsid w:val="00C331C3"/>
    <w:rsid w:val="00C35F29"/>
    <w:rsid w:val="00C36F95"/>
    <w:rsid w:val="00C42220"/>
    <w:rsid w:val="00C47BC7"/>
    <w:rsid w:val="00C523CA"/>
    <w:rsid w:val="00C53910"/>
    <w:rsid w:val="00C57742"/>
    <w:rsid w:val="00C57979"/>
    <w:rsid w:val="00C61649"/>
    <w:rsid w:val="00C6307D"/>
    <w:rsid w:val="00C63A68"/>
    <w:rsid w:val="00C6404E"/>
    <w:rsid w:val="00C646B6"/>
    <w:rsid w:val="00C662E0"/>
    <w:rsid w:val="00C722A8"/>
    <w:rsid w:val="00C746CC"/>
    <w:rsid w:val="00C75B86"/>
    <w:rsid w:val="00C81828"/>
    <w:rsid w:val="00C818AE"/>
    <w:rsid w:val="00C81E22"/>
    <w:rsid w:val="00C826EB"/>
    <w:rsid w:val="00C82C0A"/>
    <w:rsid w:val="00C83A5F"/>
    <w:rsid w:val="00C83E49"/>
    <w:rsid w:val="00C85336"/>
    <w:rsid w:val="00C901C6"/>
    <w:rsid w:val="00C9194B"/>
    <w:rsid w:val="00C91B9A"/>
    <w:rsid w:val="00C93A7B"/>
    <w:rsid w:val="00C94160"/>
    <w:rsid w:val="00C96433"/>
    <w:rsid w:val="00C9654A"/>
    <w:rsid w:val="00C96857"/>
    <w:rsid w:val="00CA5254"/>
    <w:rsid w:val="00CB241E"/>
    <w:rsid w:val="00CB5ADB"/>
    <w:rsid w:val="00CB73B3"/>
    <w:rsid w:val="00CC25CE"/>
    <w:rsid w:val="00CC295D"/>
    <w:rsid w:val="00CC3FF8"/>
    <w:rsid w:val="00CD4FD1"/>
    <w:rsid w:val="00CD7D3A"/>
    <w:rsid w:val="00CE331A"/>
    <w:rsid w:val="00CE350F"/>
    <w:rsid w:val="00CE3F7C"/>
    <w:rsid w:val="00CE4297"/>
    <w:rsid w:val="00CE5E56"/>
    <w:rsid w:val="00CF0692"/>
    <w:rsid w:val="00CF5B5D"/>
    <w:rsid w:val="00D02BA9"/>
    <w:rsid w:val="00D02D83"/>
    <w:rsid w:val="00D0330F"/>
    <w:rsid w:val="00D03627"/>
    <w:rsid w:val="00D055E6"/>
    <w:rsid w:val="00D05895"/>
    <w:rsid w:val="00D05A41"/>
    <w:rsid w:val="00D078AA"/>
    <w:rsid w:val="00D07A37"/>
    <w:rsid w:val="00D11488"/>
    <w:rsid w:val="00D1404D"/>
    <w:rsid w:val="00D1443B"/>
    <w:rsid w:val="00D148C5"/>
    <w:rsid w:val="00D15F1E"/>
    <w:rsid w:val="00D1707D"/>
    <w:rsid w:val="00D222CA"/>
    <w:rsid w:val="00D27AD2"/>
    <w:rsid w:val="00D30ECA"/>
    <w:rsid w:val="00D33930"/>
    <w:rsid w:val="00D34121"/>
    <w:rsid w:val="00D34230"/>
    <w:rsid w:val="00D3531D"/>
    <w:rsid w:val="00D35863"/>
    <w:rsid w:val="00D37304"/>
    <w:rsid w:val="00D40FC1"/>
    <w:rsid w:val="00D431DF"/>
    <w:rsid w:val="00D4407D"/>
    <w:rsid w:val="00D4412F"/>
    <w:rsid w:val="00D4433B"/>
    <w:rsid w:val="00D44DD8"/>
    <w:rsid w:val="00D4766A"/>
    <w:rsid w:val="00D60705"/>
    <w:rsid w:val="00D635AF"/>
    <w:rsid w:val="00D65383"/>
    <w:rsid w:val="00D655A5"/>
    <w:rsid w:val="00D70B58"/>
    <w:rsid w:val="00D72FBF"/>
    <w:rsid w:val="00D745AD"/>
    <w:rsid w:val="00D76F09"/>
    <w:rsid w:val="00D77408"/>
    <w:rsid w:val="00D81006"/>
    <w:rsid w:val="00D81746"/>
    <w:rsid w:val="00D8381A"/>
    <w:rsid w:val="00D85479"/>
    <w:rsid w:val="00D87EB0"/>
    <w:rsid w:val="00D911B4"/>
    <w:rsid w:val="00D91A4F"/>
    <w:rsid w:val="00D94B33"/>
    <w:rsid w:val="00D953C9"/>
    <w:rsid w:val="00D9702D"/>
    <w:rsid w:val="00DA14D7"/>
    <w:rsid w:val="00DA2CDD"/>
    <w:rsid w:val="00DA60E9"/>
    <w:rsid w:val="00DA797C"/>
    <w:rsid w:val="00DB1489"/>
    <w:rsid w:val="00DB4281"/>
    <w:rsid w:val="00DB7D2C"/>
    <w:rsid w:val="00DC154F"/>
    <w:rsid w:val="00DC40E9"/>
    <w:rsid w:val="00DC6B68"/>
    <w:rsid w:val="00DD328F"/>
    <w:rsid w:val="00DD7A15"/>
    <w:rsid w:val="00DE01C1"/>
    <w:rsid w:val="00DE2A6B"/>
    <w:rsid w:val="00DE35DE"/>
    <w:rsid w:val="00DE5C14"/>
    <w:rsid w:val="00DE6723"/>
    <w:rsid w:val="00DE78B4"/>
    <w:rsid w:val="00DF0304"/>
    <w:rsid w:val="00DF0694"/>
    <w:rsid w:val="00DF1E82"/>
    <w:rsid w:val="00DF2745"/>
    <w:rsid w:val="00DF3906"/>
    <w:rsid w:val="00DF45E1"/>
    <w:rsid w:val="00DF53DC"/>
    <w:rsid w:val="00DF7C7A"/>
    <w:rsid w:val="00E00236"/>
    <w:rsid w:val="00E005C2"/>
    <w:rsid w:val="00E047FF"/>
    <w:rsid w:val="00E05309"/>
    <w:rsid w:val="00E06868"/>
    <w:rsid w:val="00E06B73"/>
    <w:rsid w:val="00E06D60"/>
    <w:rsid w:val="00E07038"/>
    <w:rsid w:val="00E0714C"/>
    <w:rsid w:val="00E10251"/>
    <w:rsid w:val="00E124B6"/>
    <w:rsid w:val="00E13041"/>
    <w:rsid w:val="00E1363D"/>
    <w:rsid w:val="00E14406"/>
    <w:rsid w:val="00E14D53"/>
    <w:rsid w:val="00E1562F"/>
    <w:rsid w:val="00E20799"/>
    <w:rsid w:val="00E20C06"/>
    <w:rsid w:val="00E20EFA"/>
    <w:rsid w:val="00E20F60"/>
    <w:rsid w:val="00E2487B"/>
    <w:rsid w:val="00E26D29"/>
    <w:rsid w:val="00E27E13"/>
    <w:rsid w:val="00E34826"/>
    <w:rsid w:val="00E34B2C"/>
    <w:rsid w:val="00E34BDF"/>
    <w:rsid w:val="00E34E29"/>
    <w:rsid w:val="00E36548"/>
    <w:rsid w:val="00E36BFE"/>
    <w:rsid w:val="00E37501"/>
    <w:rsid w:val="00E404D9"/>
    <w:rsid w:val="00E40F9D"/>
    <w:rsid w:val="00E4141D"/>
    <w:rsid w:val="00E414C1"/>
    <w:rsid w:val="00E42A85"/>
    <w:rsid w:val="00E42C01"/>
    <w:rsid w:val="00E45B73"/>
    <w:rsid w:val="00E51CC9"/>
    <w:rsid w:val="00E52B93"/>
    <w:rsid w:val="00E5301A"/>
    <w:rsid w:val="00E54AC7"/>
    <w:rsid w:val="00E55546"/>
    <w:rsid w:val="00E55729"/>
    <w:rsid w:val="00E55A44"/>
    <w:rsid w:val="00E572DE"/>
    <w:rsid w:val="00E5756E"/>
    <w:rsid w:val="00E57AEA"/>
    <w:rsid w:val="00E57D2C"/>
    <w:rsid w:val="00E60FA0"/>
    <w:rsid w:val="00E617E8"/>
    <w:rsid w:val="00E6409E"/>
    <w:rsid w:val="00E6516F"/>
    <w:rsid w:val="00E66D99"/>
    <w:rsid w:val="00E7156E"/>
    <w:rsid w:val="00E75BC4"/>
    <w:rsid w:val="00E824F6"/>
    <w:rsid w:val="00E83D18"/>
    <w:rsid w:val="00E83EDF"/>
    <w:rsid w:val="00E84861"/>
    <w:rsid w:val="00E8490A"/>
    <w:rsid w:val="00E85385"/>
    <w:rsid w:val="00E853A5"/>
    <w:rsid w:val="00E86695"/>
    <w:rsid w:val="00E8672E"/>
    <w:rsid w:val="00E8676B"/>
    <w:rsid w:val="00E86887"/>
    <w:rsid w:val="00E9757B"/>
    <w:rsid w:val="00E97CDC"/>
    <w:rsid w:val="00EA0545"/>
    <w:rsid w:val="00EA18E7"/>
    <w:rsid w:val="00EA289C"/>
    <w:rsid w:val="00EA3457"/>
    <w:rsid w:val="00EA4991"/>
    <w:rsid w:val="00EA548A"/>
    <w:rsid w:val="00EA66B1"/>
    <w:rsid w:val="00EA7E35"/>
    <w:rsid w:val="00EB61A5"/>
    <w:rsid w:val="00EB6A0C"/>
    <w:rsid w:val="00EB7E5C"/>
    <w:rsid w:val="00EC1202"/>
    <w:rsid w:val="00EC1FD6"/>
    <w:rsid w:val="00EC6120"/>
    <w:rsid w:val="00EC713B"/>
    <w:rsid w:val="00EC7DDE"/>
    <w:rsid w:val="00ED5411"/>
    <w:rsid w:val="00ED60CE"/>
    <w:rsid w:val="00ED7BF2"/>
    <w:rsid w:val="00EE0CA8"/>
    <w:rsid w:val="00EE143D"/>
    <w:rsid w:val="00EE516E"/>
    <w:rsid w:val="00EE587B"/>
    <w:rsid w:val="00EE7263"/>
    <w:rsid w:val="00EF0184"/>
    <w:rsid w:val="00EF0B13"/>
    <w:rsid w:val="00EF1037"/>
    <w:rsid w:val="00EF10E5"/>
    <w:rsid w:val="00EF2778"/>
    <w:rsid w:val="00EF2FA2"/>
    <w:rsid w:val="00EF2FDB"/>
    <w:rsid w:val="00EF394A"/>
    <w:rsid w:val="00EF45B8"/>
    <w:rsid w:val="00EF645F"/>
    <w:rsid w:val="00F031B1"/>
    <w:rsid w:val="00F03CF5"/>
    <w:rsid w:val="00F048BC"/>
    <w:rsid w:val="00F05513"/>
    <w:rsid w:val="00F05AF0"/>
    <w:rsid w:val="00F07DC9"/>
    <w:rsid w:val="00F10314"/>
    <w:rsid w:val="00F1062C"/>
    <w:rsid w:val="00F109A7"/>
    <w:rsid w:val="00F15199"/>
    <w:rsid w:val="00F17D28"/>
    <w:rsid w:val="00F208C6"/>
    <w:rsid w:val="00F20FB7"/>
    <w:rsid w:val="00F30612"/>
    <w:rsid w:val="00F311B7"/>
    <w:rsid w:val="00F3449E"/>
    <w:rsid w:val="00F35288"/>
    <w:rsid w:val="00F362A7"/>
    <w:rsid w:val="00F40777"/>
    <w:rsid w:val="00F416CD"/>
    <w:rsid w:val="00F425C4"/>
    <w:rsid w:val="00F43508"/>
    <w:rsid w:val="00F43FB8"/>
    <w:rsid w:val="00F47C9E"/>
    <w:rsid w:val="00F505DA"/>
    <w:rsid w:val="00F544D3"/>
    <w:rsid w:val="00F5459E"/>
    <w:rsid w:val="00F55361"/>
    <w:rsid w:val="00F55DFE"/>
    <w:rsid w:val="00F56EBC"/>
    <w:rsid w:val="00F571DF"/>
    <w:rsid w:val="00F579CB"/>
    <w:rsid w:val="00F64BFD"/>
    <w:rsid w:val="00F64F55"/>
    <w:rsid w:val="00F66105"/>
    <w:rsid w:val="00F676E2"/>
    <w:rsid w:val="00F72967"/>
    <w:rsid w:val="00F748F7"/>
    <w:rsid w:val="00F813CB"/>
    <w:rsid w:val="00F829C2"/>
    <w:rsid w:val="00F8531D"/>
    <w:rsid w:val="00F85A57"/>
    <w:rsid w:val="00F86C79"/>
    <w:rsid w:val="00F94838"/>
    <w:rsid w:val="00F9665F"/>
    <w:rsid w:val="00FA0B12"/>
    <w:rsid w:val="00FA3A86"/>
    <w:rsid w:val="00FA74F4"/>
    <w:rsid w:val="00FA7611"/>
    <w:rsid w:val="00FB1D78"/>
    <w:rsid w:val="00FB4906"/>
    <w:rsid w:val="00FB4DA7"/>
    <w:rsid w:val="00FB53C0"/>
    <w:rsid w:val="00FB604B"/>
    <w:rsid w:val="00FB676B"/>
    <w:rsid w:val="00FC2D7F"/>
    <w:rsid w:val="00FC5825"/>
    <w:rsid w:val="00FC601D"/>
    <w:rsid w:val="00FC68D1"/>
    <w:rsid w:val="00FD0E06"/>
    <w:rsid w:val="00FD3556"/>
    <w:rsid w:val="00FD4ADB"/>
    <w:rsid w:val="00FE3542"/>
    <w:rsid w:val="00FE3F12"/>
    <w:rsid w:val="00FE4246"/>
    <w:rsid w:val="00FE5555"/>
    <w:rsid w:val="00FF23CA"/>
    <w:rsid w:val="00FF26E9"/>
    <w:rsid w:val="00FF7A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35863C1"/>
  <w15:docId w15:val="{61E05ABA-B091-48B8-848F-21046521E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44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D745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745AD"/>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D745AD"/>
    <w:rPr>
      <w:color w:val="0000FF"/>
      <w:u w:val="single"/>
    </w:rPr>
  </w:style>
  <w:style w:type="character" w:styleId="UnresolvedMention">
    <w:name w:val="Unresolved Mention"/>
    <w:basedOn w:val="DefaultParagraphFont"/>
    <w:uiPriority w:val="99"/>
    <w:semiHidden/>
    <w:unhideWhenUsed/>
    <w:rsid w:val="00273CCB"/>
    <w:rPr>
      <w:color w:val="605E5C"/>
      <w:shd w:val="clear" w:color="auto" w:fill="E1DFDD"/>
    </w:rPr>
  </w:style>
  <w:style w:type="paragraph" w:styleId="ListParagraph">
    <w:name w:val="List Paragraph"/>
    <w:basedOn w:val="Normal"/>
    <w:uiPriority w:val="34"/>
    <w:qFormat/>
    <w:rsid w:val="0070046A"/>
    <w:pPr>
      <w:ind w:left="720"/>
      <w:contextualSpacing/>
    </w:pPr>
  </w:style>
  <w:style w:type="paragraph" w:styleId="FootnoteText">
    <w:name w:val="footnote text"/>
    <w:basedOn w:val="Normal"/>
    <w:link w:val="FootnoteTextChar"/>
    <w:uiPriority w:val="99"/>
    <w:unhideWhenUsed/>
    <w:rsid w:val="00066E7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066E7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66E7C"/>
    <w:rPr>
      <w:rFonts w:cs="Times New Roman"/>
      <w:vertAlign w:val="superscript"/>
    </w:rPr>
  </w:style>
  <w:style w:type="table" w:styleId="TableGrid">
    <w:name w:val="Table Grid"/>
    <w:basedOn w:val="TableNormal"/>
    <w:uiPriority w:val="39"/>
    <w:rsid w:val="00DC40E9"/>
    <w:pPr>
      <w:spacing w:after="0" w:line="240" w:lineRule="auto"/>
    </w:pPr>
    <w:rPr>
      <w:rFonts w:eastAsia="Times New Roman" w:cs="Arial"/>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C40E9"/>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character" w:customStyle="1" w:styleId="fontstyle01">
    <w:name w:val="fontstyle01"/>
    <w:basedOn w:val="DefaultParagraphFont"/>
    <w:rsid w:val="00DC40E9"/>
    <w:rPr>
      <w:rFonts w:ascii="Helvetica" w:hAnsi="Helvetica" w:cs="Times New Roman"/>
      <w:color w:val="000000"/>
      <w:sz w:val="20"/>
      <w:szCs w:val="20"/>
    </w:rPr>
  </w:style>
  <w:style w:type="paragraph" w:styleId="Header">
    <w:name w:val="header"/>
    <w:basedOn w:val="Normal"/>
    <w:link w:val="HeaderChar"/>
    <w:uiPriority w:val="99"/>
    <w:unhideWhenUsed/>
    <w:rsid w:val="00315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2B1"/>
  </w:style>
  <w:style w:type="paragraph" w:styleId="Footer">
    <w:name w:val="footer"/>
    <w:basedOn w:val="Normal"/>
    <w:link w:val="FooterChar"/>
    <w:uiPriority w:val="99"/>
    <w:unhideWhenUsed/>
    <w:rsid w:val="00315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2B1"/>
  </w:style>
  <w:style w:type="character" w:customStyle="1" w:styleId="fontstyle21">
    <w:name w:val="fontstyle21"/>
    <w:basedOn w:val="DefaultParagraphFont"/>
    <w:rsid w:val="005C5CFC"/>
    <w:rPr>
      <w:b w:val="0"/>
      <w:bCs w:val="0"/>
      <w:i/>
      <w:iCs/>
      <w:color w:val="242021"/>
      <w:sz w:val="24"/>
      <w:szCs w:val="24"/>
    </w:rPr>
  </w:style>
  <w:style w:type="character" w:customStyle="1" w:styleId="fontstyle31">
    <w:name w:val="fontstyle31"/>
    <w:basedOn w:val="DefaultParagraphFont"/>
    <w:rsid w:val="005C5CFC"/>
    <w:rPr>
      <w:rFonts w:ascii="BookAntiqua-Bold" w:hAnsi="BookAntiqua-Bold" w:hint="default"/>
      <w:b/>
      <w:bCs/>
      <w:i w:val="0"/>
      <w:iCs w:val="0"/>
      <w:color w:val="242021"/>
      <w:sz w:val="28"/>
      <w:szCs w:val="28"/>
    </w:rPr>
  </w:style>
  <w:style w:type="character" w:customStyle="1" w:styleId="fontstyle41">
    <w:name w:val="fontstyle41"/>
    <w:basedOn w:val="DefaultParagraphFont"/>
    <w:rsid w:val="005C5CFC"/>
    <w:rPr>
      <w:rFonts w:ascii="Corbel" w:hAnsi="Corbel" w:hint="default"/>
      <w:b w:val="0"/>
      <w:bCs w:val="0"/>
      <w:i w:val="0"/>
      <w:iCs w:val="0"/>
      <w:color w:val="242021"/>
      <w:sz w:val="18"/>
      <w:szCs w:val="18"/>
    </w:rPr>
  </w:style>
  <w:style w:type="character" w:customStyle="1" w:styleId="fontstyle51">
    <w:name w:val="fontstyle51"/>
    <w:basedOn w:val="DefaultParagraphFont"/>
    <w:rsid w:val="005C5CFC"/>
    <w:rPr>
      <w:rFonts w:ascii="Jura" w:hAnsi="Jura" w:hint="default"/>
      <w:b w:val="0"/>
      <w:bCs w:val="0"/>
      <w:i w:val="0"/>
      <w:iCs w:val="0"/>
      <w:color w:val="242021"/>
      <w:sz w:val="20"/>
      <w:szCs w:val="20"/>
    </w:rPr>
  </w:style>
  <w:style w:type="character" w:customStyle="1" w:styleId="fontstyle11">
    <w:name w:val="fontstyle11"/>
    <w:basedOn w:val="DefaultParagraphFont"/>
    <w:rsid w:val="00222FC3"/>
    <w:rPr>
      <w:rFonts w:ascii="Garamond Transliterasi Tajwid" w:hAnsi="Garamond Transliterasi Tajwid" w:hint="default"/>
      <w:b w:val="0"/>
      <w:bCs w:val="0"/>
      <w:i w:val="0"/>
      <w:iCs w:val="0"/>
      <w:color w:val="000000"/>
      <w:sz w:val="22"/>
      <w:szCs w:val="22"/>
    </w:rPr>
  </w:style>
  <w:style w:type="character" w:styleId="Emphasis">
    <w:name w:val="Emphasis"/>
    <w:basedOn w:val="DefaultParagraphFont"/>
    <w:uiPriority w:val="20"/>
    <w:qFormat/>
    <w:rsid w:val="0053544E"/>
    <w:rPr>
      <w:i/>
      <w:iCs/>
    </w:rPr>
  </w:style>
  <w:style w:type="character" w:customStyle="1" w:styleId="Heading1Char">
    <w:name w:val="Heading 1 Char"/>
    <w:basedOn w:val="DefaultParagraphFont"/>
    <w:link w:val="Heading1"/>
    <w:uiPriority w:val="9"/>
    <w:rsid w:val="004544BF"/>
    <w:rPr>
      <w:rFonts w:asciiTheme="majorHAnsi" w:eastAsiaTheme="majorEastAsia" w:hAnsiTheme="majorHAnsi" w:cstheme="majorBidi"/>
      <w:color w:val="2F5496" w:themeColor="accent1" w:themeShade="BF"/>
      <w:sz w:val="32"/>
      <w:szCs w:val="32"/>
    </w:rPr>
  </w:style>
  <w:style w:type="character" w:styleId="HTMLCite">
    <w:name w:val="HTML Cite"/>
    <w:basedOn w:val="DefaultParagraphFont"/>
    <w:uiPriority w:val="99"/>
    <w:semiHidden/>
    <w:unhideWhenUsed/>
    <w:rsid w:val="004544BF"/>
    <w:rPr>
      <w:i/>
      <w:iCs/>
    </w:rPr>
  </w:style>
  <w:style w:type="character" w:customStyle="1" w:styleId="nlmarticle-title">
    <w:name w:val="nlm_article-title"/>
    <w:basedOn w:val="DefaultParagraphFont"/>
    <w:rsid w:val="004544BF"/>
  </w:style>
  <w:style w:type="character" w:customStyle="1" w:styleId="specialtitle">
    <w:name w:val="specialtitle"/>
    <w:basedOn w:val="DefaultParagraphFont"/>
    <w:rsid w:val="004544BF"/>
  </w:style>
  <w:style w:type="character" w:customStyle="1" w:styleId="titleauthoretc">
    <w:name w:val="titleauthoretc"/>
    <w:basedOn w:val="DefaultParagraphFont"/>
    <w:rsid w:val="00A04CCB"/>
  </w:style>
  <w:style w:type="character" w:customStyle="1" w:styleId="accordion-tabbedcontrol">
    <w:name w:val="accordion-tabbed__control"/>
    <w:basedOn w:val="DefaultParagraphFont"/>
    <w:rsid w:val="00B82E1B"/>
  </w:style>
  <w:style w:type="paragraph" w:styleId="BalloonText">
    <w:name w:val="Balloon Text"/>
    <w:basedOn w:val="Normal"/>
    <w:link w:val="BalloonTextChar"/>
    <w:uiPriority w:val="99"/>
    <w:semiHidden/>
    <w:unhideWhenUsed/>
    <w:rsid w:val="005749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970"/>
    <w:rPr>
      <w:rFonts w:ascii="Segoe UI" w:hAnsi="Segoe UI" w:cs="Segoe UI"/>
      <w:sz w:val="18"/>
      <w:szCs w:val="18"/>
    </w:rPr>
  </w:style>
  <w:style w:type="character" w:styleId="CommentReference">
    <w:name w:val="annotation reference"/>
    <w:basedOn w:val="DefaultParagraphFont"/>
    <w:uiPriority w:val="99"/>
    <w:semiHidden/>
    <w:unhideWhenUsed/>
    <w:rsid w:val="00B1490C"/>
    <w:rPr>
      <w:sz w:val="16"/>
      <w:szCs w:val="16"/>
    </w:rPr>
  </w:style>
  <w:style w:type="paragraph" w:styleId="CommentText">
    <w:name w:val="annotation text"/>
    <w:basedOn w:val="Normal"/>
    <w:link w:val="CommentTextChar"/>
    <w:uiPriority w:val="99"/>
    <w:semiHidden/>
    <w:unhideWhenUsed/>
    <w:rsid w:val="00B1490C"/>
    <w:pPr>
      <w:spacing w:line="240" w:lineRule="auto"/>
    </w:pPr>
    <w:rPr>
      <w:sz w:val="20"/>
      <w:szCs w:val="20"/>
    </w:rPr>
  </w:style>
  <w:style w:type="character" w:customStyle="1" w:styleId="CommentTextChar">
    <w:name w:val="Comment Text Char"/>
    <w:basedOn w:val="DefaultParagraphFont"/>
    <w:link w:val="CommentText"/>
    <w:uiPriority w:val="99"/>
    <w:semiHidden/>
    <w:rsid w:val="00B1490C"/>
    <w:rPr>
      <w:sz w:val="20"/>
      <w:szCs w:val="20"/>
    </w:rPr>
  </w:style>
  <w:style w:type="paragraph" w:styleId="CommentSubject">
    <w:name w:val="annotation subject"/>
    <w:basedOn w:val="CommentText"/>
    <w:next w:val="CommentText"/>
    <w:link w:val="CommentSubjectChar"/>
    <w:uiPriority w:val="99"/>
    <w:semiHidden/>
    <w:unhideWhenUsed/>
    <w:rsid w:val="00B1490C"/>
    <w:rPr>
      <w:b/>
      <w:bCs/>
    </w:rPr>
  </w:style>
  <w:style w:type="character" w:customStyle="1" w:styleId="CommentSubjectChar">
    <w:name w:val="Comment Subject Char"/>
    <w:basedOn w:val="CommentTextChar"/>
    <w:link w:val="CommentSubject"/>
    <w:uiPriority w:val="99"/>
    <w:semiHidden/>
    <w:rsid w:val="00B149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126117">
      <w:bodyDiv w:val="1"/>
      <w:marLeft w:val="0"/>
      <w:marRight w:val="0"/>
      <w:marTop w:val="0"/>
      <w:marBottom w:val="0"/>
      <w:divBdr>
        <w:top w:val="none" w:sz="0" w:space="0" w:color="auto"/>
        <w:left w:val="none" w:sz="0" w:space="0" w:color="auto"/>
        <w:bottom w:val="none" w:sz="0" w:space="0" w:color="auto"/>
        <w:right w:val="none" w:sz="0" w:space="0" w:color="auto"/>
      </w:divBdr>
    </w:div>
    <w:div w:id="172187672">
      <w:bodyDiv w:val="1"/>
      <w:marLeft w:val="0"/>
      <w:marRight w:val="0"/>
      <w:marTop w:val="0"/>
      <w:marBottom w:val="0"/>
      <w:divBdr>
        <w:top w:val="none" w:sz="0" w:space="0" w:color="auto"/>
        <w:left w:val="none" w:sz="0" w:space="0" w:color="auto"/>
        <w:bottom w:val="none" w:sz="0" w:space="0" w:color="auto"/>
        <w:right w:val="none" w:sz="0" w:space="0" w:color="auto"/>
      </w:divBdr>
      <w:divsChild>
        <w:div w:id="1388645424">
          <w:marLeft w:val="0"/>
          <w:marRight w:val="0"/>
          <w:marTop w:val="0"/>
          <w:marBottom w:val="0"/>
          <w:divBdr>
            <w:top w:val="none" w:sz="0" w:space="0" w:color="auto"/>
            <w:left w:val="none" w:sz="0" w:space="0" w:color="auto"/>
            <w:bottom w:val="none" w:sz="0" w:space="0" w:color="auto"/>
            <w:right w:val="none" w:sz="0" w:space="0" w:color="auto"/>
          </w:divBdr>
          <w:divsChild>
            <w:div w:id="569460630">
              <w:marLeft w:val="0"/>
              <w:marRight w:val="0"/>
              <w:marTop w:val="0"/>
              <w:marBottom w:val="0"/>
              <w:divBdr>
                <w:top w:val="none" w:sz="0" w:space="0" w:color="auto"/>
                <w:left w:val="none" w:sz="0" w:space="0" w:color="auto"/>
                <w:bottom w:val="none" w:sz="0" w:space="0" w:color="auto"/>
                <w:right w:val="none" w:sz="0" w:space="0" w:color="auto"/>
              </w:divBdr>
              <w:divsChild>
                <w:div w:id="2329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7494">
      <w:bodyDiv w:val="1"/>
      <w:marLeft w:val="0"/>
      <w:marRight w:val="0"/>
      <w:marTop w:val="0"/>
      <w:marBottom w:val="0"/>
      <w:divBdr>
        <w:top w:val="none" w:sz="0" w:space="0" w:color="auto"/>
        <w:left w:val="none" w:sz="0" w:space="0" w:color="auto"/>
        <w:bottom w:val="none" w:sz="0" w:space="0" w:color="auto"/>
        <w:right w:val="none" w:sz="0" w:space="0" w:color="auto"/>
      </w:divBdr>
      <w:divsChild>
        <w:div w:id="1692951149">
          <w:marLeft w:val="915"/>
          <w:marRight w:val="0"/>
          <w:marTop w:val="0"/>
          <w:marBottom w:val="0"/>
          <w:divBdr>
            <w:top w:val="none" w:sz="0" w:space="0" w:color="auto"/>
            <w:left w:val="none" w:sz="0" w:space="0" w:color="auto"/>
            <w:bottom w:val="none" w:sz="0" w:space="0" w:color="auto"/>
            <w:right w:val="none" w:sz="0" w:space="0" w:color="auto"/>
          </w:divBdr>
          <w:divsChild>
            <w:div w:id="175308959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334185032">
      <w:bodyDiv w:val="1"/>
      <w:marLeft w:val="0"/>
      <w:marRight w:val="0"/>
      <w:marTop w:val="0"/>
      <w:marBottom w:val="0"/>
      <w:divBdr>
        <w:top w:val="none" w:sz="0" w:space="0" w:color="auto"/>
        <w:left w:val="none" w:sz="0" w:space="0" w:color="auto"/>
        <w:bottom w:val="none" w:sz="0" w:space="0" w:color="auto"/>
        <w:right w:val="none" w:sz="0" w:space="0" w:color="auto"/>
      </w:divBdr>
    </w:div>
    <w:div w:id="465777844">
      <w:bodyDiv w:val="1"/>
      <w:marLeft w:val="0"/>
      <w:marRight w:val="0"/>
      <w:marTop w:val="0"/>
      <w:marBottom w:val="0"/>
      <w:divBdr>
        <w:top w:val="none" w:sz="0" w:space="0" w:color="auto"/>
        <w:left w:val="none" w:sz="0" w:space="0" w:color="auto"/>
        <w:bottom w:val="none" w:sz="0" w:space="0" w:color="auto"/>
        <w:right w:val="none" w:sz="0" w:space="0" w:color="auto"/>
      </w:divBdr>
    </w:div>
    <w:div w:id="585462381">
      <w:bodyDiv w:val="1"/>
      <w:marLeft w:val="0"/>
      <w:marRight w:val="0"/>
      <w:marTop w:val="0"/>
      <w:marBottom w:val="0"/>
      <w:divBdr>
        <w:top w:val="none" w:sz="0" w:space="0" w:color="auto"/>
        <w:left w:val="none" w:sz="0" w:space="0" w:color="auto"/>
        <w:bottom w:val="none" w:sz="0" w:space="0" w:color="auto"/>
        <w:right w:val="none" w:sz="0" w:space="0" w:color="auto"/>
      </w:divBdr>
      <w:divsChild>
        <w:div w:id="2135831266">
          <w:marLeft w:val="0"/>
          <w:marRight w:val="0"/>
          <w:marTop w:val="0"/>
          <w:marBottom w:val="0"/>
          <w:divBdr>
            <w:top w:val="none" w:sz="0" w:space="0" w:color="auto"/>
            <w:left w:val="none" w:sz="0" w:space="0" w:color="auto"/>
            <w:bottom w:val="none" w:sz="0" w:space="0" w:color="auto"/>
            <w:right w:val="none" w:sz="0" w:space="0" w:color="auto"/>
          </w:divBdr>
        </w:div>
        <w:div w:id="1683237505">
          <w:marLeft w:val="0"/>
          <w:marRight w:val="0"/>
          <w:marTop w:val="0"/>
          <w:marBottom w:val="0"/>
          <w:divBdr>
            <w:top w:val="none" w:sz="0" w:space="0" w:color="auto"/>
            <w:left w:val="none" w:sz="0" w:space="0" w:color="auto"/>
            <w:bottom w:val="none" w:sz="0" w:space="0" w:color="auto"/>
            <w:right w:val="none" w:sz="0" w:space="0" w:color="auto"/>
          </w:divBdr>
          <w:divsChild>
            <w:div w:id="3935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588595">
      <w:bodyDiv w:val="1"/>
      <w:marLeft w:val="0"/>
      <w:marRight w:val="0"/>
      <w:marTop w:val="0"/>
      <w:marBottom w:val="0"/>
      <w:divBdr>
        <w:top w:val="none" w:sz="0" w:space="0" w:color="auto"/>
        <w:left w:val="none" w:sz="0" w:space="0" w:color="auto"/>
        <w:bottom w:val="none" w:sz="0" w:space="0" w:color="auto"/>
        <w:right w:val="none" w:sz="0" w:space="0" w:color="auto"/>
      </w:divBdr>
      <w:divsChild>
        <w:div w:id="54863639">
          <w:marLeft w:val="0"/>
          <w:marRight w:val="0"/>
          <w:marTop w:val="0"/>
          <w:marBottom w:val="0"/>
          <w:divBdr>
            <w:top w:val="single" w:sz="6" w:space="4" w:color="A5E6F8"/>
            <w:left w:val="none" w:sz="0" w:space="0" w:color="auto"/>
            <w:bottom w:val="single" w:sz="12" w:space="4" w:color="A5E6F8"/>
            <w:right w:val="none" w:sz="0" w:space="0" w:color="auto"/>
          </w:divBdr>
        </w:div>
      </w:divsChild>
    </w:div>
    <w:div w:id="784540836">
      <w:bodyDiv w:val="1"/>
      <w:marLeft w:val="0"/>
      <w:marRight w:val="0"/>
      <w:marTop w:val="0"/>
      <w:marBottom w:val="0"/>
      <w:divBdr>
        <w:top w:val="none" w:sz="0" w:space="0" w:color="auto"/>
        <w:left w:val="none" w:sz="0" w:space="0" w:color="auto"/>
        <w:bottom w:val="none" w:sz="0" w:space="0" w:color="auto"/>
        <w:right w:val="none" w:sz="0" w:space="0" w:color="auto"/>
      </w:divBdr>
    </w:div>
    <w:div w:id="871187603">
      <w:bodyDiv w:val="1"/>
      <w:marLeft w:val="0"/>
      <w:marRight w:val="0"/>
      <w:marTop w:val="0"/>
      <w:marBottom w:val="0"/>
      <w:divBdr>
        <w:top w:val="none" w:sz="0" w:space="0" w:color="auto"/>
        <w:left w:val="none" w:sz="0" w:space="0" w:color="auto"/>
        <w:bottom w:val="none" w:sz="0" w:space="0" w:color="auto"/>
        <w:right w:val="none" w:sz="0" w:space="0" w:color="auto"/>
      </w:divBdr>
      <w:divsChild>
        <w:div w:id="279653051">
          <w:marLeft w:val="0"/>
          <w:marRight w:val="0"/>
          <w:marTop w:val="0"/>
          <w:marBottom w:val="0"/>
          <w:divBdr>
            <w:top w:val="none" w:sz="0" w:space="0" w:color="auto"/>
            <w:left w:val="none" w:sz="0" w:space="0" w:color="auto"/>
            <w:bottom w:val="none" w:sz="0" w:space="0" w:color="auto"/>
            <w:right w:val="none" w:sz="0" w:space="0" w:color="auto"/>
          </w:divBdr>
          <w:divsChild>
            <w:div w:id="1593466944">
              <w:marLeft w:val="0"/>
              <w:marRight w:val="0"/>
              <w:marTop w:val="0"/>
              <w:marBottom w:val="0"/>
              <w:divBdr>
                <w:top w:val="none" w:sz="0" w:space="0" w:color="auto"/>
                <w:left w:val="none" w:sz="0" w:space="0" w:color="auto"/>
                <w:bottom w:val="none" w:sz="0" w:space="0" w:color="auto"/>
                <w:right w:val="none" w:sz="0" w:space="0" w:color="auto"/>
              </w:divBdr>
              <w:divsChild>
                <w:div w:id="164103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319750">
          <w:marLeft w:val="0"/>
          <w:marRight w:val="0"/>
          <w:marTop w:val="0"/>
          <w:marBottom w:val="0"/>
          <w:divBdr>
            <w:top w:val="none" w:sz="0" w:space="0" w:color="auto"/>
            <w:left w:val="none" w:sz="0" w:space="0" w:color="auto"/>
            <w:bottom w:val="none" w:sz="0" w:space="0" w:color="auto"/>
            <w:right w:val="none" w:sz="0" w:space="0" w:color="auto"/>
          </w:divBdr>
          <w:divsChild>
            <w:div w:id="1682514494">
              <w:marLeft w:val="0"/>
              <w:marRight w:val="0"/>
              <w:marTop w:val="0"/>
              <w:marBottom w:val="0"/>
              <w:divBdr>
                <w:top w:val="none" w:sz="0" w:space="0" w:color="auto"/>
                <w:left w:val="none" w:sz="0" w:space="0" w:color="auto"/>
                <w:bottom w:val="none" w:sz="0" w:space="0" w:color="auto"/>
                <w:right w:val="none" w:sz="0" w:space="0" w:color="auto"/>
              </w:divBdr>
            </w:div>
            <w:div w:id="1053457636">
              <w:marLeft w:val="0"/>
              <w:marRight w:val="0"/>
              <w:marTop w:val="0"/>
              <w:marBottom w:val="0"/>
              <w:divBdr>
                <w:top w:val="none" w:sz="0" w:space="0" w:color="auto"/>
                <w:left w:val="none" w:sz="0" w:space="0" w:color="auto"/>
                <w:bottom w:val="none" w:sz="0" w:space="0" w:color="auto"/>
                <w:right w:val="none" w:sz="0" w:space="0" w:color="auto"/>
              </w:divBdr>
              <w:divsChild>
                <w:div w:id="987250115">
                  <w:marLeft w:val="0"/>
                  <w:marRight w:val="0"/>
                  <w:marTop w:val="0"/>
                  <w:marBottom w:val="0"/>
                  <w:divBdr>
                    <w:top w:val="none" w:sz="0" w:space="0" w:color="auto"/>
                    <w:left w:val="none" w:sz="0" w:space="0" w:color="auto"/>
                    <w:bottom w:val="none" w:sz="0" w:space="0" w:color="auto"/>
                    <w:right w:val="none" w:sz="0" w:space="0" w:color="auto"/>
                  </w:divBdr>
                  <w:divsChild>
                    <w:div w:id="1054886318">
                      <w:marLeft w:val="0"/>
                      <w:marRight w:val="0"/>
                      <w:marTop w:val="0"/>
                      <w:marBottom w:val="0"/>
                      <w:divBdr>
                        <w:top w:val="none" w:sz="0" w:space="0" w:color="auto"/>
                        <w:left w:val="none" w:sz="0" w:space="0" w:color="auto"/>
                        <w:bottom w:val="none" w:sz="0" w:space="0" w:color="auto"/>
                        <w:right w:val="none" w:sz="0" w:space="0" w:color="auto"/>
                      </w:divBdr>
                    </w:div>
                    <w:div w:id="344866008">
                      <w:marLeft w:val="0"/>
                      <w:marRight w:val="0"/>
                      <w:marTop w:val="0"/>
                      <w:marBottom w:val="0"/>
                      <w:divBdr>
                        <w:top w:val="none" w:sz="0" w:space="0" w:color="auto"/>
                        <w:left w:val="none" w:sz="0" w:space="0" w:color="auto"/>
                        <w:bottom w:val="none" w:sz="0" w:space="0" w:color="auto"/>
                        <w:right w:val="none" w:sz="0" w:space="0" w:color="auto"/>
                      </w:divBdr>
                      <w:divsChild>
                        <w:div w:id="111405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7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4396">
      <w:bodyDiv w:val="1"/>
      <w:marLeft w:val="0"/>
      <w:marRight w:val="0"/>
      <w:marTop w:val="0"/>
      <w:marBottom w:val="0"/>
      <w:divBdr>
        <w:top w:val="none" w:sz="0" w:space="0" w:color="auto"/>
        <w:left w:val="none" w:sz="0" w:space="0" w:color="auto"/>
        <w:bottom w:val="none" w:sz="0" w:space="0" w:color="auto"/>
        <w:right w:val="none" w:sz="0" w:space="0" w:color="auto"/>
      </w:divBdr>
      <w:divsChild>
        <w:div w:id="267124761">
          <w:marLeft w:val="0"/>
          <w:marRight w:val="0"/>
          <w:marTop w:val="0"/>
          <w:marBottom w:val="0"/>
          <w:divBdr>
            <w:top w:val="none" w:sz="0" w:space="0" w:color="auto"/>
            <w:left w:val="none" w:sz="0" w:space="0" w:color="auto"/>
            <w:bottom w:val="none" w:sz="0" w:space="0" w:color="auto"/>
            <w:right w:val="none" w:sz="0" w:space="0" w:color="auto"/>
          </w:divBdr>
          <w:divsChild>
            <w:div w:id="60101610">
              <w:marLeft w:val="0"/>
              <w:marRight w:val="0"/>
              <w:marTop w:val="0"/>
              <w:marBottom w:val="0"/>
              <w:divBdr>
                <w:top w:val="none" w:sz="0" w:space="0" w:color="auto"/>
                <w:left w:val="none" w:sz="0" w:space="0" w:color="auto"/>
                <w:bottom w:val="none" w:sz="0" w:space="0" w:color="auto"/>
                <w:right w:val="none" w:sz="0" w:space="0" w:color="auto"/>
              </w:divBdr>
              <w:divsChild>
                <w:div w:id="894126262">
                  <w:marLeft w:val="0"/>
                  <w:marRight w:val="0"/>
                  <w:marTop w:val="0"/>
                  <w:marBottom w:val="0"/>
                  <w:divBdr>
                    <w:top w:val="none" w:sz="0" w:space="0" w:color="auto"/>
                    <w:left w:val="none" w:sz="0" w:space="0" w:color="auto"/>
                    <w:bottom w:val="none" w:sz="0" w:space="0" w:color="auto"/>
                    <w:right w:val="none" w:sz="0" w:space="0" w:color="auto"/>
                  </w:divBdr>
                  <w:divsChild>
                    <w:div w:id="1504279423">
                      <w:marLeft w:val="0"/>
                      <w:marRight w:val="0"/>
                      <w:marTop w:val="0"/>
                      <w:marBottom w:val="0"/>
                      <w:divBdr>
                        <w:top w:val="none" w:sz="0" w:space="0" w:color="auto"/>
                        <w:left w:val="none" w:sz="0" w:space="0" w:color="auto"/>
                        <w:bottom w:val="none" w:sz="0" w:space="0" w:color="auto"/>
                        <w:right w:val="none" w:sz="0" w:space="0" w:color="auto"/>
                      </w:divBdr>
                    </w:div>
                    <w:div w:id="193759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813975">
      <w:bodyDiv w:val="1"/>
      <w:marLeft w:val="0"/>
      <w:marRight w:val="0"/>
      <w:marTop w:val="0"/>
      <w:marBottom w:val="0"/>
      <w:divBdr>
        <w:top w:val="none" w:sz="0" w:space="0" w:color="auto"/>
        <w:left w:val="none" w:sz="0" w:space="0" w:color="auto"/>
        <w:bottom w:val="none" w:sz="0" w:space="0" w:color="auto"/>
        <w:right w:val="none" w:sz="0" w:space="0" w:color="auto"/>
      </w:divBdr>
    </w:div>
    <w:div w:id="1206064901">
      <w:bodyDiv w:val="1"/>
      <w:marLeft w:val="0"/>
      <w:marRight w:val="0"/>
      <w:marTop w:val="0"/>
      <w:marBottom w:val="0"/>
      <w:divBdr>
        <w:top w:val="none" w:sz="0" w:space="0" w:color="auto"/>
        <w:left w:val="none" w:sz="0" w:space="0" w:color="auto"/>
        <w:bottom w:val="none" w:sz="0" w:space="0" w:color="auto"/>
        <w:right w:val="none" w:sz="0" w:space="0" w:color="auto"/>
      </w:divBdr>
    </w:div>
    <w:div w:id="1265309081">
      <w:bodyDiv w:val="1"/>
      <w:marLeft w:val="0"/>
      <w:marRight w:val="0"/>
      <w:marTop w:val="0"/>
      <w:marBottom w:val="0"/>
      <w:divBdr>
        <w:top w:val="none" w:sz="0" w:space="0" w:color="auto"/>
        <w:left w:val="none" w:sz="0" w:space="0" w:color="auto"/>
        <w:bottom w:val="none" w:sz="0" w:space="0" w:color="auto"/>
        <w:right w:val="none" w:sz="0" w:space="0" w:color="auto"/>
      </w:divBdr>
    </w:div>
    <w:div w:id="1454902347">
      <w:bodyDiv w:val="1"/>
      <w:marLeft w:val="0"/>
      <w:marRight w:val="0"/>
      <w:marTop w:val="0"/>
      <w:marBottom w:val="0"/>
      <w:divBdr>
        <w:top w:val="none" w:sz="0" w:space="0" w:color="auto"/>
        <w:left w:val="none" w:sz="0" w:space="0" w:color="auto"/>
        <w:bottom w:val="none" w:sz="0" w:space="0" w:color="auto"/>
        <w:right w:val="none" w:sz="0" w:space="0" w:color="auto"/>
      </w:divBdr>
    </w:div>
    <w:div w:id="1480221614">
      <w:bodyDiv w:val="1"/>
      <w:marLeft w:val="0"/>
      <w:marRight w:val="0"/>
      <w:marTop w:val="0"/>
      <w:marBottom w:val="0"/>
      <w:divBdr>
        <w:top w:val="none" w:sz="0" w:space="0" w:color="auto"/>
        <w:left w:val="none" w:sz="0" w:space="0" w:color="auto"/>
        <w:bottom w:val="none" w:sz="0" w:space="0" w:color="auto"/>
        <w:right w:val="none" w:sz="0" w:space="0" w:color="auto"/>
      </w:divBdr>
    </w:div>
    <w:div w:id="1653175016">
      <w:bodyDiv w:val="1"/>
      <w:marLeft w:val="0"/>
      <w:marRight w:val="0"/>
      <w:marTop w:val="0"/>
      <w:marBottom w:val="0"/>
      <w:divBdr>
        <w:top w:val="none" w:sz="0" w:space="0" w:color="auto"/>
        <w:left w:val="none" w:sz="0" w:space="0" w:color="auto"/>
        <w:bottom w:val="none" w:sz="0" w:space="0" w:color="auto"/>
        <w:right w:val="none" w:sz="0" w:space="0" w:color="auto"/>
      </w:divBdr>
    </w:div>
    <w:div w:id="1760980800">
      <w:bodyDiv w:val="1"/>
      <w:marLeft w:val="0"/>
      <w:marRight w:val="0"/>
      <w:marTop w:val="0"/>
      <w:marBottom w:val="0"/>
      <w:divBdr>
        <w:top w:val="none" w:sz="0" w:space="0" w:color="auto"/>
        <w:left w:val="none" w:sz="0" w:space="0" w:color="auto"/>
        <w:bottom w:val="none" w:sz="0" w:space="0" w:color="auto"/>
        <w:right w:val="none" w:sz="0" w:space="0" w:color="auto"/>
      </w:divBdr>
    </w:div>
    <w:div w:id="1824619438">
      <w:bodyDiv w:val="1"/>
      <w:marLeft w:val="0"/>
      <w:marRight w:val="0"/>
      <w:marTop w:val="0"/>
      <w:marBottom w:val="0"/>
      <w:divBdr>
        <w:top w:val="none" w:sz="0" w:space="0" w:color="auto"/>
        <w:left w:val="none" w:sz="0" w:space="0" w:color="auto"/>
        <w:bottom w:val="none" w:sz="0" w:space="0" w:color="auto"/>
        <w:right w:val="none" w:sz="0" w:space="0" w:color="auto"/>
      </w:divBdr>
    </w:div>
    <w:div w:id="1925064368">
      <w:bodyDiv w:val="1"/>
      <w:marLeft w:val="0"/>
      <w:marRight w:val="0"/>
      <w:marTop w:val="0"/>
      <w:marBottom w:val="0"/>
      <w:divBdr>
        <w:top w:val="none" w:sz="0" w:space="0" w:color="auto"/>
        <w:left w:val="none" w:sz="0" w:space="0" w:color="auto"/>
        <w:bottom w:val="none" w:sz="0" w:space="0" w:color="auto"/>
        <w:right w:val="none" w:sz="0" w:space="0" w:color="auto"/>
      </w:divBdr>
      <w:divsChild>
        <w:div w:id="1434125820">
          <w:marLeft w:val="0"/>
          <w:marRight w:val="0"/>
          <w:marTop w:val="0"/>
          <w:marBottom w:val="0"/>
          <w:divBdr>
            <w:top w:val="none" w:sz="0" w:space="0" w:color="auto"/>
            <w:left w:val="none" w:sz="0" w:space="0" w:color="auto"/>
            <w:bottom w:val="none" w:sz="0" w:space="0" w:color="auto"/>
            <w:right w:val="none" w:sz="0" w:space="0" w:color="auto"/>
          </w:divBdr>
          <w:divsChild>
            <w:div w:id="333337248">
              <w:marLeft w:val="0"/>
              <w:marRight w:val="0"/>
              <w:marTop w:val="0"/>
              <w:marBottom w:val="0"/>
              <w:divBdr>
                <w:top w:val="none" w:sz="0" w:space="0" w:color="auto"/>
                <w:left w:val="none" w:sz="0" w:space="0" w:color="auto"/>
                <w:bottom w:val="none" w:sz="0" w:space="0" w:color="auto"/>
                <w:right w:val="none" w:sz="0" w:space="0" w:color="auto"/>
              </w:divBdr>
              <w:divsChild>
                <w:div w:id="1227380069">
                  <w:marLeft w:val="0"/>
                  <w:marRight w:val="0"/>
                  <w:marTop w:val="0"/>
                  <w:marBottom w:val="0"/>
                  <w:divBdr>
                    <w:top w:val="none" w:sz="0" w:space="0" w:color="auto"/>
                    <w:left w:val="none" w:sz="0" w:space="0" w:color="auto"/>
                    <w:bottom w:val="none" w:sz="0" w:space="0" w:color="auto"/>
                    <w:right w:val="none" w:sz="0" w:space="0" w:color="auto"/>
                  </w:divBdr>
                  <w:divsChild>
                    <w:div w:id="1204903180">
                      <w:marLeft w:val="0"/>
                      <w:marRight w:val="0"/>
                      <w:marTop w:val="0"/>
                      <w:marBottom w:val="0"/>
                      <w:divBdr>
                        <w:top w:val="none" w:sz="0" w:space="0" w:color="auto"/>
                        <w:left w:val="none" w:sz="0" w:space="0" w:color="auto"/>
                        <w:bottom w:val="none" w:sz="0" w:space="0" w:color="auto"/>
                        <w:right w:val="none" w:sz="0" w:space="0" w:color="auto"/>
                      </w:divBdr>
                      <w:divsChild>
                        <w:div w:id="54495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868119">
          <w:marLeft w:val="0"/>
          <w:marRight w:val="0"/>
          <w:marTop w:val="0"/>
          <w:marBottom w:val="0"/>
          <w:divBdr>
            <w:top w:val="none" w:sz="0" w:space="0" w:color="auto"/>
            <w:left w:val="none" w:sz="0" w:space="0" w:color="auto"/>
            <w:bottom w:val="none" w:sz="0" w:space="0" w:color="auto"/>
            <w:right w:val="none" w:sz="0" w:space="0" w:color="auto"/>
          </w:divBdr>
          <w:divsChild>
            <w:div w:id="641890314">
              <w:marLeft w:val="0"/>
              <w:marRight w:val="0"/>
              <w:marTop w:val="0"/>
              <w:marBottom w:val="0"/>
              <w:divBdr>
                <w:top w:val="none" w:sz="0" w:space="0" w:color="auto"/>
                <w:left w:val="none" w:sz="0" w:space="0" w:color="auto"/>
                <w:bottom w:val="none" w:sz="0" w:space="0" w:color="auto"/>
                <w:right w:val="none" w:sz="0" w:space="0" w:color="auto"/>
              </w:divBdr>
              <w:divsChild>
                <w:div w:id="1725060610">
                  <w:marLeft w:val="0"/>
                  <w:marRight w:val="0"/>
                  <w:marTop w:val="0"/>
                  <w:marBottom w:val="0"/>
                  <w:divBdr>
                    <w:top w:val="none" w:sz="0" w:space="0" w:color="auto"/>
                    <w:left w:val="none" w:sz="0" w:space="0" w:color="auto"/>
                    <w:bottom w:val="none" w:sz="0" w:space="0" w:color="auto"/>
                    <w:right w:val="none" w:sz="0" w:space="0" w:color="auto"/>
                  </w:divBdr>
                  <w:divsChild>
                    <w:div w:id="1881429871">
                      <w:marLeft w:val="0"/>
                      <w:marRight w:val="0"/>
                      <w:marTop w:val="0"/>
                      <w:marBottom w:val="0"/>
                      <w:divBdr>
                        <w:top w:val="none" w:sz="0" w:space="0" w:color="auto"/>
                        <w:left w:val="none" w:sz="0" w:space="0" w:color="auto"/>
                        <w:bottom w:val="none" w:sz="0" w:space="0" w:color="auto"/>
                        <w:right w:val="none" w:sz="0" w:space="0" w:color="auto"/>
                      </w:divBdr>
                      <w:divsChild>
                        <w:div w:id="739055647">
                          <w:marLeft w:val="0"/>
                          <w:marRight w:val="0"/>
                          <w:marTop w:val="0"/>
                          <w:marBottom w:val="0"/>
                          <w:divBdr>
                            <w:top w:val="none" w:sz="0" w:space="0" w:color="auto"/>
                            <w:left w:val="none" w:sz="0" w:space="0" w:color="auto"/>
                            <w:bottom w:val="none" w:sz="0" w:space="0" w:color="auto"/>
                            <w:right w:val="none" w:sz="0" w:space="0" w:color="auto"/>
                          </w:divBdr>
                          <w:divsChild>
                            <w:div w:id="736632051">
                              <w:marLeft w:val="0"/>
                              <w:marRight w:val="0"/>
                              <w:marTop w:val="0"/>
                              <w:marBottom w:val="0"/>
                              <w:divBdr>
                                <w:top w:val="none" w:sz="0" w:space="0" w:color="auto"/>
                                <w:left w:val="none" w:sz="0" w:space="0" w:color="auto"/>
                                <w:bottom w:val="none" w:sz="0" w:space="0" w:color="auto"/>
                                <w:right w:val="none" w:sz="0" w:space="0" w:color="auto"/>
                              </w:divBdr>
                              <w:divsChild>
                                <w:div w:id="83578289">
                                  <w:marLeft w:val="0"/>
                                  <w:marRight w:val="0"/>
                                  <w:marTop w:val="0"/>
                                  <w:marBottom w:val="0"/>
                                  <w:divBdr>
                                    <w:top w:val="none" w:sz="0" w:space="0" w:color="auto"/>
                                    <w:left w:val="none" w:sz="0" w:space="0" w:color="auto"/>
                                    <w:bottom w:val="none" w:sz="0" w:space="0" w:color="auto"/>
                                    <w:right w:val="none" w:sz="0" w:space="0" w:color="auto"/>
                                  </w:divBdr>
                                  <w:divsChild>
                                    <w:div w:id="701056428">
                                      <w:marLeft w:val="0"/>
                                      <w:marRight w:val="0"/>
                                      <w:marTop w:val="0"/>
                                      <w:marBottom w:val="0"/>
                                      <w:divBdr>
                                        <w:top w:val="none" w:sz="0" w:space="0" w:color="auto"/>
                                        <w:left w:val="none" w:sz="0" w:space="0" w:color="auto"/>
                                        <w:bottom w:val="none" w:sz="0" w:space="0" w:color="auto"/>
                                        <w:right w:val="none" w:sz="0" w:space="0" w:color="auto"/>
                                      </w:divBdr>
                                      <w:divsChild>
                                        <w:div w:id="51361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3292733">
      <w:bodyDiv w:val="1"/>
      <w:marLeft w:val="0"/>
      <w:marRight w:val="0"/>
      <w:marTop w:val="0"/>
      <w:marBottom w:val="0"/>
      <w:divBdr>
        <w:top w:val="none" w:sz="0" w:space="0" w:color="auto"/>
        <w:left w:val="none" w:sz="0" w:space="0" w:color="auto"/>
        <w:bottom w:val="none" w:sz="0" w:space="0" w:color="auto"/>
        <w:right w:val="none" w:sz="0" w:space="0" w:color="auto"/>
      </w:divBdr>
    </w:div>
    <w:div w:id="21047644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madtaufik@uinjambi.a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252AF-6594-4651-894C-CB3B74B0B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14</Pages>
  <Words>7179</Words>
  <Characters>42682</Characters>
  <Application>Microsoft Office Word</Application>
  <DocSecurity>0</DocSecurity>
  <Lines>666</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uinjambi</cp:lastModifiedBy>
  <cp:revision>350</cp:revision>
  <cp:lastPrinted>2022-08-09T12:18:00Z</cp:lastPrinted>
  <dcterms:created xsi:type="dcterms:W3CDTF">2023-10-21T15:04:00Z</dcterms:created>
  <dcterms:modified xsi:type="dcterms:W3CDTF">2025-02-15T12:32:00Z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id="7v7blm0f"/&gt;&lt;style id="http://www.zotero.org/styles/chicago-fullnote-bibliography" locale="en-US" hasBibliography="1" bibliographyStyleHasBeenSet="0"/&gt;&lt;prefs&gt;&lt;pref name="fieldType" value="Field"</vt:lpwstr>
  </property>
  <property fmtid="{D5CDD505-2E9C-101B-9397-08002B2CF9AE}" pid="3" name="ZOTERO_PREF_2">
    <vt:lpwstr>/&gt;&lt;pref name="automaticJournalAbbreviations" value="true"/&gt;&lt;pref name="noteType" value="1"/&gt;&lt;/prefs&gt;&lt;/data&gt;</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Document_1">
    <vt:lpwstr>True</vt:lpwstr>
  </property>
  <property fmtid="{D5CDD505-2E9C-101B-9397-08002B2CF9AE}" pid="25" name="Mendeley Unique User Id_1">
    <vt:lpwstr>18430347-e147-3fe9-828b-e65fabe77e35</vt:lpwstr>
  </property>
  <property fmtid="{D5CDD505-2E9C-101B-9397-08002B2CF9AE}" pid="26" name="Mendeley Citation Style_1">
    <vt:lpwstr>http://www.zotero.org/styles/apa</vt:lpwstr>
  </property>
  <property fmtid="{D5CDD505-2E9C-101B-9397-08002B2CF9AE}" pid="27" name="GrammarlyDocumentId">
    <vt:lpwstr>8dee0530c168265d885e5e7fda6d9e8f41773f3d2bb8d7fda7eadfc9b13e43f6</vt:lpwstr>
  </property>
</Properties>
</file>